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8" w:leftChars="-204" w:right="-477" w:rightChars="-227"/>
        <w:jc w:val="center"/>
        <w:rPr>
          <w:rFonts w:hint="eastAsia"/>
        </w:rPr>
      </w:pPr>
      <w:bookmarkStart w:id="0" w:name="_GoBack"/>
      <w:bookmarkEnd w:id="0"/>
      <w:r>
        <w:rPr>
          <w:rFonts w:hint="eastAsia" w:ascii="宋体" w:hAnsi="宋体"/>
          <w:b/>
          <w:color w:val="FF0000"/>
          <w:w w:val="60"/>
          <w:kern w:val="10"/>
          <w:sz w:val="72"/>
          <w:szCs w:val="72"/>
          <w:lang w:val="en-US" w:eastAsia="zh-CN"/>
        </w:rPr>
        <w:t>广东南控创业投资基金管理</w:t>
      </w:r>
      <w:r>
        <w:rPr>
          <w:rFonts w:hint="eastAsia" w:ascii="宋体" w:hAnsi="宋体"/>
          <w:b/>
          <w:color w:val="FF0000"/>
          <w:w w:val="60"/>
          <w:kern w:val="10"/>
          <w:sz w:val="72"/>
          <w:szCs w:val="72"/>
        </w:rPr>
        <w:t>有限公司</w:t>
      </w:r>
    </w:p>
    <w:p>
      <w:pPr>
        <w:pStyle w:val="2"/>
        <w:rPr>
          <w:rFonts w:hint="eastAsia"/>
          <w:sz w:val="32"/>
          <w:szCs w:val="40"/>
          <w:lang w:val="en-US" w:eastAsia="zh-CN"/>
        </w:rPr>
      </w:pPr>
      <w:r>
        <w:rPr>
          <w:rFonts w:hint="eastAsia" w:ascii="宋体" w:hAnsi="宋体"/>
          <w:sz w:val="28"/>
          <w:szCs w:val="28"/>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26670</wp:posOffset>
                </wp:positionV>
                <wp:extent cx="5391785" cy="0"/>
                <wp:effectExtent l="0" t="12700" r="18415" b="15875"/>
                <wp:wrapNone/>
                <wp:docPr id="1" name="直接箭头连接符 1"/>
                <wp:cNvGraphicFramePr/>
                <a:graphic xmlns:a="http://schemas.openxmlformats.org/drawingml/2006/main">
                  <a:graphicData uri="http://schemas.microsoft.com/office/word/2010/wordprocessingShape">
                    <wps:wsp>
                      <wps:cNvCnPr/>
                      <wps:spPr>
                        <a:xfrm>
                          <a:off x="0" y="0"/>
                          <a:ext cx="5391785" cy="0"/>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2pt;margin-top:2.1pt;height:0pt;width:424.55pt;z-index:251659264;mso-width-relative:page;mso-height-relative:page;" filled="f" stroked="t" coordsize="21600,21600" o:gfxdata="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60UUfWAAAABgEAAA8AAAAAAAAAAQAgAAAAIgAAAGRycy9kb3du&#10;cmV2LnhtbFBLAQIUABQAAAAIAIdO4kDdp4pDAQIAAO0DAAAOAAAAAAAAAAEAIAAAACUBAABkcnMv&#10;ZTJvRG9jLnhtbFBLBQYAAAAABgAGAFkBAACYBQAAAAA=&#10;">
                <v:fill on="f" focussize="0,0"/>
                <v:stroke weight="2pt" color="#FF0000" joinstyle="round"/>
                <v:imagedata o:title=""/>
                <o:lock v:ext="edit" aspectratio="f"/>
              </v:shape>
            </w:pict>
          </mc:Fallback>
        </mc:AlternateContent>
      </w:r>
    </w:p>
    <w:p>
      <w:pPr>
        <w:pStyle w:val="7"/>
        <w:widowControl/>
        <w:shd w:val="clear" w:color="auto" w:fill="FFFFFF"/>
        <w:wordWrap w:val="0"/>
        <w:spacing w:beforeAutospacing="0" w:afterAutospacing="0" w:line="520" w:lineRule="exact"/>
        <w:jc w:val="center"/>
        <w:rPr>
          <w:rFonts w:ascii="方正小标宋简体" w:hAnsi="方正小标宋简体" w:eastAsia="方正小标宋简体" w:cs="方正小标宋简体"/>
          <w:color w:val="444444"/>
          <w:sz w:val="36"/>
          <w:szCs w:val="36"/>
          <w:highlight w:val="none"/>
          <w:shd w:val="clear" w:color="auto" w:fill="FFFFFF"/>
        </w:rPr>
      </w:pPr>
      <w:r>
        <w:rPr>
          <w:rFonts w:hint="eastAsia" w:ascii="方正小标宋简体" w:hAnsi="方正小标宋简体" w:eastAsia="方正小标宋简体" w:cs="方正小标宋简体"/>
          <w:color w:val="444444"/>
          <w:sz w:val="36"/>
          <w:szCs w:val="36"/>
          <w:highlight w:val="none"/>
          <w:shd w:val="clear" w:color="auto" w:fill="FFFFFF"/>
        </w:rPr>
        <w:t>广东南控一号产业投资合伙企业（有限合伙）</w:t>
      </w:r>
    </w:p>
    <w:p>
      <w:pPr>
        <w:pStyle w:val="7"/>
        <w:widowControl/>
        <w:shd w:val="clear" w:color="auto" w:fill="FFFFFF"/>
        <w:wordWrap w:val="0"/>
        <w:spacing w:beforeAutospacing="0" w:afterAutospacing="0" w:line="520" w:lineRule="exact"/>
        <w:jc w:val="center"/>
        <w:rPr>
          <w:rFonts w:ascii="方正小标宋简体" w:hAnsi="方正小标宋简体" w:eastAsia="方正小标宋简体" w:cs="方正小标宋简体"/>
          <w:color w:val="444444"/>
          <w:sz w:val="36"/>
          <w:szCs w:val="36"/>
          <w:highlight w:val="none"/>
          <w:shd w:val="clear" w:color="auto" w:fill="FFFFFF"/>
        </w:rPr>
      </w:pPr>
      <w:r>
        <w:rPr>
          <w:rFonts w:hint="eastAsia" w:ascii="方正小标宋简体" w:hAnsi="方正小标宋简体" w:eastAsia="方正小标宋简体" w:cs="方正小标宋简体"/>
          <w:color w:val="444444"/>
          <w:sz w:val="36"/>
          <w:szCs w:val="36"/>
          <w:highlight w:val="none"/>
          <w:shd w:val="clear" w:color="auto" w:fill="FFFFFF"/>
        </w:rPr>
        <w:t>子基金管理机构定向申请实施办法</w:t>
      </w:r>
    </w:p>
    <w:p>
      <w:pPr>
        <w:pStyle w:val="7"/>
        <w:widowControl/>
        <w:shd w:val="clear" w:color="auto" w:fill="FFFFFF"/>
        <w:wordWrap w:val="0"/>
        <w:spacing w:beforeAutospacing="0" w:afterAutospacing="0" w:line="520" w:lineRule="exact"/>
        <w:ind w:firstLine="420"/>
        <w:rPr>
          <w:rFonts w:ascii="Helvetica" w:hAnsi="Helvetica" w:eastAsia="Helvetica" w:cs="Helvetica"/>
          <w:color w:val="444444"/>
          <w:sz w:val="32"/>
          <w:szCs w:val="32"/>
          <w:highlight w:val="none"/>
          <w:shd w:val="clear" w:color="auto" w:fill="FFFFFF"/>
        </w:rPr>
      </w:pPr>
    </w:p>
    <w:p>
      <w:pPr>
        <w:pStyle w:val="7"/>
        <w:widowControl/>
        <w:shd w:val="clear" w:color="auto" w:fill="FFFFFF"/>
        <w:wordWrap w:val="0"/>
        <w:spacing w:beforeAutospacing="0" w:afterAutospacing="0" w:line="520" w:lineRule="exact"/>
        <w:jc w:val="center"/>
        <w:rPr>
          <w:rFonts w:ascii="Helvetica" w:hAnsi="Helvetica" w:eastAsia="Helvetica" w:cs="Helvetica"/>
          <w:color w:val="444444"/>
          <w:sz w:val="32"/>
          <w:szCs w:val="32"/>
          <w:highlight w:val="none"/>
          <w:shd w:val="clear" w:color="auto" w:fill="FFFFFF"/>
        </w:rPr>
      </w:pPr>
      <w:r>
        <w:rPr>
          <w:rFonts w:hint="eastAsia" w:ascii="黑体" w:hAnsi="黑体" w:eastAsia="黑体" w:cs="黑体"/>
          <w:color w:val="444444"/>
          <w:sz w:val="32"/>
          <w:szCs w:val="32"/>
          <w:highlight w:val="none"/>
          <w:shd w:val="clear" w:color="auto" w:fill="FFFFFF"/>
        </w:rPr>
        <w:t>第一章 总则</w:t>
      </w:r>
    </w:p>
    <w:p>
      <w:pPr>
        <w:pStyle w:val="7"/>
        <w:widowControl/>
        <w:numPr>
          <w:ilvl w:val="255"/>
          <w:numId w:val="0"/>
        </w:numPr>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shd w:val="clear" w:color="auto" w:fill="FFFFFF"/>
        </w:rPr>
      </w:pPr>
      <w:r>
        <w:rPr>
          <w:rFonts w:hint="eastAsia" w:ascii="仿宋_GB2312" w:hAnsi="仿宋_GB2312" w:eastAsia="仿宋_GB2312" w:cs="仿宋_GB2312"/>
          <w:color w:val="444444"/>
          <w:sz w:val="32"/>
          <w:szCs w:val="32"/>
          <w:highlight w:val="none"/>
          <w:shd w:val="clear" w:color="auto" w:fill="FFFFFF"/>
        </w:rPr>
        <w:t>第一条 为规范向广东南控一号产业投资合伙企业（有限合伙）（以下简称南控母基金）提出定向申请</w:t>
      </w:r>
      <w:r>
        <w:rPr>
          <w:rStyle w:val="14"/>
          <w:rFonts w:hint="eastAsia" w:ascii="仿宋_GB2312" w:hAnsi="仿宋_GB2312" w:eastAsia="仿宋_GB2312" w:cs="仿宋_GB2312"/>
          <w:color w:val="444444"/>
          <w:sz w:val="32"/>
          <w:szCs w:val="32"/>
          <w:highlight w:val="none"/>
          <w:shd w:val="clear" w:color="auto" w:fill="FFFFFF"/>
        </w:rPr>
        <w:footnoteReference w:id="0"/>
      </w:r>
      <w:r>
        <w:rPr>
          <w:rFonts w:hint="eastAsia" w:ascii="仿宋_GB2312" w:hAnsi="仿宋_GB2312" w:eastAsia="仿宋_GB2312" w:cs="仿宋_GB2312"/>
          <w:color w:val="444444"/>
          <w:sz w:val="32"/>
          <w:szCs w:val="32"/>
          <w:highlight w:val="none"/>
          <w:shd w:val="clear" w:color="auto" w:fill="FFFFFF"/>
        </w:rPr>
        <w:t>的行为，明确相关要求，特制定本办法。</w:t>
      </w:r>
    </w:p>
    <w:p>
      <w:pPr>
        <w:pStyle w:val="7"/>
        <w:widowControl/>
        <w:numPr>
          <w:ilvl w:val="255"/>
          <w:numId w:val="0"/>
        </w:numPr>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shd w:val="clear" w:color="auto" w:fill="FFFFFF"/>
        </w:rPr>
      </w:pPr>
      <w:r>
        <w:rPr>
          <w:rFonts w:hint="eastAsia" w:ascii="仿宋_GB2312" w:hAnsi="仿宋_GB2312" w:eastAsia="仿宋_GB2312" w:cs="仿宋_GB2312"/>
          <w:color w:val="444444"/>
          <w:sz w:val="32"/>
          <w:szCs w:val="32"/>
          <w:highlight w:val="none"/>
          <w:shd w:val="clear" w:color="auto" w:fill="FFFFFF"/>
        </w:rPr>
        <w:t>第二条</w:t>
      </w:r>
      <w:r>
        <w:rPr>
          <w:rFonts w:ascii="仿宋_GB2312" w:hAnsi="仿宋_GB2312" w:eastAsia="仿宋_GB2312" w:cs="仿宋_GB2312"/>
          <w:color w:val="444444"/>
          <w:sz w:val="32"/>
          <w:szCs w:val="32"/>
          <w:highlight w:val="none"/>
          <w:shd w:val="clear" w:color="auto" w:fill="FFFFFF"/>
        </w:rPr>
        <w:t xml:space="preserve"> </w:t>
      </w:r>
      <w:r>
        <w:rPr>
          <w:rFonts w:hint="eastAsia" w:ascii="仿宋_GB2312" w:hAnsi="仿宋_GB2312" w:eastAsia="仿宋_GB2312" w:cs="仿宋_GB2312"/>
          <w:color w:val="444444"/>
          <w:sz w:val="32"/>
          <w:szCs w:val="32"/>
          <w:highlight w:val="none"/>
          <w:shd w:val="clear" w:color="auto" w:fill="FFFFFF"/>
          <w:lang w:val="en-US" w:eastAsia="zh-CN"/>
        </w:rPr>
        <w:t>广东</w:t>
      </w:r>
      <w:r>
        <w:rPr>
          <w:rFonts w:hint="eastAsia" w:ascii="仿宋_GB2312" w:hAnsi="仿宋_GB2312" w:eastAsia="仿宋_GB2312" w:cs="仿宋_GB2312"/>
          <w:color w:val="444444"/>
          <w:sz w:val="32"/>
          <w:szCs w:val="32"/>
          <w:highlight w:val="none"/>
          <w:shd w:val="clear" w:color="auto" w:fill="FFFFFF"/>
        </w:rPr>
        <w:t>南控创业投资基金管理有限公司（以下简称南控基金公司）为南控母基金的管理人，是定向申请程序的组织机构，负责组织开展对申报子基金的资料收集、初审立项、尽职调查、商务谈判、复核、投资决策等工作。</w:t>
      </w:r>
    </w:p>
    <w:p>
      <w:pPr>
        <w:pStyle w:val="7"/>
        <w:widowControl/>
        <w:numPr>
          <w:ilvl w:val="255"/>
          <w:numId w:val="0"/>
        </w:numPr>
        <w:shd w:val="clear" w:color="auto" w:fill="FFFFFF"/>
        <w:wordWrap w:val="0"/>
        <w:spacing w:beforeAutospacing="0" w:afterAutospacing="0" w:line="520" w:lineRule="exact"/>
        <w:ind w:firstLine="640" w:firstLineChars="200"/>
        <w:rPr>
          <w:rFonts w:hint="eastAsia" w:ascii="仿宋_GB2312" w:hAnsi="仿宋_GB2312" w:eastAsia="仿宋_GB2312" w:cs="仿宋_GB2312"/>
          <w:color w:val="444444"/>
          <w:sz w:val="32"/>
          <w:szCs w:val="32"/>
          <w:highlight w:val="none"/>
          <w:shd w:val="clear" w:color="auto" w:fill="FFFFFF"/>
        </w:rPr>
      </w:pPr>
      <w:r>
        <w:rPr>
          <w:rFonts w:hint="eastAsia" w:ascii="仿宋_GB2312" w:hAnsi="仿宋_GB2312" w:eastAsia="仿宋_GB2312" w:cs="仿宋_GB2312"/>
          <w:color w:val="444444"/>
          <w:sz w:val="32"/>
          <w:szCs w:val="32"/>
          <w:highlight w:val="none"/>
          <w:shd w:val="clear" w:color="auto" w:fill="FFFFFF"/>
        </w:rPr>
        <w:t>第三条 本办法所</w:t>
      </w:r>
      <w:r>
        <w:rPr>
          <w:rFonts w:hint="eastAsia" w:ascii="仿宋_GB2312" w:hAnsi="仿宋_GB2312" w:eastAsia="仿宋_GB2312" w:cs="仿宋_GB2312"/>
          <w:color w:val="444444"/>
          <w:sz w:val="32"/>
          <w:szCs w:val="32"/>
          <w:highlight w:val="none"/>
          <w:shd w:val="clear" w:color="auto" w:fill="FFFFFF"/>
          <w:lang w:val="en-US" w:eastAsia="zh-CN"/>
        </w:rPr>
        <w:t>称</w:t>
      </w:r>
      <w:r>
        <w:rPr>
          <w:rFonts w:hint="eastAsia" w:ascii="仿宋_GB2312" w:hAnsi="仿宋_GB2312" w:eastAsia="仿宋_GB2312" w:cs="仿宋_GB2312"/>
          <w:color w:val="444444"/>
          <w:sz w:val="32"/>
          <w:szCs w:val="32"/>
          <w:highlight w:val="none"/>
          <w:shd w:val="clear" w:color="auto" w:fill="FFFFFF"/>
        </w:rPr>
        <w:t>申请机构</w:t>
      </w:r>
      <w:r>
        <w:rPr>
          <w:rFonts w:hint="eastAsia" w:ascii="仿宋_GB2312" w:hAnsi="仿宋_GB2312" w:eastAsia="仿宋_GB2312" w:cs="仿宋_GB2312"/>
          <w:color w:val="444444"/>
          <w:sz w:val="32"/>
          <w:szCs w:val="32"/>
          <w:highlight w:val="none"/>
          <w:shd w:val="clear" w:color="auto" w:fill="FFFFFF"/>
          <w:lang w:val="en-US" w:eastAsia="zh-CN"/>
        </w:rPr>
        <w:t>是指向南控母基金提出</w:t>
      </w:r>
      <w:r>
        <w:rPr>
          <w:rFonts w:hint="eastAsia" w:ascii="仿宋_GB2312" w:hAnsi="仿宋_GB2312" w:eastAsia="仿宋_GB2312" w:cs="仿宋_GB2312"/>
          <w:color w:val="444444"/>
          <w:sz w:val="32"/>
          <w:szCs w:val="32"/>
          <w:highlight w:val="none"/>
          <w:shd w:val="clear" w:color="auto" w:fill="FFFFFF"/>
        </w:rPr>
        <w:t>定向申请的主体机构，管理机构</w:t>
      </w:r>
      <w:r>
        <w:rPr>
          <w:rFonts w:hint="eastAsia" w:ascii="仿宋_GB2312" w:hAnsi="仿宋_GB2312" w:eastAsia="仿宋_GB2312" w:cs="仿宋_GB2312"/>
          <w:color w:val="444444"/>
          <w:sz w:val="32"/>
          <w:szCs w:val="32"/>
          <w:highlight w:val="none"/>
          <w:shd w:val="clear" w:color="auto" w:fill="FFFFFF"/>
          <w:lang w:val="en-US" w:eastAsia="zh-CN"/>
        </w:rPr>
        <w:t>是指</w:t>
      </w:r>
      <w:r>
        <w:rPr>
          <w:rFonts w:hint="eastAsia" w:ascii="仿宋_GB2312" w:hAnsi="仿宋_GB2312" w:eastAsia="仿宋_GB2312" w:cs="仿宋_GB2312"/>
          <w:color w:val="444444"/>
          <w:sz w:val="32"/>
          <w:szCs w:val="32"/>
          <w:highlight w:val="none"/>
          <w:shd w:val="clear" w:color="auto" w:fill="FFFFFF"/>
        </w:rPr>
        <w:t>拟申请子基金的管理机构。</w:t>
      </w:r>
    </w:p>
    <w:p>
      <w:pPr>
        <w:pStyle w:val="7"/>
        <w:widowControl/>
        <w:numPr>
          <w:ilvl w:val="255"/>
          <w:numId w:val="0"/>
        </w:numPr>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shd w:val="clear" w:color="auto" w:fill="FFFFFF"/>
        </w:rPr>
      </w:pPr>
      <w:r>
        <w:rPr>
          <w:rFonts w:hint="eastAsia" w:ascii="仿宋_GB2312" w:hAnsi="仿宋_GB2312" w:eastAsia="仿宋_GB2312" w:cs="仿宋_GB2312"/>
          <w:color w:val="444444"/>
          <w:sz w:val="32"/>
          <w:szCs w:val="32"/>
          <w:highlight w:val="none"/>
          <w:shd w:val="clear" w:color="auto" w:fill="FFFFFF"/>
          <w:lang w:val="en-US" w:eastAsia="zh-CN"/>
        </w:rPr>
        <w:t>管理机构可以与申请机构为同一主体，或者为</w:t>
      </w:r>
      <w:r>
        <w:rPr>
          <w:rFonts w:hint="eastAsia" w:ascii="仿宋_GB2312" w:hAnsi="仿宋_GB2312" w:eastAsia="仿宋_GB2312" w:cs="仿宋_GB2312"/>
          <w:color w:val="444444"/>
          <w:sz w:val="32"/>
          <w:szCs w:val="32"/>
          <w:highlight w:val="none"/>
          <w:shd w:val="clear" w:color="auto" w:fill="FFFFFF"/>
        </w:rPr>
        <w:t>申请机构控股或</w:t>
      </w:r>
      <w:r>
        <w:rPr>
          <w:rFonts w:hint="eastAsia" w:ascii="仿宋_GB2312" w:hAnsi="仿宋_GB2312" w:eastAsia="仿宋_GB2312" w:cs="仿宋_GB2312"/>
          <w:color w:val="444444"/>
          <w:sz w:val="32"/>
          <w:szCs w:val="32"/>
          <w:highlight w:val="none"/>
          <w:shd w:val="clear" w:color="auto" w:fill="FFFFFF"/>
          <w:lang w:val="en-US" w:eastAsia="zh-CN"/>
        </w:rPr>
        <w:t>实际控制的主体</w:t>
      </w:r>
      <w:r>
        <w:rPr>
          <w:rFonts w:hint="eastAsia" w:ascii="仿宋_GB2312" w:hAnsi="仿宋_GB2312" w:eastAsia="仿宋_GB2312" w:cs="仿宋_GB2312"/>
          <w:color w:val="444444"/>
          <w:sz w:val="32"/>
          <w:szCs w:val="32"/>
          <w:highlight w:val="none"/>
          <w:shd w:val="clear" w:color="auto" w:fill="FFFFFF"/>
        </w:rPr>
        <w:t>。</w:t>
      </w:r>
    </w:p>
    <w:p>
      <w:pPr>
        <w:pStyle w:val="7"/>
        <w:widowControl/>
        <w:numPr>
          <w:ilvl w:val="255"/>
          <w:numId w:val="0"/>
        </w:numPr>
        <w:shd w:val="clear" w:color="auto" w:fill="FFFFFF"/>
        <w:wordWrap w:val="0"/>
        <w:spacing w:beforeAutospacing="0" w:afterAutospacing="0" w:line="520" w:lineRule="exact"/>
        <w:rPr>
          <w:rFonts w:ascii="Helvetica" w:hAnsi="Helvetica" w:eastAsia="宋体" w:cs="Helvetica"/>
          <w:color w:val="444444"/>
          <w:sz w:val="32"/>
          <w:szCs w:val="32"/>
          <w:highlight w:val="none"/>
          <w:shd w:val="clear" w:color="auto" w:fill="FFFFFF"/>
        </w:rPr>
      </w:pPr>
    </w:p>
    <w:p>
      <w:pPr>
        <w:pStyle w:val="7"/>
        <w:widowControl/>
        <w:shd w:val="clear" w:color="auto" w:fill="FFFFFF"/>
        <w:wordWrap w:val="0"/>
        <w:spacing w:beforeAutospacing="0" w:afterAutospacing="0" w:line="520" w:lineRule="exact"/>
        <w:jc w:val="center"/>
        <w:rPr>
          <w:rFonts w:ascii="黑体" w:hAnsi="黑体" w:eastAsia="黑体" w:cs="黑体"/>
          <w:color w:val="444444"/>
          <w:sz w:val="32"/>
          <w:szCs w:val="32"/>
          <w:highlight w:val="none"/>
          <w:shd w:val="clear" w:color="auto" w:fill="FFFFFF"/>
        </w:rPr>
      </w:pPr>
      <w:r>
        <w:rPr>
          <w:rFonts w:hint="eastAsia" w:ascii="黑体" w:hAnsi="黑体" w:eastAsia="黑体" w:cs="黑体"/>
          <w:color w:val="444444"/>
          <w:sz w:val="32"/>
          <w:szCs w:val="32"/>
          <w:highlight w:val="none"/>
          <w:shd w:val="clear" w:color="auto" w:fill="FFFFFF"/>
        </w:rPr>
        <w:t>第二章 子基金申请机构要求</w:t>
      </w:r>
    </w:p>
    <w:p>
      <w:pPr>
        <w:pStyle w:val="7"/>
        <w:widowControl/>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rPr>
      </w:pPr>
      <w:r>
        <w:rPr>
          <w:rFonts w:hint="eastAsia" w:ascii="仿宋_GB2312" w:hAnsi="仿宋_GB2312" w:eastAsia="仿宋_GB2312" w:cs="仿宋_GB2312"/>
          <w:color w:val="444444"/>
          <w:sz w:val="32"/>
          <w:szCs w:val="32"/>
          <w:highlight w:val="none"/>
          <w:shd w:val="clear" w:color="auto" w:fill="FFFFFF"/>
        </w:rPr>
        <w:t>第四条 申请机构应符合以下</w:t>
      </w:r>
      <w:r>
        <w:rPr>
          <w:rFonts w:hint="eastAsia" w:ascii="仿宋_GB2312" w:hAnsi="仿宋_GB2312" w:eastAsia="仿宋_GB2312" w:cs="仿宋_GB2312"/>
          <w:color w:val="444444"/>
          <w:sz w:val="32"/>
          <w:szCs w:val="32"/>
          <w:highlight w:val="none"/>
          <w:shd w:val="clear" w:color="auto" w:fill="FFFFFF"/>
          <w:lang w:val="en-US" w:eastAsia="zh-CN"/>
        </w:rPr>
        <w:t>合规</w:t>
      </w:r>
      <w:r>
        <w:rPr>
          <w:rFonts w:hint="eastAsia" w:ascii="仿宋_GB2312" w:hAnsi="仿宋_GB2312" w:eastAsia="仿宋_GB2312" w:cs="仿宋_GB2312"/>
          <w:color w:val="444444"/>
          <w:sz w:val="32"/>
          <w:szCs w:val="32"/>
          <w:highlight w:val="none"/>
          <w:shd w:val="clear" w:color="auto" w:fill="FFFFFF"/>
        </w:rPr>
        <w:t>条件：</w:t>
      </w:r>
    </w:p>
    <w:p>
      <w:pPr>
        <w:pStyle w:val="7"/>
        <w:widowControl/>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rPr>
      </w:pPr>
      <w:r>
        <w:rPr>
          <w:rFonts w:hint="eastAsia" w:ascii="仿宋_GB2312" w:hAnsi="仿宋_GB2312" w:eastAsia="仿宋_GB2312" w:cs="仿宋_GB2312"/>
          <w:color w:val="444444"/>
          <w:sz w:val="32"/>
          <w:szCs w:val="32"/>
          <w:highlight w:val="none"/>
          <w:shd w:val="clear" w:color="auto" w:fill="FFFFFF"/>
        </w:rPr>
        <w:t>（一）依法在境内设立且已在相关主管部门或行业自律组织登记备案；</w:t>
      </w:r>
    </w:p>
    <w:p>
      <w:pPr>
        <w:pStyle w:val="7"/>
        <w:widowControl/>
        <w:shd w:val="clear" w:color="auto" w:fill="FFFFFF"/>
        <w:wordWrap w:val="0"/>
        <w:spacing w:beforeAutospacing="0" w:afterAutospacing="0" w:line="520" w:lineRule="exact"/>
        <w:ind w:firstLine="640" w:firstLineChars="200"/>
        <w:rPr>
          <w:rFonts w:hint="eastAsia" w:ascii="仿宋_GB2312" w:hAnsi="仿宋_GB2312" w:eastAsia="仿宋_GB2312" w:cs="仿宋_GB2312"/>
          <w:color w:val="444444"/>
          <w:sz w:val="32"/>
          <w:szCs w:val="32"/>
          <w:highlight w:val="none"/>
          <w:shd w:val="clear" w:color="auto" w:fill="FFFFFF"/>
        </w:rPr>
      </w:pPr>
      <w:r>
        <w:rPr>
          <w:rFonts w:hint="eastAsia" w:ascii="仿宋_GB2312" w:hAnsi="仿宋_GB2312" w:eastAsia="仿宋_GB2312" w:cs="仿宋_GB2312"/>
          <w:color w:val="444444"/>
          <w:sz w:val="32"/>
          <w:szCs w:val="32"/>
          <w:highlight w:val="none"/>
          <w:shd w:val="clear" w:color="auto" w:fill="FFFFFF"/>
        </w:rPr>
        <w:t>（二）实缴资本不低于1000万元人民币；</w:t>
      </w:r>
    </w:p>
    <w:p>
      <w:pPr>
        <w:pStyle w:val="7"/>
        <w:widowControl/>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shd w:val="clear" w:color="auto" w:fill="FFFFFF"/>
        </w:rPr>
      </w:pPr>
      <w:r>
        <w:rPr>
          <w:rFonts w:hint="eastAsia" w:ascii="仿宋_GB2312" w:hAnsi="仿宋_GB2312" w:eastAsia="仿宋_GB2312" w:cs="仿宋_GB2312"/>
          <w:color w:val="444444"/>
          <w:sz w:val="32"/>
          <w:szCs w:val="32"/>
          <w:highlight w:val="none"/>
          <w:shd w:val="clear" w:color="auto" w:fill="FFFFFF"/>
        </w:rPr>
        <w:t>（三）未被中国证券投资基金业协会列为异常机构</w:t>
      </w:r>
      <w:r>
        <w:rPr>
          <w:rFonts w:hint="eastAsia" w:ascii="仿宋_GB2312" w:hAnsi="仿宋_GB2312" w:eastAsia="仿宋_GB2312" w:cs="仿宋_GB2312"/>
          <w:color w:val="444444"/>
          <w:sz w:val="32"/>
          <w:szCs w:val="32"/>
          <w:highlight w:val="none"/>
          <w:shd w:val="clear" w:color="auto" w:fill="FFFFFF"/>
          <w:lang w:eastAsia="zh-CN"/>
        </w:rPr>
        <w:t>，</w:t>
      </w:r>
      <w:r>
        <w:rPr>
          <w:rFonts w:hint="eastAsia" w:ascii="仿宋_GB2312" w:hAnsi="仿宋_GB2312" w:eastAsia="仿宋_GB2312" w:cs="仿宋_GB2312"/>
          <w:color w:val="444444"/>
          <w:sz w:val="32"/>
          <w:szCs w:val="32"/>
          <w:highlight w:val="none"/>
          <w:shd w:val="clear" w:color="auto" w:fill="FFFFFF"/>
        </w:rPr>
        <w:t>不存在不良诚信记录等情形；</w:t>
      </w:r>
    </w:p>
    <w:p>
      <w:pPr>
        <w:pStyle w:val="7"/>
        <w:widowControl/>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shd w:val="clear" w:color="auto" w:fill="FFFFFF"/>
        </w:rPr>
      </w:pPr>
      <w:r>
        <w:rPr>
          <w:rFonts w:hint="eastAsia" w:ascii="仿宋_GB2312" w:hAnsi="仿宋_GB2312" w:eastAsia="仿宋_GB2312" w:cs="仿宋_GB2312"/>
          <w:color w:val="444444"/>
          <w:sz w:val="32"/>
          <w:szCs w:val="32"/>
          <w:highlight w:val="none"/>
          <w:shd w:val="clear" w:color="auto" w:fill="FFFFFF"/>
        </w:rPr>
        <w:t>（四）最近三年不存在重大违法违规行为。</w:t>
      </w:r>
    </w:p>
    <w:p>
      <w:pPr>
        <w:pStyle w:val="7"/>
        <w:widowControl/>
        <w:shd w:val="clear" w:color="auto" w:fill="FFFFFF"/>
        <w:wordWrap w:val="0"/>
        <w:spacing w:beforeAutospacing="0" w:afterAutospacing="0" w:line="520" w:lineRule="exact"/>
        <w:ind w:firstLine="640" w:firstLineChars="200"/>
        <w:rPr>
          <w:rFonts w:hint="eastAsia" w:ascii="仿宋_GB2312" w:hAnsi="仿宋_GB2312" w:eastAsia="仿宋_GB2312" w:cs="仿宋_GB2312"/>
          <w:color w:val="444444"/>
          <w:sz w:val="32"/>
          <w:szCs w:val="32"/>
          <w:highlight w:val="yellow"/>
          <w:shd w:val="clear" w:color="auto" w:fill="FFFFFF"/>
        </w:rPr>
      </w:pPr>
      <w:r>
        <w:rPr>
          <w:rFonts w:hint="eastAsia" w:ascii="仿宋_GB2312" w:hAnsi="仿宋_GB2312" w:eastAsia="仿宋_GB2312" w:cs="仿宋_GB2312"/>
          <w:color w:val="444444"/>
          <w:sz w:val="32"/>
          <w:szCs w:val="32"/>
          <w:highlight w:val="none"/>
          <w:shd w:val="clear" w:color="auto" w:fill="FFFFFF"/>
        </w:rPr>
        <w:t>第五条 申请机构</w:t>
      </w:r>
      <w:r>
        <w:rPr>
          <w:rFonts w:hint="eastAsia" w:ascii="仿宋_GB2312" w:hAnsi="仿宋_GB2312" w:eastAsia="仿宋_GB2312" w:cs="仿宋_GB2312"/>
          <w:color w:val="444444"/>
          <w:sz w:val="32"/>
          <w:szCs w:val="32"/>
          <w:highlight w:val="none"/>
          <w:shd w:val="clear" w:color="auto" w:fill="FFFFFF"/>
          <w:lang w:val="en-US" w:eastAsia="zh-CN"/>
        </w:rPr>
        <w:t>应符合以下规模条件：</w:t>
      </w:r>
    </w:p>
    <w:p>
      <w:pPr>
        <w:pStyle w:val="7"/>
        <w:widowControl/>
        <w:shd w:val="clear" w:color="auto" w:fill="FFFFFF"/>
        <w:wordWrap w:val="0"/>
        <w:spacing w:beforeAutospacing="0" w:afterAutospacing="0" w:line="520" w:lineRule="exact"/>
        <w:ind w:firstLine="640" w:firstLineChars="200"/>
        <w:rPr>
          <w:rFonts w:hint="eastAsia" w:ascii="仿宋_GB2312" w:hAnsi="仿宋_GB2312" w:eastAsia="仿宋_GB2312" w:cs="仿宋_GB2312"/>
          <w:color w:val="444444"/>
          <w:sz w:val="32"/>
          <w:szCs w:val="32"/>
          <w:highlight w:val="none"/>
          <w:shd w:val="clear" w:color="auto" w:fill="FFFFFF"/>
          <w:lang w:eastAsia="zh-CN"/>
        </w:rPr>
      </w:pPr>
      <w:r>
        <w:rPr>
          <w:rFonts w:hint="eastAsia" w:ascii="仿宋_GB2312" w:hAnsi="仿宋_GB2312" w:eastAsia="仿宋_GB2312" w:cs="仿宋_GB2312"/>
          <w:color w:val="444444"/>
          <w:sz w:val="32"/>
          <w:szCs w:val="32"/>
          <w:highlight w:val="none"/>
          <w:shd w:val="clear" w:color="auto" w:fill="FFFFFF"/>
          <w:lang w:eastAsia="zh-CN"/>
        </w:rPr>
        <w:t>（</w:t>
      </w:r>
      <w:r>
        <w:rPr>
          <w:rFonts w:hint="eastAsia" w:ascii="仿宋_GB2312" w:hAnsi="仿宋_GB2312" w:eastAsia="仿宋_GB2312" w:cs="仿宋_GB2312"/>
          <w:color w:val="444444"/>
          <w:sz w:val="32"/>
          <w:szCs w:val="32"/>
          <w:highlight w:val="none"/>
          <w:shd w:val="clear" w:color="auto" w:fill="FFFFFF"/>
          <w:lang w:val="en-US" w:eastAsia="zh-CN"/>
        </w:rPr>
        <w:t>一</w:t>
      </w:r>
      <w:r>
        <w:rPr>
          <w:rFonts w:hint="eastAsia" w:ascii="仿宋_GB2312" w:hAnsi="仿宋_GB2312" w:eastAsia="仿宋_GB2312" w:cs="仿宋_GB2312"/>
          <w:color w:val="444444"/>
          <w:sz w:val="32"/>
          <w:szCs w:val="32"/>
          <w:highlight w:val="none"/>
          <w:shd w:val="clear" w:color="auto" w:fill="FFFFFF"/>
          <w:lang w:eastAsia="zh-CN"/>
        </w:rPr>
        <w:t>）</w:t>
      </w:r>
      <w:r>
        <w:rPr>
          <w:rFonts w:hint="eastAsia" w:ascii="仿宋_GB2312" w:hAnsi="仿宋_GB2312" w:eastAsia="仿宋_GB2312" w:cs="仿宋_GB2312"/>
          <w:color w:val="444444"/>
          <w:sz w:val="32"/>
          <w:szCs w:val="32"/>
          <w:highlight w:val="none"/>
          <w:shd w:val="clear" w:color="auto" w:fill="FFFFFF"/>
        </w:rPr>
        <w:t>在中国证券投资基金业协会备案的累计管理规模</w:t>
      </w:r>
      <w:r>
        <w:rPr>
          <w:rStyle w:val="14"/>
          <w:rFonts w:hint="eastAsia" w:ascii="仿宋_GB2312" w:hAnsi="仿宋_GB2312" w:eastAsia="仿宋_GB2312" w:cs="仿宋_GB2312"/>
          <w:color w:val="444444"/>
          <w:sz w:val="32"/>
          <w:szCs w:val="32"/>
          <w:highlight w:val="none"/>
          <w:shd w:val="clear" w:color="auto" w:fill="FFFFFF"/>
        </w:rPr>
        <w:footnoteReference w:id="1"/>
      </w:r>
      <w:r>
        <w:rPr>
          <w:rFonts w:hint="eastAsia" w:ascii="仿宋_GB2312" w:hAnsi="仿宋_GB2312" w:eastAsia="仿宋_GB2312" w:cs="仿宋_GB2312"/>
          <w:color w:val="444444"/>
          <w:sz w:val="32"/>
          <w:szCs w:val="32"/>
          <w:highlight w:val="none"/>
          <w:shd w:val="clear" w:color="auto" w:fill="FFFFFF"/>
        </w:rPr>
        <w:t>不少于</w:t>
      </w:r>
      <w:r>
        <w:rPr>
          <w:rFonts w:ascii="仿宋_GB2312" w:hAnsi="仿宋_GB2312" w:eastAsia="仿宋_GB2312" w:cs="仿宋_GB2312"/>
          <w:color w:val="444444"/>
          <w:sz w:val="32"/>
          <w:szCs w:val="32"/>
          <w:highlight w:val="none"/>
          <w:shd w:val="clear" w:color="auto" w:fill="FFFFFF"/>
        </w:rPr>
        <w:t>30亿元</w:t>
      </w:r>
      <w:r>
        <w:rPr>
          <w:rFonts w:hint="eastAsia" w:ascii="仿宋_GB2312" w:hAnsi="仿宋_GB2312" w:eastAsia="仿宋_GB2312" w:cs="仿宋_GB2312"/>
          <w:color w:val="444444"/>
          <w:sz w:val="32"/>
          <w:szCs w:val="32"/>
          <w:highlight w:val="none"/>
          <w:shd w:val="clear" w:color="auto" w:fill="FFFFFF"/>
          <w:lang w:eastAsia="zh-CN"/>
        </w:rPr>
        <w:t>；</w:t>
      </w:r>
    </w:p>
    <w:p>
      <w:pPr>
        <w:pStyle w:val="7"/>
        <w:widowControl/>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shd w:val="clear" w:color="auto" w:fill="FFFFFF"/>
        </w:rPr>
      </w:pPr>
      <w:r>
        <w:rPr>
          <w:rFonts w:hint="eastAsia" w:ascii="仿宋_GB2312" w:hAnsi="仿宋_GB2312" w:eastAsia="仿宋_GB2312" w:cs="仿宋_GB2312"/>
          <w:color w:val="444444"/>
          <w:sz w:val="32"/>
          <w:szCs w:val="32"/>
          <w:highlight w:val="none"/>
          <w:shd w:val="clear" w:color="auto" w:fill="FFFFFF"/>
          <w:lang w:eastAsia="zh-CN"/>
        </w:rPr>
        <w:t>（</w:t>
      </w:r>
      <w:r>
        <w:rPr>
          <w:rFonts w:hint="eastAsia" w:ascii="仿宋_GB2312" w:hAnsi="仿宋_GB2312" w:eastAsia="仿宋_GB2312" w:cs="仿宋_GB2312"/>
          <w:color w:val="444444"/>
          <w:sz w:val="32"/>
          <w:szCs w:val="32"/>
          <w:highlight w:val="none"/>
          <w:shd w:val="clear" w:color="auto" w:fill="FFFFFF"/>
          <w:lang w:val="en-US" w:eastAsia="zh-CN"/>
        </w:rPr>
        <w:t>二</w:t>
      </w:r>
      <w:r>
        <w:rPr>
          <w:rFonts w:hint="eastAsia" w:ascii="仿宋_GB2312" w:hAnsi="仿宋_GB2312" w:eastAsia="仿宋_GB2312" w:cs="仿宋_GB2312"/>
          <w:color w:val="444444"/>
          <w:sz w:val="32"/>
          <w:szCs w:val="32"/>
          <w:highlight w:val="none"/>
          <w:shd w:val="clear" w:color="auto" w:fill="FFFFFF"/>
          <w:lang w:eastAsia="zh-CN"/>
        </w:rPr>
        <w:t>）</w:t>
      </w:r>
      <w:r>
        <w:rPr>
          <w:rFonts w:hint="eastAsia" w:ascii="仿宋_GB2312" w:hAnsi="仿宋_GB2312" w:eastAsia="仿宋_GB2312" w:cs="仿宋_GB2312"/>
          <w:color w:val="444444"/>
          <w:sz w:val="32"/>
          <w:szCs w:val="32"/>
          <w:highlight w:val="none"/>
          <w:shd w:val="clear" w:color="auto" w:fill="FFFFFF"/>
        </w:rPr>
        <w:t>在中国证券投资基金业协会备案的在管基金实缴金额不低于</w:t>
      </w:r>
      <w:r>
        <w:rPr>
          <w:rFonts w:ascii="仿宋_GB2312" w:hAnsi="仿宋_GB2312" w:eastAsia="仿宋_GB2312" w:cs="仿宋_GB2312"/>
          <w:color w:val="444444"/>
          <w:sz w:val="32"/>
          <w:szCs w:val="32"/>
          <w:highlight w:val="none"/>
          <w:shd w:val="clear" w:color="auto" w:fill="FFFFFF"/>
        </w:rPr>
        <w:t>15</w:t>
      </w:r>
      <w:r>
        <w:rPr>
          <w:rFonts w:hint="eastAsia" w:ascii="仿宋_GB2312" w:hAnsi="仿宋_GB2312" w:eastAsia="仿宋_GB2312" w:cs="仿宋_GB2312"/>
          <w:color w:val="444444"/>
          <w:sz w:val="32"/>
          <w:szCs w:val="32"/>
          <w:highlight w:val="none"/>
          <w:shd w:val="clear" w:color="auto" w:fill="FFFFFF"/>
        </w:rPr>
        <w:t>亿元。</w:t>
      </w:r>
    </w:p>
    <w:p>
      <w:pPr>
        <w:pStyle w:val="7"/>
        <w:widowControl/>
        <w:shd w:val="clear" w:color="auto" w:fill="FFFFFF"/>
        <w:wordWrap w:val="0"/>
        <w:spacing w:beforeAutospacing="0" w:afterAutospacing="0" w:line="520" w:lineRule="exact"/>
        <w:jc w:val="center"/>
        <w:rPr>
          <w:rFonts w:ascii="Helvetica" w:hAnsi="Helvetica" w:eastAsia="宋体" w:cs="Helvetica"/>
          <w:color w:val="444444"/>
          <w:sz w:val="32"/>
          <w:szCs w:val="32"/>
          <w:highlight w:val="none"/>
          <w:shd w:val="clear" w:color="auto" w:fill="FFFFFF"/>
        </w:rPr>
      </w:pPr>
    </w:p>
    <w:p>
      <w:pPr>
        <w:pStyle w:val="7"/>
        <w:widowControl/>
        <w:shd w:val="clear" w:color="auto" w:fill="FFFFFF"/>
        <w:wordWrap w:val="0"/>
        <w:spacing w:beforeAutospacing="0" w:afterAutospacing="0" w:line="520" w:lineRule="exact"/>
        <w:jc w:val="center"/>
        <w:rPr>
          <w:rFonts w:ascii="黑体" w:hAnsi="黑体" w:eastAsia="黑体" w:cs="黑体"/>
          <w:color w:val="444444"/>
          <w:sz w:val="32"/>
          <w:szCs w:val="32"/>
          <w:highlight w:val="none"/>
          <w:shd w:val="clear" w:color="auto" w:fill="FFFFFF"/>
        </w:rPr>
      </w:pPr>
      <w:r>
        <w:rPr>
          <w:rFonts w:hint="eastAsia" w:ascii="黑体" w:hAnsi="黑体" w:eastAsia="黑体" w:cs="黑体"/>
          <w:color w:val="444444"/>
          <w:sz w:val="32"/>
          <w:szCs w:val="32"/>
          <w:highlight w:val="none"/>
          <w:shd w:val="clear" w:color="auto" w:fill="FFFFFF"/>
        </w:rPr>
        <w:t>第三章 子基金管理机构要求</w:t>
      </w:r>
    </w:p>
    <w:p>
      <w:pPr>
        <w:pStyle w:val="7"/>
        <w:widowControl/>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shd w:val="clear" w:color="auto" w:fill="FFFFFF"/>
        </w:rPr>
      </w:pPr>
      <w:r>
        <w:rPr>
          <w:rFonts w:hint="eastAsia" w:ascii="仿宋_GB2312" w:hAnsi="仿宋_GB2312" w:eastAsia="仿宋_GB2312" w:cs="仿宋_GB2312"/>
          <w:color w:val="444444"/>
          <w:sz w:val="32"/>
          <w:szCs w:val="32"/>
          <w:highlight w:val="none"/>
          <w:shd w:val="clear" w:color="auto" w:fill="FFFFFF"/>
        </w:rPr>
        <w:t>第六条 管理机构应符合以下</w:t>
      </w:r>
      <w:r>
        <w:rPr>
          <w:rFonts w:hint="eastAsia" w:ascii="仿宋_GB2312" w:hAnsi="仿宋_GB2312" w:eastAsia="仿宋_GB2312" w:cs="仿宋_GB2312"/>
          <w:color w:val="444444"/>
          <w:sz w:val="32"/>
          <w:szCs w:val="32"/>
          <w:highlight w:val="none"/>
          <w:shd w:val="clear" w:color="auto" w:fill="FFFFFF"/>
          <w:lang w:val="en-US" w:eastAsia="zh-CN"/>
        </w:rPr>
        <w:t>合规</w:t>
      </w:r>
      <w:r>
        <w:rPr>
          <w:rFonts w:hint="eastAsia" w:ascii="仿宋_GB2312" w:hAnsi="仿宋_GB2312" w:eastAsia="仿宋_GB2312" w:cs="仿宋_GB2312"/>
          <w:color w:val="444444"/>
          <w:sz w:val="32"/>
          <w:szCs w:val="32"/>
          <w:highlight w:val="none"/>
          <w:shd w:val="clear" w:color="auto" w:fill="FFFFFF"/>
        </w:rPr>
        <w:t>条件：</w:t>
      </w:r>
    </w:p>
    <w:p>
      <w:pPr>
        <w:pStyle w:val="7"/>
        <w:widowControl/>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rPr>
      </w:pPr>
      <w:r>
        <w:rPr>
          <w:rFonts w:hint="eastAsia" w:ascii="仿宋_GB2312" w:hAnsi="仿宋_GB2312" w:eastAsia="仿宋_GB2312" w:cs="仿宋_GB2312"/>
          <w:color w:val="444444"/>
          <w:sz w:val="32"/>
          <w:szCs w:val="32"/>
          <w:highlight w:val="none"/>
          <w:shd w:val="clear" w:color="auto" w:fill="FFFFFF"/>
        </w:rPr>
        <w:t>（一）依法在境内设立且已在相关主管部门或行业自律组织登记备案；</w:t>
      </w:r>
    </w:p>
    <w:p>
      <w:pPr>
        <w:pStyle w:val="7"/>
        <w:widowControl/>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rPr>
      </w:pPr>
      <w:r>
        <w:rPr>
          <w:rFonts w:hint="eastAsia" w:ascii="仿宋_GB2312" w:hAnsi="仿宋_GB2312" w:eastAsia="仿宋_GB2312" w:cs="仿宋_GB2312"/>
          <w:color w:val="444444"/>
          <w:sz w:val="32"/>
          <w:szCs w:val="32"/>
          <w:highlight w:val="none"/>
          <w:shd w:val="clear" w:color="auto" w:fill="FFFFFF"/>
        </w:rPr>
        <w:t>（二）实缴资本不低于1000万元人民币；</w:t>
      </w:r>
    </w:p>
    <w:p>
      <w:pPr>
        <w:pStyle w:val="7"/>
        <w:widowControl/>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shd w:val="clear" w:color="auto" w:fill="FFFFFF"/>
        </w:rPr>
      </w:pPr>
      <w:r>
        <w:rPr>
          <w:rFonts w:hint="eastAsia" w:ascii="仿宋_GB2312" w:hAnsi="仿宋_GB2312" w:eastAsia="仿宋_GB2312" w:cs="仿宋_GB2312"/>
          <w:color w:val="444444"/>
          <w:sz w:val="32"/>
          <w:szCs w:val="32"/>
          <w:highlight w:val="none"/>
          <w:shd w:val="clear" w:color="auto" w:fill="FFFFFF"/>
        </w:rPr>
        <w:t>（三）未被中国证券投资基金业协会列为异常机构或不存在不良诚信记录等情形；</w:t>
      </w:r>
    </w:p>
    <w:p>
      <w:pPr>
        <w:pStyle w:val="7"/>
        <w:widowControl/>
        <w:numPr>
          <w:ilvl w:val="255"/>
          <w:numId w:val="0"/>
        </w:numPr>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shd w:val="clear" w:color="auto" w:fill="FFFFFF"/>
        </w:rPr>
      </w:pPr>
      <w:r>
        <w:rPr>
          <w:rFonts w:hint="eastAsia" w:ascii="仿宋_GB2312" w:hAnsi="仿宋_GB2312" w:eastAsia="仿宋_GB2312" w:cs="仿宋_GB2312"/>
          <w:color w:val="444444"/>
          <w:sz w:val="32"/>
          <w:szCs w:val="32"/>
          <w:highlight w:val="none"/>
          <w:shd w:val="clear" w:color="auto" w:fill="FFFFFF"/>
        </w:rPr>
        <w:t>（四）最近三年不存在重大违法违规行为</w:t>
      </w:r>
      <w:r>
        <w:rPr>
          <w:rFonts w:hint="eastAsia" w:ascii="仿宋_GB2312" w:hAnsi="仿宋_GB2312" w:eastAsia="仿宋_GB2312" w:cs="仿宋_GB2312"/>
          <w:color w:val="444444"/>
          <w:sz w:val="32"/>
          <w:szCs w:val="32"/>
          <w:highlight w:val="none"/>
          <w:shd w:val="clear" w:color="auto" w:fill="FFFFFF"/>
          <w:lang w:eastAsia="zh-CN"/>
        </w:rPr>
        <w:t>；</w:t>
      </w:r>
    </w:p>
    <w:p>
      <w:pPr>
        <w:pStyle w:val="7"/>
        <w:widowControl/>
        <w:shd w:val="clear" w:color="auto" w:fill="FFFFFF"/>
        <w:wordWrap w:val="0"/>
        <w:spacing w:beforeAutospacing="0" w:afterAutospacing="0" w:line="520" w:lineRule="exact"/>
        <w:ind w:firstLine="640" w:firstLineChars="200"/>
        <w:rPr>
          <w:rFonts w:hint="eastAsia" w:ascii="仿宋_GB2312" w:hAnsi="仿宋_GB2312" w:eastAsia="仿宋_GB2312" w:cs="仿宋_GB2312"/>
          <w:color w:val="444444"/>
          <w:sz w:val="32"/>
          <w:szCs w:val="32"/>
          <w:highlight w:val="none"/>
          <w:shd w:val="clear" w:color="auto" w:fill="FFFFFF"/>
          <w:lang w:eastAsia="zh-CN"/>
        </w:rPr>
      </w:pPr>
      <w:r>
        <w:rPr>
          <w:rFonts w:hint="eastAsia" w:ascii="仿宋_GB2312" w:hAnsi="仿宋_GB2312" w:eastAsia="仿宋_GB2312" w:cs="仿宋_GB2312"/>
          <w:color w:val="444444"/>
          <w:sz w:val="32"/>
          <w:szCs w:val="32"/>
          <w:highlight w:val="none"/>
          <w:shd w:val="clear" w:color="auto" w:fill="FFFFFF"/>
          <w:lang w:eastAsia="zh-CN"/>
        </w:rPr>
        <w:t>（</w:t>
      </w:r>
      <w:r>
        <w:rPr>
          <w:rFonts w:hint="eastAsia" w:ascii="仿宋_GB2312" w:hAnsi="仿宋_GB2312" w:eastAsia="仿宋_GB2312" w:cs="仿宋_GB2312"/>
          <w:color w:val="444444"/>
          <w:sz w:val="32"/>
          <w:szCs w:val="32"/>
          <w:highlight w:val="none"/>
          <w:shd w:val="clear" w:color="auto" w:fill="FFFFFF"/>
          <w:lang w:val="en-US" w:eastAsia="zh-CN"/>
        </w:rPr>
        <w:t>五</w:t>
      </w:r>
      <w:r>
        <w:rPr>
          <w:rFonts w:hint="eastAsia" w:ascii="仿宋_GB2312" w:hAnsi="仿宋_GB2312" w:eastAsia="仿宋_GB2312" w:cs="仿宋_GB2312"/>
          <w:color w:val="444444"/>
          <w:sz w:val="32"/>
          <w:szCs w:val="32"/>
          <w:highlight w:val="none"/>
          <w:shd w:val="clear" w:color="auto" w:fill="FFFFFF"/>
          <w:lang w:eastAsia="zh-CN"/>
        </w:rPr>
        <w:t>）</w:t>
      </w:r>
      <w:r>
        <w:rPr>
          <w:rFonts w:hint="eastAsia" w:ascii="仿宋_GB2312" w:hAnsi="仿宋_GB2312" w:eastAsia="仿宋_GB2312" w:cs="仿宋_GB2312"/>
          <w:color w:val="444444"/>
          <w:sz w:val="32"/>
          <w:szCs w:val="32"/>
          <w:highlight w:val="none"/>
          <w:shd w:val="clear" w:color="auto" w:fill="FFFFFF"/>
        </w:rPr>
        <w:t>至少有3名具备3年以上股权投资管理工作经验的高级管理人员，主要成员无受过行政主管机关或司法机关处罚的不良记录</w:t>
      </w:r>
      <w:r>
        <w:rPr>
          <w:rFonts w:hint="eastAsia" w:ascii="仿宋_GB2312" w:hAnsi="仿宋_GB2312" w:eastAsia="仿宋_GB2312" w:cs="仿宋_GB2312"/>
          <w:color w:val="444444"/>
          <w:sz w:val="32"/>
          <w:szCs w:val="32"/>
          <w:highlight w:val="none"/>
          <w:shd w:val="clear" w:color="auto" w:fill="FFFFFF"/>
          <w:lang w:eastAsia="zh-CN"/>
        </w:rPr>
        <w:t>；</w:t>
      </w:r>
    </w:p>
    <w:p>
      <w:pPr>
        <w:pStyle w:val="7"/>
        <w:widowControl/>
        <w:shd w:val="clear" w:color="auto" w:fill="FFFFFF"/>
        <w:wordWrap w:val="0"/>
        <w:spacing w:beforeAutospacing="0" w:afterAutospacing="0" w:line="520" w:lineRule="exact"/>
        <w:ind w:firstLine="640" w:firstLineChars="200"/>
        <w:rPr>
          <w:rFonts w:hint="eastAsia" w:ascii="仿宋_GB2312" w:hAnsi="仿宋_GB2312" w:eastAsia="仿宋_GB2312" w:cs="仿宋_GB2312"/>
          <w:color w:val="444444"/>
          <w:sz w:val="32"/>
          <w:szCs w:val="32"/>
          <w:highlight w:val="none"/>
          <w:shd w:val="clear" w:color="auto" w:fill="FFFFFF"/>
          <w:lang w:eastAsia="zh-CN"/>
        </w:rPr>
      </w:pPr>
      <w:r>
        <w:rPr>
          <w:rFonts w:hint="eastAsia" w:ascii="仿宋_GB2312" w:hAnsi="仿宋_GB2312" w:eastAsia="仿宋_GB2312" w:cs="仿宋_GB2312"/>
          <w:color w:val="444444"/>
          <w:sz w:val="32"/>
          <w:szCs w:val="32"/>
          <w:highlight w:val="none"/>
          <w:shd w:val="clear" w:color="auto" w:fill="FFFFFF"/>
          <w:lang w:eastAsia="zh-CN"/>
        </w:rPr>
        <w:t>（</w:t>
      </w:r>
      <w:r>
        <w:rPr>
          <w:rFonts w:hint="eastAsia" w:ascii="仿宋_GB2312" w:hAnsi="仿宋_GB2312" w:eastAsia="仿宋_GB2312" w:cs="仿宋_GB2312"/>
          <w:color w:val="444444"/>
          <w:sz w:val="32"/>
          <w:szCs w:val="32"/>
          <w:highlight w:val="none"/>
          <w:shd w:val="clear" w:color="auto" w:fill="FFFFFF"/>
          <w:lang w:val="en-US" w:eastAsia="zh-CN"/>
        </w:rPr>
        <w:t>六</w:t>
      </w:r>
      <w:r>
        <w:rPr>
          <w:rFonts w:hint="eastAsia" w:ascii="仿宋_GB2312" w:hAnsi="仿宋_GB2312" w:eastAsia="仿宋_GB2312" w:cs="仿宋_GB2312"/>
          <w:color w:val="444444"/>
          <w:sz w:val="32"/>
          <w:szCs w:val="32"/>
          <w:highlight w:val="none"/>
          <w:shd w:val="clear" w:color="auto" w:fill="FFFFFF"/>
          <w:lang w:eastAsia="zh-CN"/>
        </w:rPr>
        <w:t>）</w:t>
      </w:r>
      <w:r>
        <w:rPr>
          <w:rFonts w:hint="eastAsia" w:ascii="仿宋_GB2312" w:hAnsi="仿宋_GB2312" w:eastAsia="仿宋_GB2312" w:cs="仿宋_GB2312"/>
          <w:color w:val="444444"/>
          <w:sz w:val="32"/>
          <w:szCs w:val="32"/>
          <w:highlight w:val="none"/>
          <w:shd w:val="clear" w:color="auto" w:fill="FFFFFF"/>
        </w:rPr>
        <w:t>有良好的内部治理结构和风险控制制度</w:t>
      </w:r>
      <w:r>
        <w:rPr>
          <w:rFonts w:hint="eastAsia" w:ascii="仿宋_GB2312" w:hAnsi="仿宋_GB2312" w:eastAsia="仿宋_GB2312" w:cs="仿宋_GB2312"/>
          <w:color w:val="444444"/>
          <w:sz w:val="32"/>
          <w:szCs w:val="32"/>
          <w:highlight w:val="none"/>
          <w:shd w:val="clear" w:color="auto" w:fill="FFFFFF"/>
          <w:lang w:eastAsia="zh-CN"/>
        </w:rPr>
        <w:t>，</w:t>
      </w:r>
      <w:r>
        <w:rPr>
          <w:rFonts w:hint="eastAsia" w:ascii="仿宋_GB2312" w:hAnsi="仿宋_GB2312" w:eastAsia="仿宋_GB2312" w:cs="仿宋_GB2312"/>
          <w:color w:val="444444"/>
          <w:sz w:val="32"/>
          <w:szCs w:val="32"/>
          <w:highlight w:val="none"/>
          <w:shd w:val="clear" w:color="auto" w:fill="FFFFFF"/>
        </w:rPr>
        <w:t>健全的股权投资管理和风险控制流程以及规范的项目遴选机制和投资决策机制</w:t>
      </w:r>
      <w:r>
        <w:rPr>
          <w:rFonts w:hint="eastAsia" w:ascii="仿宋_GB2312" w:hAnsi="仿宋_GB2312" w:eastAsia="仿宋_GB2312" w:cs="仿宋_GB2312"/>
          <w:color w:val="444444"/>
          <w:sz w:val="32"/>
          <w:szCs w:val="32"/>
          <w:highlight w:val="none"/>
          <w:shd w:val="clear" w:color="auto" w:fill="FFFFFF"/>
          <w:lang w:eastAsia="zh-CN"/>
        </w:rPr>
        <w:t>。</w:t>
      </w:r>
    </w:p>
    <w:p>
      <w:pPr>
        <w:pStyle w:val="7"/>
        <w:widowControl/>
        <w:shd w:val="clear" w:color="auto" w:fill="FFFFFF"/>
        <w:wordWrap w:val="0"/>
        <w:spacing w:beforeAutospacing="0" w:afterAutospacing="0" w:line="520" w:lineRule="exact"/>
        <w:ind w:firstLine="640" w:firstLineChars="200"/>
        <w:rPr>
          <w:rFonts w:hint="eastAsia" w:ascii="仿宋_GB2312" w:hAnsi="仿宋_GB2312" w:eastAsia="仿宋_GB2312" w:cs="仿宋_GB2312"/>
          <w:color w:val="444444"/>
          <w:sz w:val="32"/>
          <w:szCs w:val="32"/>
          <w:highlight w:val="none"/>
          <w:shd w:val="clear" w:color="auto" w:fill="FFFFFF"/>
        </w:rPr>
      </w:pPr>
      <w:r>
        <w:rPr>
          <w:rFonts w:hint="eastAsia" w:ascii="仿宋_GB2312" w:hAnsi="仿宋_GB2312" w:eastAsia="仿宋_GB2312" w:cs="仿宋_GB2312"/>
          <w:color w:val="444444"/>
          <w:sz w:val="32"/>
          <w:szCs w:val="32"/>
          <w:highlight w:val="none"/>
          <w:shd w:val="clear" w:color="auto" w:fill="FFFFFF"/>
        </w:rPr>
        <w:t>第</w:t>
      </w:r>
      <w:r>
        <w:rPr>
          <w:rFonts w:hint="eastAsia" w:ascii="仿宋_GB2312" w:hAnsi="仿宋_GB2312" w:eastAsia="仿宋_GB2312" w:cs="仿宋_GB2312"/>
          <w:color w:val="444444"/>
          <w:sz w:val="32"/>
          <w:szCs w:val="32"/>
          <w:highlight w:val="none"/>
          <w:shd w:val="clear" w:color="auto" w:fill="FFFFFF"/>
          <w:lang w:val="en-US" w:eastAsia="zh-CN"/>
        </w:rPr>
        <w:t>七</w:t>
      </w:r>
      <w:r>
        <w:rPr>
          <w:rFonts w:hint="eastAsia" w:ascii="仿宋_GB2312" w:hAnsi="仿宋_GB2312" w:eastAsia="仿宋_GB2312" w:cs="仿宋_GB2312"/>
          <w:color w:val="444444"/>
          <w:sz w:val="32"/>
          <w:szCs w:val="32"/>
          <w:highlight w:val="none"/>
          <w:shd w:val="clear" w:color="auto" w:fill="FFFFFF"/>
        </w:rPr>
        <w:t>条 管理机构</w:t>
      </w:r>
      <w:r>
        <w:rPr>
          <w:rFonts w:hint="eastAsia" w:ascii="仿宋_GB2312" w:hAnsi="仿宋_GB2312" w:eastAsia="仿宋_GB2312" w:cs="仿宋_GB2312"/>
          <w:color w:val="444444"/>
          <w:sz w:val="32"/>
          <w:szCs w:val="32"/>
          <w:highlight w:val="none"/>
          <w:shd w:val="clear" w:color="auto" w:fill="FFFFFF"/>
          <w:lang w:val="en-US" w:eastAsia="zh-CN"/>
        </w:rPr>
        <w:t>应符合以下规模条件：</w:t>
      </w:r>
      <w:r>
        <w:rPr>
          <w:rFonts w:hint="eastAsia" w:ascii="仿宋_GB2312" w:hAnsi="仿宋_GB2312" w:eastAsia="仿宋_GB2312" w:cs="仿宋_GB2312"/>
          <w:color w:val="444444"/>
          <w:sz w:val="32"/>
          <w:szCs w:val="32"/>
          <w:highlight w:val="none"/>
          <w:shd w:val="clear" w:color="auto" w:fill="FFFFFF"/>
        </w:rPr>
        <w:t>在中国证券投资基金业协会备案的累计</w:t>
      </w:r>
      <w:r>
        <w:rPr>
          <w:rFonts w:hint="eastAsia" w:ascii="仿宋_GB2312" w:hAnsi="仿宋_GB2312" w:eastAsia="仿宋_GB2312" w:cs="仿宋_GB2312"/>
          <w:color w:val="444444"/>
          <w:sz w:val="32"/>
          <w:szCs w:val="32"/>
          <w:highlight w:val="none"/>
          <w:shd w:val="clear" w:color="auto" w:fill="FFFFFF"/>
          <w:lang w:val="en-US" w:eastAsia="zh-CN"/>
        </w:rPr>
        <w:t>管理规模</w:t>
      </w:r>
      <w:r>
        <w:rPr>
          <w:rFonts w:hint="eastAsia" w:ascii="仿宋_GB2312" w:hAnsi="仿宋_GB2312" w:eastAsia="仿宋_GB2312" w:cs="仿宋_GB2312"/>
          <w:color w:val="444444"/>
          <w:sz w:val="32"/>
          <w:szCs w:val="32"/>
          <w:highlight w:val="none"/>
          <w:shd w:val="clear" w:color="auto" w:fill="FFFFFF"/>
        </w:rPr>
        <w:t>不低于5亿元。</w:t>
      </w:r>
    </w:p>
    <w:p>
      <w:pPr>
        <w:pStyle w:val="7"/>
        <w:widowControl/>
        <w:shd w:val="clear" w:color="auto" w:fill="FFFFFF"/>
        <w:wordWrap w:val="0"/>
        <w:spacing w:beforeAutospacing="0" w:afterAutospacing="0" w:line="520" w:lineRule="exact"/>
        <w:ind w:firstLine="640" w:firstLineChars="200"/>
        <w:rPr>
          <w:rFonts w:hint="eastAsia" w:ascii="仿宋_GB2312" w:hAnsi="仿宋_GB2312" w:eastAsia="仿宋_GB2312" w:cs="仿宋_GB2312"/>
          <w:color w:val="444444"/>
          <w:sz w:val="32"/>
          <w:szCs w:val="32"/>
          <w:highlight w:val="none"/>
          <w:shd w:val="clear" w:color="auto" w:fill="FFFFFF"/>
          <w:lang w:val="en-US" w:eastAsia="zh-CN"/>
        </w:rPr>
      </w:pPr>
      <w:r>
        <w:rPr>
          <w:rFonts w:hint="eastAsia" w:ascii="仿宋_GB2312" w:hAnsi="仿宋_GB2312" w:eastAsia="仿宋_GB2312" w:cs="仿宋_GB2312"/>
          <w:color w:val="444444"/>
          <w:sz w:val="32"/>
          <w:szCs w:val="32"/>
          <w:highlight w:val="none"/>
          <w:shd w:val="clear" w:color="auto" w:fill="FFFFFF"/>
        </w:rPr>
        <w:t>第</w:t>
      </w:r>
      <w:r>
        <w:rPr>
          <w:rFonts w:hint="eastAsia" w:ascii="仿宋_GB2312" w:hAnsi="仿宋_GB2312" w:eastAsia="仿宋_GB2312" w:cs="仿宋_GB2312"/>
          <w:color w:val="444444"/>
          <w:sz w:val="32"/>
          <w:szCs w:val="32"/>
          <w:highlight w:val="none"/>
          <w:shd w:val="clear" w:color="auto" w:fill="FFFFFF"/>
          <w:lang w:val="en-US" w:eastAsia="zh-CN"/>
        </w:rPr>
        <w:t>八</w:t>
      </w:r>
      <w:r>
        <w:rPr>
          <w:rFonts w:hint="eastAsia" w:ascii="仿宋_GB2312" w:hAnsi="仿宋_GB2312" w:eastAsia="仿宋_GB2312" w:cs="仿宋_GB2312"/>
          <w:color w:val="444444"/>
          <w:sz w:val="32"/>
          <w:szCs w:val="32"/>
          <w:highlight w:val="none"/>
          <w:shd w:val="clear" w:color="auto" w:fill="FFFFFF"/>
        </w:rPr>
        <w:t>条</w:t>
      </w:r>
      <w:r>
        <w:rPr>
          <w:rFonts w:hint="eastAsia" w:ascii="仿宋_GB2312" w:hAnsi="仿宋_GB2312" w:eastAsia="仿宋_GB2312" w:cs="仿宋_GB2312"/>
          <w:color w:val="444444"/>
          <w:sz w:val="32"/>
          <w:szCs w:val="32"/>
          <w:highlight w:val="none"/>
          <w:shd w:val="clear" w:color="auto" w:fill="FFFFFF"/>
          <w:lang w:val="en-US" w:eastAsia="zh-CN"/>
        </w:rPr>
        <w:t xml:space="preserve"> </w:t>
      </w:r>
      <w:r>
        <w:rPr>
          <w:rFonts w:hint="eastAsia" w:ascii="仿宋_GB2312" w:hAnsi="仿宋_GB2312" w:eastAsia="仿宋_GB2312" w:cs="仿宋_GB2312"/>
          <w:color w:val="444444"/>
          <w:sz w:val="32"/>
          <w:szCs w:val="32"/>
          <w:highlight w:val="none"/>
          <w:shd w:val="clear" w:color="auto" w:fill="FFFFFF"/>
        </w:rPr>
        <w:t>管理机构</w:t>
      </w:r>
      <w:r>
        <w:rPr>
          <w:rFonts w:hint="eastAsia" w:ascii="仿宋_GB2312" w:hAnsi="仿宋_GB2312" w:eastAsia="仿宋_GB2312" w:cs="仿宋_GB2312"/>
          <w:color w:val="444444"/>
          <w:sz w:val="32"/>
          <w:szCs w:val="32"/>
          <w:highlight w:val="none"/>
          <w:shd w:val="clear" w:color="auto" w:fill="FFFFFF"/>
          <w:lang w:val="en-US" w:eastAsia="zh-CN"/>
        </w:rPr>
        <w:t>应符合以下经验条件：</w:t>
      </w:r>
    </w:p>
    <w:p>
      <w:pPr>
        <w:pStyle w:val="7"/>
        <w:widowControl/>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shd w:val="clear" w:color="auto" w:fill="FFFFFF"/>
        </w:rPr>
      </w:pPr>
      <w:r>
        <w:rPr>
          <w:rFonts w:hint="eastAsia" w:ascii="仿宋_GB2312" w:hAnsi="仿宋_GB2312" w:eastAsia="仿宋_GB2312" w:cs="仿宋_GB2312"/>
          <w:color w:val="444444"/>
          <w:sz w:val="32"/>
          <w:szCs w:val="32"/>
          <w:highlight w:val="none"/>
          <w:shd w:val="clear" w:color="auto" w:fill="FFFFFF"/>
          <w:lang w:val="en-US" w:eastAsia="zh-CN"/>
        </w:rPr>
        <w:t>（一）管理机构</w:t>
      </w:r>
      <w:r>
        <w:rPr>
          <w:rFonts w:hint="eastAsia" w:ascii="仿宋_GB2312" w:hAnsi="仿宋_GB2312" w:eastAsia="仿宋_GB2312" w:cs="仿宋_GB2312"/>
          <w:color w:val="444444"/>
          <w:sz w:val="32"/>
          <w:szCs w:val="32"/>
          <w:highlight w:val="none"/>
          <w:shd w:val="clear" w:color="auto" w:fill="FFFFFF"/>
        </w:rPr>
        <w:t>具有1次或以上基金“募投管退”全流程的经验，或</w:t>
      </w:r>
      <w:r>
        <w:rPr>
          <w:rFonts w:hint="eastAsia" w:ascii="仿宋_GB2312" w:hAnsi="仿宋_GB2312" w:eastAsia="仿宋_GB2312" w:cs="仿宋_GB2312"/>
          <w:color w:val="444444"/>
          <w:sz w:val="32"/>
          <w:szCs w:val="32"/>
          <w:highlight w:val="none"/>
          <w:shd w:val="clear" w:color="auto" w:fill="FFFFFF"/>
          <w:lang w:val="en-US" w:eastAsia="zh-CN"/>
        </w:rPr>
        <w:t>管理机构至少一个</w:t>
      </w:r>
      <w:r>
        <w:rPr>
          <w:rFonts w:hint="eastAsia" w:ascii="仿宋_GB2312" w:hAnsi="仿宋_GB2312" w:eastAsia="仿宋_GB2312" w:cs="仿宋_GB2312"/>
          <w:color w:val="444444"/>
          <w:sz w:val="32"/>
          <w:szCs w:val="32"/>
          <w:highlight w:val="none"/>
          <w:shd w:val="clear" w:color="auto" w:fill="FFFFFF"/>
        </w:rPr>
        <w:t>核心管理成员</w:t>
      </w:r>
      <w:r>
        <w:rPr>
          <w:rStyle w:val="14"/>
          <w:rFonts w:hint="eastAsia" w:ascii="仿宋_GB2312" w:hAnsi="仿宋_GB2312" w:eastAsia="仿宋_GB2312" w:cs="仿宋_GB2312"/>
          <w:color w:val="444444"/>
          <w:sz w:val="32"/>
          <w:szCs w:val="32"/>
          <w:highlight w:val="none"/>
          <w:shd w:val="clear" w:color="auto" w:fill="FFFFFF"/>
        </w:rPr>
        <w:footnoteReference w:id="2"/>
      </w:r>
      <w:r>
        <w:rPr>
          <w:rFonts w:hint="eastAsia" w:ascii="仿宋_GB2312" w:hAnsi="仿宋_GB2312" w:eastAsia="仿宋_GB2312" w:cs="仿宋_GB2312"/>
          <w:color w:val="444444"/>
          <w:sz w:val="32"/>
          <w:szCs w:val="32"/>
          <w:highlight w:val="none"/>
          <w:shd w:val="clear" w:color="auto" w:fill="FFFFFF"/>
        </w:rPr>
        <w:t>具有1次或以上基金“募投管退”全流程的经验。</w:t>
      </w:r>
    </w:p>
    <w:p>
      <w:pPr>
        <w:pStyle w:val="7"/>
        <w:widowControl/>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shd w:val="clear" w:color="auto" w:fill="FFFFFF"/>
        </w:rPr>
      </w:pPr>
      <w:r>
        <w:rPr>
          <w:rFonts w:hint="eastAsia" w:ascii="仿宋_GB2312" w:hAnsi="仿宋_GB2312" w:eastAsia="仿宋_GB2312" w:cs="仿宋_GB2312"/>
          <w:color w:val="444444"/>
          <w:sz w:val="32"/>
          <w:szCs w:val="32"/>
          <w:highlight w:val="none"/>
          <w:shd w:val="clear" w:color="auto" w:fill="FFFFFF"/>
          <w:lang w:eastAsia="zh-CN"/>
        </w:rPr>
        <w:t>（</w:t>
      </w:r>
      <w:r>
        <w:rPr>
          <w:rFonts w:hint="eastAsia" w:ascii="仿宋_GB2312" w:hAnsi="仿宋_GB2312" w:eastAsia="仿宋_GB2312" w:cs="仿宋_GB2312"/>
          <w:color w:val="444444"/>
          <w:sz w:val="32"/>
          <w:szCs w:val="32"/>
          <w:highlight w:val="none"/>
          <w:shd w:val="clear" w:color="auto" w:fill="FFFFFF"/>
          <w:lang w:val="en-US" w:eastAsia="zh-CN"/>
        </w:rPr>
        <w:t>二</w:t>
      </w:r>
      <w:r>
        <w:rPr>
          <w:rFonts w:hint="eastAsia" w:ascii="仿宋_GB2312" w:hAnsi="仿宋_GB2312" w:eastAsia="仿宋_GB2312" w:cs="仿宋_GB2312"/>
          <w:color w:val="444444"/>
          <w:sz w:val="32"/>
          <w:szCs w:val="32"/>
          <w:highlight w:val="none"/>
          <w:shd w:val="clear" w:color="auto" w:fill="FFFFFF"/>
          <w:lang w:eastAsia="zh-CN"/>
        </w:rPr>
        <w:t>）</w:t>
      </w:r>
      <w:r>
        <w:rPr>
          <w:rFonts w:hint="eastAsia" w:ascii="仿宋_GB2312" w:hAnsi="仿宋_GB2312" w:eastAsia="仿宋_GB2312" w:cs="仿宋_GB2312"/>
          <w:color w:val="444444"/>
          <w:sz w:val="32"/>
          <w:szCs w:val="32"/>
          <w:highlight w:val="none"/>
          <w:shd w:val="clear" w:color="auto" w:fill="FFFFFF"/>
          <w:lang w:val="en-US" w:eastAsia="zh-CN"/>
        </w:rPr>
        <w:t>管理机构具备至少一个</w:t>
      </w:r>
      <w:r>
        <w:rPr>
          <w:rFonts w:hint="eastAsia" w:ascii="仿宋_GB2312" w:hAnsi="仿宋_GB2312" w:eastAsia="仿宋_GB2312" w:cs="仿宋_GB2312"/>
          <w:color w:val="444444"/>
          <w:sz w:val="32"/>
          <w:szCs w:val="32"/>
          <w:highlight w:val="none"/>
          <w:shd w:val="clear" w:color="auto" w:fill="FFFFFF"/>
        </w:rPr>
        <w:t>符合以下任一业绩条件</w:t>
      </w:r>
      <w:r>
        <w:rPr>
          <w:rFonts w:hint="eastAsia" w:ascii="仿宋_GB2312" w:hAnsi="仿宋_GB2312" w:eastAsia="仿宋_GB2312" w:cs="仿宋_GB2312"/>
          <w:color w:val="444444"/>
          <w:sz w:val="32"/>
          <w:szCs w:val="32"/>
          <w:highlight w:val="none"/>
          <w:shd w:val="clear" w:color="auto" w:fill="FFFFFF"/>
          <w:lang w:val="en-US" w:eastAsia="zh-CN"/>
        </w:rPr>
        <w:t>的</w:t>
      </w:r>
      <w:r>
        <w:rPr>
          <w:rFonts w:hint="eastAsia" w:ascii="仿宋_GB2312" w:hAnsi="仿宋_GB2312" w:eastAsia="仿宋_GB2312" w:cs="仿宋_GB2312"/>
          <w:color w:val="444444"/>
          <w:sz w:val="32"/>
          <w:szCs w:val="32"/>
          <w:highlight w:val="none"/>
          <w:shd w:val="clear" w:color="auto" w:fill="FFFFFF"/>
        </w:rPr>
        <w:t>实缴规模</w:t>
      </w:r>
      <w:r>
        <w:rPr>
          <w:rFonts w:hint="eastAsia" w:ascii="仿宋_GB2312" w:hAnsi="仿宋_GB2312" w:eastAsia="仿宋_GB2312" w:cs="仿宋_GB2312"/>
          <w:color w:val="444444"/>
          <w:sz w:val="32"/>
          <w:szCs w:val="32"/>
          <w:highlight w:val="none"/>
          <w:shd w:val="clear" w:color="auto" w:fill="FFFFFF"/>
          <w:lang w:val="en-US" w:eastAsia="zh-CN"/>
        </w:rPr>
        <w:t>为</w:t>
      </w:r>
      <w:r>
        <w:rPr>
          <w:rFonts w:hint="eastAsia" w:ascii="仿宋_GB2312" w:hAnsi="仿宋_GB2312" w:eastAsia="仿宋_GB2312" w:cs="仿宋_GB2312"/>
          <w:color w:val="444444"/>
          <w:sz w:val="32"/>
          <w:szCs w:val="32"/>
          <w:highlight w:val="none"/>
          <w:shd w:val="clear" w:color="auto" w:fill="FFFFFF"/>
        </w:rPr>
        <w:t>5000万元以上的</w:t>
      </w:r>
      <w:r>
        <w:rPr>
          <w:rFonts w:hint="eastAsia" w:ascii="仿宋_GB2312" w:hAnsi="仿宋_GB2312" w:eastAsia="仿宋_GB2312" w:cs="仿宋_GB2312"/>
          <w:color w:val="444444"/>
          <w:sz w:val="32"/>
          <w:szCs w:val="32"/>
          <w:highlight w:val="none"/>
          <w:shd w:val="clear" w:color="auto" w:fill="FFFFFF"/>
          <w:lang w:val="en-US" w:eastAsia="zh-CN"/>
        </w:rPr>
        <w:t>基金管理案例</w:t>
      </w:r>
      <w:r>
        <w:rPr>
          <w:rFonts w:hint="eastAsia" w:ascii="仿宋_GB2312" w:hAnsi="仿宋_GB2312" w:eastAsia="仿宋_GB2312" w:cs="仿宋_GB2312"/>
          <w:color w:val="444444"/>
          <w:sz w:val="32"/>
          <w:szCs w:val="32"/>
          <w:highlight w:val="none"/>
          <w:shd w:val="clear" w:color="auto" w:fill="FFFFFF"/>
        </w:rPr>
        <w:t>：</w:t>
      </w:r>
    </w:p>
    <w:p>
      <w:pPr>
        <w:pStyle w:val="7"/>
        <w:widowControl/>
        <w:numPr>
          <w:ilvl w:val="255"/>
          <w:numId w:val="0"/>
        </w:numPr>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shd w:val="clear" w:color="auto" w:fill="FFFFFF"/>
        </w:rPr>
      </w:pPr>
      <w:r>
        <w:rPr>
          <w:rFonts w:hint="eastAsia" w:ascii="仿宋_GB2312" w:hAnsi="仿宋_GB2312" w:eastAsia="仿宋_GB2312" w:cs="仿宋_GB2312"/>
          <w:color w:val="444444"/>
          <w:sz w:val="32"/>
          <w:szCs w:val="32"/>
          <w:highlight w:val="none"/>
          <w:shd w:val="clear" w:color="auto" w:fill="FFFFFF"/>
        </w:rPr>
        <w:t>1.</w:t>
      </w:r>
      <w:r>
        <w:rPr>
          <w:rFonts w:hint="eastAsia" w:ascii="仿宋_GB2312" w:hAnsi="仿宋_GB2312" w:eastAsia="仿宋_GB2312" w:cs="仿宋_GB2312"/>
          <w:color w:val="444444"/>
          <w:sz w:val="32"/>
          <w:szCs w:val="32"/>
          <w:highlight w:val="none"/>
          <w:shd w:val="clear" w:color="auto" w:fill="FFFFFF"/>
          <w:lang w:val="en-US" w:eastAsia="zh-CN"/>
        </w:rPr>
        <w:t>成立之日起</w:t>
      </w:r>
      <w:r>
        <w:rPr>
          <w:rFonts w:hint="eastAsia" w:ascii="仿宋_GB2312" w:hAnsi="仿宋_GB2312" w:eastAsia="仿宋_GB2312" w:cs="仿宋_GB2312"/>
          <w:color w:val="444444"/>
          <w:sz w:val="32"/>
          <w:szCs w:val="32"/>
          <w:highlight w:val="none"/>
          <w:shd w:val="clear" w:color="auto" w:fill="FFFFFF"/>
        </w:rPr>
        <w:t>5年</w:t>
      </w:r>
      <w:r>
        <w:rPr>
          <w:rFonts w:hint="eastAsia" w:ascii="仿宋_GB2312" w:hAnsi="仿宋_GB2312" w:eastAsia="仿宋_GB2312" w:cs="仿宋_GB2312"/>
          <w:color w:val="444444"/>
          <w:sz w:val="32"/>
          <w:szCs w:val="32"/>
          <w:highlight w:val="none"/>
          <w:shd w:val="clear" w:color="auto" w:fill="FFFFFF"/>
          <w:lang w:val="en-US" w:eastAsia="zh-CN"/>
        </w:rPr>
        <w:t>期末</w:t>
      </w:r>
      <w:r>
        <w:rPr>
          <w:rFonts w:hint="eastAsia" w:ascii="仿宋_GB2312" w:hAnsi="仿宋_GB2312" w:eastAsia="仿宋_GB2312" w:cs="仿宋_GB2312"/>
          <w:color w:val="444444"/>
          <w:sz w:val="32"/>
          <w:szCs w:val="32"/>
          <w:highlight w:val="none"/>
          <w:shd w:val="clear" w:color="auto" w:fill="FFFFFF"/>
        </w:rPr>
        <w:t>DPI</w:t>
      </w:r>
      <w:r>
        <w:rPr>
          <w:rFonts w:hint="eastAsia" w:ascii="仿宋_GB2312" w:hAnsi="仿宋_GB2312" w:eastAsia="仿宋_GB2312" w:cs="仿宋_GB2312"/>
          <w:color w:val="444444"/>
          <w:sz w:val="32"/>
          <w:szCs w:val="32"/>
          <w:highlight w:val="none"/>
          <w:shd w:val="clear" w:color="auto" w:fill="FFFFFF"/>
          <w:lang w:eastAsia="zh-CN"/>
        </w:rPr>
        <w:t>（</w:t>
      </w:r>
      <w:r>
        <w:rPr>
          <w:rFonts w:hint="eastAsia" w:ascii="仿宋_GB2312" w:hAnsi="仿宋_GB2312" w:eastAsia="仿宋_GB2312" w:cs="仿宋_GB2312"/>
          <w:color w:val="444444"/>
          <w:sz w:val="32"/>
          <w:szCs w:val="32"/>
          <w:highlight w:val="none"/>
          <w:shd w:val="clear" w:color="auto" w:fill="FFFFFF"/>
        </w:rPr>
        <w:t>已分配收益倍数</w:t>
      </w:r>
      <w:r>
        <w:rPr>
          <w:rFonts w:hint="eastAsia" w:ascii="仿宋_GB2312" w:hAnsi="仿宋_GB2312" w:eastAsia="仿宋_GB2312" w:cs="仿宋_GB2312"/>
          <w:color w:val="444444"/>
          <w:sz w:val="32"/>
          <w:szCs w:val="32"/>
          <w:highlight w:val="none"/>
          <w:shd w:val="clear" w:color="auto" w:fill="FFFFFF"/>
          <w:lang w:eastAsia="zh-CN"/>
        </w:rPr>
        <w:t>）</w:t>
      </w:r>
      <w:r>
        <w:rPr>
          <w:rFonts w:hint="eastAsia" w:ascii="仿宋_GB2312" w:hAnsi="仿宋_GB2312" w:eastAsia="仿宋_GB2312" w:cs="仿宋_GB2312"/>
          <w:color w:val="444444"/>
          <w:sz w:val="32"/>
          <w:szCs w:val="32"/>
          <w:highlight w:val="none"/>
          <w:shd w:val="clear" w:color="auto" w:fill="FFFFFF"/>
        </w:rPr>
        <w:t>值大于0.3；</w:t>
      </w:r>
    </w:p>
    <w:p>
      <w:pPr>
        <w:pStyle w:val="7"/>
        <w:widowControl/>
        <w:numPr>
          <w:ilvl w:val="255"/>
          <w:numId w:val="0"/>
        </w:numPr>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shd w:val="clear" w:color="auto" w:fill="FFFFFF"/>
        </w:rPr>
      </w:pPr>
      <w:r>
        <w:rPr>
          <w:rFonts w:hint="eastAsia" w:ascii="仿宋_GB2312" w:hAnsi="仿宋_GB2312" w:eastAsia="仿宋_GB2312" w:cs="仿宋_GB2312"/>
          <w:color w:val="444444"/>
          <w:sz w:val="32"/>
          <w:szCs w:val="32"/>
          <w:highlight w:val="none"/>
          <w:shd w:val="clear" w:color="auto" w:fill="FFFFFF"/>
        </w:rPr>
        <w:t>2.</w:t>
      </w:r>
      <w:r>
        <w:rPr>
          <w:rFonts w:hint="eastAsia" w:ascii="仿宋_GB2312" w:hAnsi="仿宋_GB2312" w:eastAsia="仿宋_GB2312" w:cs="仿宋_GB2312"/>
          <w:color w:val="444444"/>
          <w:sz w:val="32"/>
          <w:szCs w:val="32"/>
          <w:highlight w:val="none"/>
          <w:shd w:val="clear" w:color="auto" w:fill="FFFFFF"/>
          <w:lang w:val="en-US" w:eastAsia="zh-CN"/>
        </w:rPr>
        <w:t>成立之日起</w:t>
      </w:r>
      <w:r>
        <w:rPr>
          <w:rFonts w:hint="eastAsia" w:ascii="仿宋_GB2312" w:hAnsi="仿宋_GB2312" w:eastAsia="仿宋_GB2312" w:cs="仿宋_GB2312"/>
          <w:color w:val="444444"/>
          <w:sz w:val="32"/>
          <w:szCs w:val="32"/>
          <w:highlight w:val="none"/>
          <w:shd w:val="clear" w:color="auto" w:fill="FFFFFF"/>
        </w:rPr>
        <w:t>5年</w:t>
      </w:r>
      <w:r>
        <w:rPr>
          <w:rFonts w:hint="eastAsia" w:ascii="仿宋_GB2312" w:hAnsi="仿宋_GB2312" w:eastAsia="仿宋_GB2312" w:cs="仿宋_GB2312"/>
          <w:color w:val="444444"/>
          <w:sz w:val="32"/>
          <w:szCs w:val="32"/>
          <w:highlight w:val="none"/>
          <w:shd w:val="clear" w:color="auto" w:fill="FFFFFF"/>
          <w:lang w:val="en-US" w:eastAsia="zh-CN"/>
        </w:rPr>
        <w:t>期末</w:t>
      </w:r>
      <w:r>
        <w:rPr>
          <w:rFonts w:hint="eastAsia" w:ascii="仿宋_GB2312" w:hAnsi="仿宋_GB2312" w:eastAsia="仿宋_GB2312" w:cs="仿宋_GB2312"/>
          <w:color w:val="444444"/>
          <w:sz w:val="32"/>
          <w:szCs w:val="32"/>
          <w:highlight w:val="none"/>
          <w:shd w:val="clear" w:color="auto" w:fill="FFFFFF"/>
        </w:rPr>
        <w:t>TVPI</w:t>
      </w:r>
      <w:r>
        <w:rPr>
          <w:rFonts w:hint="eastAsia" w:ascii="仿宋_GB2312" w:hAnsi="仿宋_GB2312" w:eastAsia="仿宋_GB2312" w:cs="仿宋_GB2312"/>
          <w:color w:val="444444"/>
          <w:sz w:val="32"/>
          <w:szCs w:val="32"/>
          <w:highlight w:val="none"/>
          <w:shd w:val="clear" w:color="auto" w:fill="FFFFFF"/>
          <w:lang w:eastAsia="zh-CN"/>
        </w:rPr>
        <w:t>（</w:t>
      </w:r>
      <w:r>
        <w:rPr>
          <w:rFonts w:hint="eastAsia" w:ascii="仿宋_GB2312" w:hAnsi="仿宋_GB2312" w:eastAsia="仿宋_GB2312" w:cs="仿宋_GB2312"/>
          <w:color w:val="444444"/>
          <w:sz w:val="32"/>
          <w:szCs w:val="32"/>
          <w:highlight w:val="none"/>
          <w:shd w:val="clear" w:color="auto" w:fill="FFFFFF"/>
        </w:rPr>
        <w:t>总收益倍数</w:t>
      </w:r>
      <w:r>
        <w:rPr>
          <w:rFonts w:hint="eastAsia" w:ascii="仿宋_GB2312" w:hAnsi="仿宋_GB2312" w:eastAsia="仿宋_GB2312" w:cs="仿宋_GB2312"/>
          <w:color w:val="444444"/>
          <w:sz w:val="32"/>
          <w:szCs w:val="32"/>
          <w:highlight w:val="none"/>
          <w:shd w:val="clear" w:color="auto" w:fill="FFFFFF"/>
          <w:lang w:eastAsia="zh-CN"/>
        </w:rPr>
        <w:t>）</w:t>
      </w:r>
      <w:r>
        <w:rPr>
          <w:rFonts w:hint="eastAsia" w:ascii="仿宋_GB2312" w:hAnsi="仿宋_GB2312" w:eastAsia="仿宋_GB2312" w:cs="仿宋_GB2312"/>
          <w:color w:val="444444"/>
          <w:sz w:val="32"/>
          <w:szCs w:val="32"/>
          <w:highlight w:val="none"/>
          <w:shd w:val="clear" w:color="auto" w:fill="FFFFFF"/>
        </w:rPr>
        <w:t>大于1</w:t>
      </w:r>
      <w:r>
        <w:rPr>
          <w:rFonts w:ascii="仿宋_GB2312" w:hAnsi="仿宋_GB2312" w:eastAsia="仿宋_GB2312" w:cs="仿宋_GB2312"/>
          <w:color w:val="444444"/>
          <w:sz w:val="32"/>
          <w:szCs w:val="32"/>
          <w:highlight w:val="none"/>
          <w:shd w:val="clear" w:color="auto" w:fill="FFFFFF"/>
        </w:rPr>
        <w:t>5</w:t>
      </w:r>
      <w:r>
        <w:rPr>
          <w:rFonts w:hint="eastAsia" w:ascii="仿宋_GB2312" w:hAnsi="仿宋_GB2312" w:eastAsia="仿宋_GB2312" w:cs="仿宋_GB2312"/>
          <w:color w:val="444444"/>
          <w:sz w:val="32"/>
          <w:szCs w:val="32"/>
          <w:highlight w:val="none"/>
          <w:shd w:val="clear" w:color="auto" w:fill="FFFFFF"/>
        </w:rPr>
        <w:t>0%。</w:t>
      </w:r>
    </w:p>
    <w:p>
      <w:pPr>
        <w:pStyle w:val="7"/>
        <w:widowControl/>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shd w:val="clear" w:color="auto" w:fill="FFFFFF"/>
        </w:rPr>
      </w:pPr>
      <w:r>
        <w:rPr>
          <w:rFonts w:hint="eastAsia" w:ascii="仿宋_GB2312" w:hAnsi="仿宋_GB2312" w:eastAsia="仿宋_GB2312" w:cs="仿宋_GB2312"/>
          <w:color w:val="444444"/>
          <w:sz w:val="32"/>
          <w:szCs w:val="32"/>
          <w:highlight w:val="none"/>
          <w:shd w:val="clear" w:color="auto" w:fill="FFFFFF"/>
        </w:rPr>
        <w:t>成立不足5年的</w:t>
      </w:r>
      <w:r>
        <w:rPr>
          <w:rFonts w:hint="eastAsia" w:ascii="仿宋_GB2312" w:hAnsi="仿宋_GB2312" w:eastAsia="仿宋_GB2312" w:cs="仿宋_GB2312"/>
          <w:color w:val="444444"/>
          <w:sz w:val="32"/>
          <w:szCs w:val="32"/>
          <w:highlight w:val="none"/>
          <w:shd w:val="clear" w:color="auto" w:fill="FFFFFF"/>
          <w:lang w:val="en-US" w:eastAsia="zh-CN"/>
        </w:rPr>
        <w:t>基金</w:t>
      </w:r>
      <w:r>
        <w:rPr>
          <w:rFonts w:hint="eastAsia" w:ascii="仿宋_GB2312" w:hAnsi="仿宋_GB2312" w:eastAsia="仿宋_GB2312" w:cs="仿宋_GB2312"/>
          <w:color w:val="444444"/>
          <w:sz w:val="32"/>
          <w:szCs w:val="32"/>
          <w:highlight w:val="none"/>
          <w:shd w:val="clear" w:color="auto" w:fill="FFFFFF"/>
          <w:lang w:eastAsia="zh-CN"/>
        </w:rPr>
        <w:t>，</w:t>
      </w:r>
      <w:r>
        <w:rPr>
          <w:rFonts w:hint="eastAsia" w:ascii="仿宋_GB2312" w:hAnsi="仿宋_GB2312" w:eastAsia="仿宋_GB2312" w:cs="仿宋_GB2312"/>
          <w:color w:val="444444"/>
          <w:sz w:val="32"/>
          <w:szCs w:val="32"/>
          <w:highlight w:val="none"/>
          <w:shd w:val="clear" w:color="auto" w:fill="FFFFFF"/>
          <w:lang w:val="en-US" w:eastAsia="zh-CN"/>
        </w:rPr>
        <w:t>认定时点为申请机构向南控母基金提出申请之日的时点。</w:t>
      </w:r>
    </w:p>
    <w:p>
      <w:pPr>
        <w:pStyle w:val="7"/>
        <w:widowControl/>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shd w:val="clear" w:color="auto" w:fill="FFFFFF"/>
        </w:rPr>
      </w:pPr>
      <w:r>
        <w:rPr>
          <w:rFonts w:hint="eastAsia" w:ascii="仿宋_GB2312" w:hAnsi="仿宋_GB2312" w:eastAsia="仿宋_GB2312" w:cs="仿宋_GB2312"/>
          <w:color w:val="444444"/>
          <w:sz w:val="32"/>
          <w:szCs w:val="32"/>
          <w:highlight w:val="none"/>
          <w:shd w:val="clear" w:color="auto" w:fill="FFFFFF"/>
          <w:lang w:eastAsia="zh-CN"/>
        </w:rPr>
        <w:t>（</w:t>
      </w:r>
      <w:r>
        <w:rPr>
          <w:rFonts w:hint="eastAsia" w:ascii="仿宋_GB2312" w:hAnsi="仿宋_GB2312" w:eastAsia="仿宋_GB2312" w:cs="仿宋_GB2312"/>
          <w:color w:val="444444"/>
          <w:sz w:val="32"/>
          <w:szCs w:val="32"/>
          <w:highlight w:val="none"/>
          <w:shd w:val="clear" w:color="auto" w:fill="FFFFFF"/>
          <w:lang w:val="en-US" w:eastAsia="zh-CN"/>
        </w:rPr>
        <w:t>三</w:t>
      </w:r>
      <w:r>
        <w:rPr>
          <w:rFonts w:hint="eastAsia" w:ascii="仿宋_GB2312" w:hAnsi="仿宋_GB2312" w:eastAsia="仿宋_GB2312" w:cs="仿宋_GB2312"/>
          <w:color w:val="444444"/>
          <w:sz w:val="32"/>
          <w:szCs w:val="32"/>
          <w:highlight w:val="none"/>
          <w:shd w:val="clear" w:color="auto" w:fill="FFFFFF"/>
          <w:lang w:eastAsia="zh-CN"/>
        </w:rPr>
        <w:t>）</w:t>
      </w:r>
      <w:r>
        <w:rPr>
          <w:rFonts w:hint="eastAsia" w:ascii="仿宋_GB2312" w:hAnsi="仿宋_GB2312" w:eastAsia="仿宋_GB2312" w:cs="仿宋_GB2312"/>
          <w:color w:val="444444"/>
          <w:sz w:val="32"/>
          <w:szCs w:val="32"/>
          <w:highlight w:val="none"/>
          <w:shd w:val="clear" w:color="auto" w:fill="FFFFFF"/>
          <w:lang w:val="en-US" w:eastAsia="zh-CN"/>
        </w:rPr>
        <w:t>管理机构的核心管理成员主导的单一项目投资金额为1000万元以上，且符合以下任一业绩条件的投资案例总计不少于三个（多个成员参与的同一项目不累计计算）</w:t>
      </w:r>
      <w:r>
        <w:rPr>
          <w:rFonts w:hint="eastAsia" w:ascii="仿宋_GB2312" w:hAnsi="仿宋_GB2312" w:eastAsia="仿宋_GB2312" w:cs="仿宋_GB2312"/>
          <w:color w:val="444444"/>
          <w:sz w:val="32"/>
          <w:szCs w:val="32"/>
          <w:highlight w:val="none"/>
          <w:shd w:val="clear" w:color="auto" w:fill="FFFFFF"/>
        </w:rPr>
        <w:t>：</w:t>
      </w:r>
    </w:p>
    <w:p>
      <w:pPr>
        <w:pStyle w:val="7"/>
        <w:widowControl/>
        <w:numPr>
          <w:ilvl w:val="-1"/>
          <w:numId w:val="0"/>
        </w:numPr>
        <w:shd w:val="clear" w:color="auto" w:fill="FFFFFF"/>
        <w:wordWrap w:val="0"/>
        <w:spacing w:beforeAutospacing="0" w:afterAutospacing="0" w:line="520" w:lineRule="exact"/>
        <w:ind w:firstLine="640" w:firstLineChars="200"/>
        <w:rPr>
          <w:rFonts w:hint="eastAsia" w:ascii="仿宋_GB2312" w:hAnsi="仿宋_GB2312" w:eastAsia="仿宋_GB2312" w:cs="仿宋_GB2312"/>
          <w:color w:val="444444"/>
          <w:sz w:val="32"/>
          <w:szCs w:val="32"/>
          <w:highlight w:val="none"/>
          <w:shd w:val="clear" w:color="auto" w:fill="FFFFFF"/>
          <w:lang w:eastAsia="zh-CN"/>
        </w:rPr>
      </w:pPr>
      <w:r>
        <w:rPr>
          <w:rFonts w:hint="eastAsia" w:ascii="仿宋_GB2312" w:hAnsi="仿宋_GB2312" w:eastAsia="仿宋_GB2312" w:cs="仿宋_GB2312"/>
          <w:color w:val="444444"/>
          <w:sz w:val="32"/>
          <w:szCs w:val="32"/>
          <w:highlight w:val="none"/>
          <w:shd w:val="clear" w:color="auto" w:fill="FFFFFF"/>
          <w:lang w:val="en-US" w:eastAsia="zh-CN"/>
        </w:rPr>
        <w:t>1.项目于2021年1月1日之后退出，退出时的</w:t>
      </w:r>
      <w:r>
        <w:rPr>
          <w:rFonts w:hint="eastAsia" w:ascii="仿宋_GB2312" w:hAnsi="仿宋_GB2312" w:eastAsia="仿宋_GB2312" w:cs="仿宋_GB2312"/>
          <w:color w:val="444444"/>
          <w:sz w:val="32"/>
          <w:szCs w:val="32"/>
          <w:highlight w:val="none"/>
          <w:shd w:val="clear" w:color="auto" w:fill="FFFFFF"/>
        </w:rPr>
        <w:t>投资回报率</w:t>
      </w:r>
      <w:r>
        <w:rPr>
          <w:rStyle w:val="14"/>
          <w:rFonts w:hint="eastAsia" w:ascii="仿宋_GB2312" w:hAnsi="仿宋_GB2312" w:eastAsia="仿宋_GB2312" w:cs="仿宋_GB2312"/>
          <w:color w:val="444444"/>
          <w:sz w:val="32"/>
          <w:szCs w:val="32"/>
          <w:highlight w:val="none"/>
          <w:shd w:val="clear" w:color="auto" w:fill="FFFFFF"/>
        </w:rPr>
        <w:footnoteReference w:id="3"/>
      </w:r>
      <w:r>
        <w:rPr>
          <w:rFonts w:hint="eastAsia" w:ascii="仿宋_GB2312" w:hAnsi="仿宋_GB2312" w:eastAsia="仿宋_GB2312" w:cs="仿宋_GB2312"/>
          <w:color w:val="444444"/>
          <w:sz w:val="32"/>
          <w:szCs w:val="32"/>
          <w:highlight w:val="none"/>
          <w:shd w:val="clear" w:color="auto" w:fill="FFFFFF"/>
        </w:rPr>
        <w:t>超过100%</w:t>
      </w:r>
      <w:r>
        <w:rPr>
          <w:rFonts w:hint="eastAsia" w:ascii="仿宋_GB2312" w:hAnsi="仿宋_GB2312" w:eastAsia="仿宋_GB2312" w:cs="仿宋_GB2312"/>
          <w:color w:val="444444"/>
          <w:sz w:val="32"/>
          <w:szCs w:val="32"/>
          <w:highlight w:val="none"/>
          <w:shd w:val="clear" w:color="auto" w:fill="FFFFFF"/>
          <w:lang w:eastAsia="zh-CN"/>
        </w:rPr>
        <w:t>；</w:t>
      </w:r>
    </w:p>
    <w:p>
      <w:pPr>
        <w:pStyle w:val="7"/>
        <w:widowControl/>
        <w:numPr>
          <w:ilvl w:val="-1"/>
          <w:numId w:val="0"/>
        </w:numPr>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shd w:val="clear" w:color="auto" w:fill="FFFFFF"/>
        </w:rPr>
      </w:pPr>
      <w:r>
        <w:rPr>
          <w:rFonts w:hint="eastAsia" w:ascii="仿宋_GB2312" w:hAnsi="仿宋_GB2312" w:eastAsia="仿宋_GB2312" w:cs="仿宋_GB2312"/>
          <w:color w:val="444444"/>
          <w:sz w:val="32"/>
          <w:szCs w:val="32"/>
          <w:highlight w:val="none"/>
          <w:shd w:val="clear" w:color="auto" w:fill="FFFFFF"/>
          <w:lang w:val="en-US" w:eastAsia="zh-CN"/>
        </w:rPr>
        <w:t>2.项目于2021年1月1日之后</w:t>
      </w:r>
      <w:r>
        <w:rPr>
          <w:rFonts w:hint="eastAsia" w:ascii="仿宋_GB2312" w:hAnsi="仿宋_GB2312" w:eastAsia="仿宋_GB2312" w:cs="仿宋_GB2312"/>
          <w:color w:val="444444"/>
          <w:sz w:val="32"/>
          <w:szCs w:val="32"/>
          <w:highlight w:val="none"/>
          <w:shd w:val="clear" w:color="auto" w:fill="FFFFFF"/>
        </w:rPr>
        <w:t>完成A股（主板/创业板/科创板）IPO或重组上市</w:t>
      </w:r>
      <w:r>
        <w:rPr>
          <w:rFonts w:hint="eastAsia" w:ascii="仿宋_GB2312" w:hAnsi="仿宋_GB2312" w:eastAsia="仿宋_GB2312" w:cs="仿宋_GB2312"/>
          <w:color w:val="444444"/>
          <w:sz w:val="32"/>
          <w:szCs w:val="32"/>
          <w:highlight w:val="none"/>
          <w:shd w:val="clear" w:color="auto" w:fill="FFFFFF"/>
          <w:lang w:eastAsia="zh-CN"/>
        </w:rPr>
        <w:t>。</w:t>
      </w:r>
    </w:p>
    <w:p>
      <w:pPr>
        <w:pStyle w:val="7"/>
        <w:widowControl/>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shd w:val="clear" w:color="auto" w:fill="FFFFFF"/>
        </w:rPr>
      </w:pPr>
      <w:r>
        <w:rPr>
          <w:rFonts w:hint="eastAsia" w:ascii="仿宋_GB2312" w:hAnsi="仿宋_GB2312" w:eastAsia="仿宋_GB2312" w:cs="仿宋_GB2312"/>
          <w:color w:val="444444"/>
          <w:sz w:val="32"/>
          <w:szCs w:val="32"/>
          <w:highlight w:val="none"/>
          <w:shd w:val="clear" w:color="auto" w:fill="FFFFFF"/>
        </w:rPr>
        <w:t>第</w:t>
      </w:r>
      <w:r>
        <w:rPr>
          <w:rFonts w:hint="eastAsia" w:ascii="仿宋_GB2312" w:hAnsi="仿宋_GB2312" w:eastAsia="仿宋_GB2312" w:cs="仿宋_GB2312"/>
          <w:color w:val="444444"/>
          <w:sz w:val="32"/>
          <w:szCs w:val="32"/>
          <w:highlight w:val="none"/>
          <w:shd w:val="clear" w:color="auto" w:fill="FFFFFF"/>
          <w:lang w:val="en-US" w:eastAsia="zh-CN"/>
        </w:rPr>
        <w:t>九</w:t>
      </w:r>
      <w:r>
        <w:rPr>
          <w:rFonts w:hint="eastAsia" w:ascii="仿宋_GB2312" w:hAnsi="仿宋_GB2312" w:eastAsia="仿宋_GB2312" w:cs="仿宋_GB2312"/>
          <w:color w:val="444444"/>
          <w:sz w:val="32"/>
          <w:szCs w:val="32"/>
          <w:highlight w:val="none"/>
          <w:shd w:val="clear" w:color="auto" w:fill="FFFFFF"/>
        </w:rPr>
        <w:t>条 若管理机构与申请机构为同一主体，则管理机构需</w:t>
      </w:r>
      <w:r>
        <w:rPr>
          <w:rFonts w:hint="eastAsia" w:ascii="仿宋_GB2312" w:hAnsi="仿宋_GB2312" w:eastAsia="仿宋_GB2312" w:cs="仿宋_GB2312"/>
          <w:color w:val="444444"/>
          <w:sz w:val="32"/>
          <w:szCs w:val="32"/>
          <w:highlight w:val="none"/>
          <w:shd w:val="clear" w:color="auto" w:fill="FFFFFF"/>
          <w:lang w:val="en-US" w:eastAsia="zh-CN"/>
        </w:rPr>
        <w:t>同时</w:t>
      </w:r>
      <w:r>
        <w:rPr>
          <w:rFonts w:hint="eastAsia" w:ascii="仿宋_GB2312" w:hAnsi="仿宋_GB2312" w:eastAsia="仿宋_GB2312" w:cs="仿宋_GB2312"/>
          <w:color w:val="444444"/>
          <w:sz w:val="32"/>
          <w:szCs w:val="32"/>
          <w:highlight w:val="none"/>
          <w:shd w:val="clear" w:color="auto" w:fill="FFFFFF"/>
        </w:rPr>
        <w:t>符合申</w:t>
      </w:r>
      <w:r>
        <w:rPr>
          <w:rFonts w:hint="eastAsia" w:ascii="仿宋_GB2312" w:hAnsi="仿宋_GB2312" w:eastAsia="仿宋_GB2312" w:cs="仿宋_GB2312"/>
          <w:color w:val="444444"/>
          <w:sz w:val="32"/>
          <w:szCs w:val="32"/>
          <w:highlight w:val="none"/>
          <w:shd w:val="clear" w:color="auto" w:fill="FFFFFF"/>
          <w:lang w:val="en-US" w:eastAsia="zh-CN"/>
        </w:rPr>
        <w:t>请</w:t>
      </w:r>
      <w:r>
        <w:rPr>
          <w:rFonts w:hint="eastAsia" w:ascii="仿宋_GB2312" w:hAnsi="仿宋_GB2312" w:eastAsia="仿宋_GB2312" w:cs="仿宋_GB2312"/>
          <w:color w:val="444444"/>
          <w:sz w:val="32"/>
          <w:szCs w:val="32"/>
          <w:highlight w:val="none"/>
          <w:shd w:val="clear" w:color="auto" w:fill="FFFFFF"/>
        </w:rPr>
        <w:t>机构各项要求。若管理机构与申请机构非同一主体，则需提供</w:t>
      </w:r>
      <w:r>
        <w:rPr>
          <w:rFonts w:hint="eastAsia" w:ascii="仿宋_GB2312" w:hAnsi="仿宋_GB2312" w:eastAsia="仿宋_GB2312" w:cs="仿宋_GB2312"/>
          <w:color w:val="444444"/>
          <w:sz w:val="32"/>
          <w:szCs w:val="32"/>
          <w:highlight w:val="none"/>
          <w:shd w:val="clear" w:color="auto" w:fill="FFFFFF"/>
          <w:lang w:val="en-US" w:eastAsia="zh-CN"/>
        </w:rPr>
        <w:t>符合第三条要求的</w:t>
      </w:r>
      <w:r>
        <w:rPr>
          <w:rFonts w:hint="eastAsia" w:ascii="仿宋_GB2312" w:hAnsi="仿宋_GB2312" w:eastAsia="仿宋_GB2312" w:cs="仿宋_GB2312"/>
          <w:color w:val="444444"/>
          <w:sz w:val="32"/>
          <w:szCs w:val="32"/>
          <w:highlight w:val="none"/>
          <w:shd w:val="clear" w:color="auto" w:fill="FFFFFF"/>
        </w:rPr>
        <w:t>关联关系书面说明及证明。</w:t>
      </w:r>
    </w:p>
    <w:p>
      <w:pPr>
        <w:pStyle w:val="7"/>
        <w:widowControl/>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shd w:val="clear" w:color="auto" w:fill="FFFFFF"/>
        </w:rPr>
      </w:pPr>
    </w:p>
    <w:p>
      <w:pPr>
        <w:pStyle w:val="7"/>
        <w:widowControl/>
        <w:shd w:val="clear" w:color="auto" w:fill="FFFFFF"/>
        <w:wordWrap w:val="0"/>
        <w:spacing w:beforeAutospacing="0" w:afterAutospacing="0" w:line="520" w:lineRule="exact"/>
        <w:jc w:val="center"/>
        <w:rPr>
          <w:rFonts w:ascii="黑体" w:hAnsi="黑体" w:eastAsia="黑体" w:cs="黑体"/>
          <w:color w:val="444444"/>
          <w:sz w:val="32"/>
          <w:szCs w:val="32"/>
          <w:highlight w:val="none"/>
          <w:shd w:val="clear" w:color="auto" w:fill="FFFFFF"/>
        </w:rPr>
      </w:pPr>
      <w:r>
        <w:rPr>
          <w:rFonts w:hint="eastAsia" w:ascii="黑体" w:hAnsi="黑体" w:eastAsia="黑体" w:cs="黑体"/>
          <w:color w:val="444444"/>
          <w:sz w:val="32"/>
          <w:szCs w:val="32"/>
          <w:highlight w:val="none"/>
          <w:shd w:val="clear" w:color="auto" w:fill="FFFFFF"/>
        </w:rPr>
        <w:t>第四章 子基金方案要求</w:t>
      </w:r>
    </w:p>
    <w:p>
      <w:pPr>
        <w:pStyle w:val="7"/>
        <w:widowControl/>
        <w:shd w:val="clear" w:color="auto" w:fill="FFFFFF"/>
        <w:wordWrap w:val="0"/>
        <w:spacing w:beforeAutospacing="0" w:afterAutospacing="0" w:line="520" w:lineRule="exact"/>
        <w:ind w:firstLine="640" w:firstLineChars="200"/>
        <w:rPr>
          <w:rFonts w:hint="eastAsia" w:ascii="仿宋_GB2312" w:hAnsi="仿宋_GB2312" w:eastAsia="仿宋_GB2312" w:cs="仿宋_GB2312"/>
          <w:color w:val="444444"/>
          <w:sz w:val="32"/>
          <w:szCs w:val="32"/>
          <w:highlight w:val="none"/>
          <w:shd w:val="clear" w:color="auto" w:fill="FFFFFF"/>
        </w:rPr>
      </w:pPr>
      <w:r>
        <w:rPr>
          <w:rFonts w:hint="eastAsia" w:ascii="仿宋_GB2312" w:hAnsi="仿宋_GB2312" w:eastAsia="仿宋_GB2312" w:cs="仿宋_GB2312"/>
          <w:color w:val="444444"/>
          <w:sz w:val="32"/>
          <w:szCs w:val="32"/>
          <w:highlight w:val="none"/>
          <w:shd w:val="clear" w:color="auto" w:fill="FFFFFF"/>
        </w:rPr>
        <w:t>第十条 子基金</w:t>
      </w:r>
      <w:r>
        <w:rPr>
          <w:rFonts w:hint="eastAsia" w:ascii="仿宋_GB2312" w:hAnsi="仿宋_GB2312" w:eastAsia="仿宋_GB2312" w:cs="仿宋_GB2312"/>
          <w:color w:val="444444"/>
          <w:sz w:val="32"/>
          <w:szCs w:val="32"/>
          <w:highlight w:val="none"/>
          <w:shd w:val="clear" w:color="auto" w:fill="FFFFFF"/>
          <w:lang w:val="en-US" w:eastAsia="zh-CN"/>
        </w:rPr>
        <w:t>设立规模</w:t>
      </w:r>
      <w:r>
        <w:rPr>
          <w:rFonts w:hint="eastAsia" w:ascii="仿宋_GB2312" w:hAnsi="仿宋_GB2312" w:eastAsia="仿宋_GB2312" w:cs="仿宋_GB2312"/>
          <w:color w:val="444444"/>
          <w:sz w:val="32"/>
          <w:szCs w:val="32"/>
          <w:highlight w:val="none"/>
          <w:shd w:val="clear" w:color="auto" w:fill="FFFFFF"/>
        </w:rPr>
        <w:t>原则上不少于1亿元人民币</w:t>
      </w:r>
      <w:r>
        <w:rPr>
          <w:rFonts w:hint="eastAsia" w:ascii="仿宋_GB2312" w:hAnsi="仿宋_GB2312" w:eastAsia="仿宋_GB2312" w:cs="仿宋_GB2312"/>
          <w:color w:val="444444"/>
          <w:sz w:val="32"/>
          <w:szCs w:val="32"/>
          <w:highlight w:val="none"/>
          <w:shd w:val="clear" w:color="auto" w:fill="FFFFFF"/>
          <w:lang w:eastAsia="zh-CN"/>
        </w:rPr>
        <w:t>。</w:t>
      </w:r>
      <w:r>
        <w:rPr>
          <w:rFonts w:hint="eastAsia" w:ascii="仿宋_GB2312" w:hAnsi="仿宋_GB2312" w:eastAsia="仿宋_GB2312" w:cs="仿宋_GB2312"/>
          <w:color w:val="444444"/>
          <w:sz w:val="32"/>
          <w:szCs w:val="32"/>
          <w:highlight w:val="none"/>
          <w:shd w:val="clear" w:color="auto" w:fill="FFFFFF"/>
        </w:rPr>
        <w:t>子基金</w:t>
      </w:r>
      <w:r>
        <w:rPr>
          <w:rFonts w:hint="eastAsia" w:ascii="仿宋_GB2312" w:hAnsi="仿宋_GB2312" w:eastAsia="仿宋_GB2312" w:cs="仿宋_GB2312"/>
          <w:color w:val="444444"/>
          <w:sz w:val="32"/>
          <w:szCs w:val="32"/>
          <w:highlight w:val="none"/>
          <w:shd w:val="clear" w:color="auto" w:fill="FFFFFF"/>
          <w:lang w:val="en-US" w:eastAsia="zh-CN"/>
        </w:rPr>
        <w:t>申请机构、</w:t>
      </w:r>
      <w:r>
        <w:rPr>
          <w:rFonts w:hint="eastAsia" w:ascii="仿宋_GB2312" w:hAnsi="仿宋_GB2312" w:eastAsia="仿宋_GB2312" w:cs="仿宋_GB2312"/>
          <w:color w:val="444444"/>
          <w:sz w:val="32"/>
          <w:szCs w:val="32"/>
          <w:highlight w:val="none"/>
          <w:shd w:val="clear" w:color="auto" w:fill="FFFFFF"/>
        </w:rPr>
        <w:t>管理机构</w:t>
      </w:r>
      <w:r>
        <w:rPr>
          <w:rFonts w:hint="eastAsia" w:ascii="仿宋_GB2312" w:hAnsi="仿宋_GB2312" w:eastAsia="仿宋_GB2312" w:cs="仿宋_GB2312"/>
          <w:color w:val="444444"/>
          <w:sz w:val="32"/>
          <w:szCs w:val="32"/>
          <w:highlight w:val="none"/>
          <w:shd w:val="clear" w:color="auto" w:fill="FFFFFF"/>
          <w:lang w:val="en-US" w:eastAsia="zh-CN"/>
        </w:rPr>
        <w:t>及</w:t>
      </w:r>
      <w:r>
        <w:rPr>
          <w:rFonts w:hint="eastAsia" w:ascii="仿宋_GB2312" w:hAnsi="仿宋_GB2312" w:eastAsia="仿宋_GB2312" w:cs="仿宋_GB2312"/>
          <w:color w:val="444444"/>
          <w:sz w:val="32"/>
          <w:szCs w:val="32"/>
          <w:highlight w:val="none"/>
          <w:shd w:val="clear" w:color="auto" w:fill="FFFFFF"/>
        </w:rPr>
        <w:t>其关联方对子基金的出资比例合计不低于</w:t>
      </w:r>
      <w:r>
        <w:rPr>
          <w:rFonts w:ascii="仿宋_GB2312" w:hAnsi="仿宋_GB2312" w:eastAsia="仿宋_GB2312" w:cs="仿宋_GB2312"/>
          <w:color w:val="444444"/>
          <w:sz w:val="32"/>
          <w:szCs w:val="32"/>
          <w:highlight w:val="none"/>
          <w:shd w:val="clear" w:color="auto" w:fill="FFFFFF"/>
        </w:rPr>
        <w:t>10%</w:t>
      </w:r>
      <w:r>
        <w:rPr>
          <w:rFonts w:hint="eastAsia" w:ascii="仿宋_GB2312" w:hAnsi="仿宋_GB2312" w:eastAsia="仿宋_GB2312" w:cs="仿宋_GB2312"/>
          <w:color w:val="444444"/>
          <w:sz w:val="32"/>
          <w:szCs w:val="32"/>
          <w:highlight w:val="none"/>
          <w:shd w:val="clear" w:color="auto" w:fill="FFFFFF"/>
        </w:rPr>
        <w:t>。除子基金</w:t>
      </w:r>
      <w:r>
        <w:rPr>
          <w:rFonts w:hint="eastAsia" w:ascii="仿宋_GB2312" w:hAnsi="仿宋_GB2312" w:eastAsia="仿宋_GB2312" w:cs="仿宋_GB2312"/>
          <w:color w:val="444444"/>
          <w:sz w:val="32"/>
          <w:szCs w:val="32"/>
          <w:highlight w:val="none"/>
          <w:shd w:val="clear" w:color="auto" w:fill="FFFFFF"/>
          <w:lang w:val="en-US" w:eastAsia="zh-CN"/>
        </w:rPr>
        <w:t>申请机构、</w:t>
      </w:r>
      <w:r>
        <w:rPr>
          <w:rFonts w:hint="eastAsia" w:ascii="仿宋_GB2312" w:hAnsi="仿宋_GB2312" w:eastAsia="仿宋_GB2312" w:cs="仿宋_GB2312"/>
          <w:color w:val="444444"/>
          <w:sz w:val="32"/>
          <w:szCs w:val="32"/>
          <w:highlight w:val="none"/>
          <w:shd w:val="clear" w:color="auto" w:fill="FFFFFF"/>
        </w:rPr>
        <w:t>管理机构</w:t>
      </w:r>
      <w:r>
        <w:rPr>
          <w:rFonts w:hint="eastAsia" w:ascii="仿宋_GB2312" w:hAnsi="仿宋_GB2312" w:eastAsia="仿宋_GB2312" w:cs="仿宋_GB2312"/>
          <w:color w:val="444444"/>
          <w:sz w:val="32"/>
          <w:szCs w:val="32"/>
          <w:highlight w:val="none"/>
          <w:shd w:val="clear" w:color="auto" w:fill="FFFFFF"/>
          <w:lang w:val="en-US" w:eastAsia="zh-CN"/>
        </w:rPr>
        <w:t>及</w:t>
      </w:r>
      <w:r>
        <w:rPr>
          <w:rFonts w:hint="eastAsia" w:ascii="仿宋_GB2312" w:hAnsi="仿宋_GB2312" w:eastAsia="仿宋_GB2312" w:cs="仿宋_GB2312"/>
          <w:color w:val="444444"/>
          <w:sz w:val="32"/>
          <w:szCs w:val="32"/>
          <w:highlight w:val="none"/>
          <w:shd w:val="clear" w:color="auto" w:fill="FFFFFF"/>
        </w:rPr>
        <w:t>其关联方外的单个机构出资人出资额不低于1000万元人民币（关联方合并计算），除子基金管理团队外的单个自然人出资人出资额不低于500万元人民币。</w:t>
      </w:r>
    </w:p>
    <w:p>
      <w:pPr>
        <w:pStyle w:val="7"/>
        <w:widowControl/>
        <w:numPr>
          <w:ilvl w:val="255"/>
          <w:numId w:val="0"/>
        </w:numPr>
        <w:shd w:val="clear" w:color="auto" w:fill="FFFFFF"/>
        <w:wordWrap w:val="0"/>
        <w:spacing w:beforeAutospacing="0" w:afterAutospacing="0" w:line="520" w:lineRule="exact"/>
        <w:ind w:firstLine="640" w:firstLineChars="200"/>
        <w:rPr>
          <w:rFonts w:hint="eastAsia" w:ascii="仿宋_GB2312" w:hAnsi="仿宋_GB2312" w:eastAsia="仿宋_GB2312" w:cs="仿宋_GB2312"/>
          <w:color w:val="444444"/>
          <w:sz w:val="32"/>
          <w:szCs w:val="32"/>
          <w:highlight w:val="none"/>
          <w:shd w:val="clear" w:color="auto" w:fill="FFFFFF"/>
        </w:rPr>
      </w:pPr>
      <w:r>
        <w:rPr>
          <w:rFonts w:hint="eastAsia" w:ascii="仿宋_GB2312" w:hAnsi="仿宋_GB2312" w:eastAsia="仿宋_GB2312" w:cs="仿宋_GB2312"/>
          <w:color w:val="444444"/>
          <w:sz w:val="32"/>
          <w:szCs w:val="32"/>
          <w:highlight w:val="none"/>
          <w:shd w:val="clear" w:color="auto" w:fill="FFFFFF"/>
          <w:lang w:val="en-US" w:eastAsia="zh-CN"/>
        </w:rPr>
        <w:t>以下关系</w:t>
      </w:r>
      <w:r>
        <w:rPr>
          <w:rFonts w:hint="eastAsia" w:ascii="仿宋_GB2312" w:hAnsi="仿宋_GB2312" w:eastAsia="仿宋_GB2312" w:cs="仿宋_GB2312"/>
          <w:color w:val="444444"/>
          <w:sz w:val="32"/>
          <w:szCs w:val="32"/>
          <w:highlight w:val="none"/>
          <w:shd w:val="clear" w:color="auto" w:fill="FFFFFF"/>
        </w:rPr>
        <w:t>构成关联方</w:t>
      </w:r>
      <w:r>
        <w:rPr>
          <w:rFonts w:hint="eastAsia" w:ascii="仿宋_GB2312" w:hAnsi="仿宋_GB2312" w:eastAsia="仿宋_GB2312" w:cs="仿宋_GB2312"/>
          <w:color w:val="444444"/>
          <w:sz w:val="32"/>
          <w:szCs w:val="32"/>
          <w:highlight w:val="none"/>
          <w:shd w:val="clear" w:color="auto" w:fill="FFFFFF"/>
          <w:lang w:eastAsia="zh-CN"/>
        </w:rPr>
        <w:t>：</w:t>
      </w:r>
    </w:p>
    <w:p>
      <w:pPr>
        <w:pStyle w:val="7"/>
        <w:widowControl/>
        <w:numPr>
          <w:ilvl w:val="255"/>
          <w:numId w:val="0"/>
        </w:numPr>
        <w:shd w:val="clear" w:color="auto" w:fill="FFFFFF"/>
        <w:wordWrap w:val="0"/>
        <w:spacing w:beforeAutospacing="0" w:afterAutospacing="0" w:line="520" w:lineRule="exact"/>
        <w:ind w:firstLine="640" w:firstLineChars="200"/>
        <w:rPr>
          <w:rFonts w:hint="eastAsia" w:ascii="仿宋_GB2312" w:hAnsi="仿宋_GB2312" w:eastAsia="仿宋_GB2312" w:cs="仿宋_GB2312"/>
          <w:color w:val="444444"/>
          <w:sz w:val="32"/>
          <w:szCs w:val="32"/>
          <w:highlight w:val="none"/>
          <w:shd w:val="clear" w:color="auto" w:fill="FFFFFF"/>
        </w:rPr>
      </w:pPr>
      <w:r>
        <w:rPr>
          <w:rFonts w:hint="eastAsia" w:ascii="仿宋_GB2312" w:hAnsi="仿宋_GB2312" w:eastAsia="仿宋_GB2312" w:cs="仿宋_GB2312"/>
          <w:color w:val="444444"/>
          <w:sz w:val="32"/>
          <w:szCs w:val="32"/>
          <w:highlight w:val="none"/>
          <w:shd w:val="clear" w:color="auto" w:fill="FFFFFF"/>
        </w:rPr>
        <w:t>（一）</w:t>
      </w:r>
      <w:r>
        <w:rPr>
          <w:rFonts w:hint="eastAsia" w:ascii="仿宋_GB2312" w:hAnsi="仿宋_GB2312" w:eastAsia="仿宋_GB2312" w:cs="仿宋_GB2312"/>
          <w:color w:val="444444"/>
          <w:sz w:val="32"/>
          <w:szCs w:val="32"/>
          <w:highlight w:val="none"/>
          <w:shd w:val="clear" w:color="auto" w:fill="FFFFFF"/>
          <w:lang w:val="en-US" w:eastAsia="zh-CN"/>
        </w:rPr>
        <w:t>一方为另一方控股、实际控制或施加重大影响；</w:t>
      </w:r>
    </w:p>
    <w:p>
      <w:pPr>
        <w:pStyle w:val="7"/>
        <w:widowControl/>
        <w:numPr>
          <w:ilvl w:val="255"/>
          <w:numId w:val="0"/>
        </w:numPr>
        <w:shd w:val="clear" w:color="auto" w:fill="FFFFFF"/>
        <w:wordWrap w:val="0"/>
        <w:spacing w:beforeAutospacing="0" w:afterAutospacing="0" w:line="520" w:lineRule="exact"/>
        <w:ind w:firstLine="640" w:firstLineChars="200"/>
        <w:rPr>
          <w:rFonts w:hint="eastAsia" w:ascii="仿宋_GB2312" w:hAnsi="仿宋_GB2312" w:eastAsia="仿宋_GB2312" w:cs="仿宋_GB2312"/>
          <w:color w:val="444444"/>
          <w:sz w:val="32"/>
          <w:szCs w:val="32"/>
          <w:highlight w:val="none"/>
          <w:shd w:val="clear" w:color="auto" w:fill="FFFFFF"/>
        </w:rPr>
      </w:pPr>
      <w:r>
        <w:rPr>
          <w:rFonts w:hint="eastAsia" w:ascii="仿宋_GB2312" w:hAnsi="仿宋_GB2312" w:eastAsia="仿宋_GB2312" w:cs="仿宋_GB2312"/>
          <w:color w:val="444444"/>
          <w:sz w:val="32"/>
          <w:szCs w:val="32"/>
          <w:highlight w:val="none"/>
          <w:shd w:val="clear" w:color="auto" w:fill="FFFFFF"/>
        </w:rPr>
        <w:t>（二）</w:t>
      </w:r>
      <w:r>
        <w:rPr>
          <w:rFonts w:hint="eastAsia" w:ascii="仿宋_GB2312" w:hAnsi="仿宋_GB2312" w:eastAsia="仿宋_GB2312" w:cs="仿宋_GB2312"/>
          <w:color w:val="444444"/>
          <w:sz w:val="32"/>
          <w:szCs w:val="32"/>
          <w:highlight w:val="none"/>
          <w:shd w:val="clear" w:color="auto" w:fill="FFFFFF"/>
          <w:lang w:val="en-US" w:eastAsia="zh-CN"/>
        </w:rPr>
        <w:t>两方或两方以上</w:t>
      </w:r>
      <w:r>
        <w:rPr>
          <w:rFonts w:hint="eastAsia" w:ascii="仿宋_GB2312" w:hAnsi="仿宋_GB2312" w:eastAsia="仿宋_GB2312" w:cs="仿宋_GB2312"/>
          <w:color w:val="444444"/>
          <w:sz w:val="32"/>
          <w:szCs w:val="32"/>
          <w:highlight w:val="none"/>
          <w:shd w:val="clear" w:color="auto" w:fill="FFFFFF"/>
        </w:rPr>
        <w:t>受同一</w:t>
      </w:r>
      <w:r>
        <w:rPr>
          <w:rFonts w:hint="eastAsia" w:ascii="仿宋_GB2312" w:hAnsi="仿宋_GB2312" w:eastAsia="仿宋_GB2312" w:cs="仿宋_GB2312"/>
          <w:color w:val="444444"/>
          <w:sz w:val="32"/>
          <w:szCs w:val="32"/>
          <w:highlight w:val="none"/>
          <w:shd w:val="clear" w:color="auto" w:fill="FFFFFF"/>
          <w:lang w:val="en-US" w:eastAsia="zh-CN"/>
        </w:rPr>
        <w:t>实际控制人</w:t>
      </w:r>
      <w:r>
        <w:rPr>
          <w:rFonts w:hint="eastAsia" w:ascii="仿宋_GB2312" w:hAnsi="仿宋_GB2312" w:eastAsia="仿宋_GB2312" w:cs="仿宋_GB2312"/>
          <w:color w:val="444444"/>
          <w:sz w:val="32"/>
          <w:szCs w:val="32"/>
          <w:highlight w:val="none"/>
          <w:shd w:val="clear" w:color="auto" w:fill="FFFFFF"/>
        </w:rPr>
        <w:t>控制</w:t>
      </w:r>
      <w:r>
        <w:rPr>
          <w:rFonts w:hint="eastAsia" w:ascii="仿宋_GB2312" w:hAnsi="仿宋_GB2312" w:eastAsia="仿宋_GB2312" w:cs="仿宋_GB2312"/>
          <w:color w:val="444444"/>
          <w:sz w:val="32"/>
          <w:szCs w:val="32"/>
          <w:highlight w:val="none"/>
          <w:shd w:val="clear" w:color="auto" w:fill="FFFFFF"/>
          <w:lang w:eastAsia="zh-CN"/>
        </w:rPr>
        <w:t>；</w:t>
      </w:r>
    </w:p>
    <w:p>
      <w:pPr>
        <w:pStyle w:val="7"/>
        <w:widowControl/>
        <w:shd w:val="clear" w:color="auto" w:fill="FFFFFF"/>
        <w:wordWrap w:val="0"/>
        <w:spacing w:beforeAutospacing="0" w:afterAutospacing="0" w:line="520" w:lineRule="exact"/>
        <w:ind w:firstLine="640" w:firstLineChars="200"/>
        <w:rPr>
          <w:rFonts w:hint="eastAsia" w:ascii="仿宋_GB2312" w:hAnsi="仿宋_GB2312" w:eastAsia="仿宋_GB2312" w:cs="仿宋_GB2312"/>
          <w:color w:val="444444"/>
          <w:sz w:val="32"/>
          <w:szCs w:val="32"/>
          <w:highlight w:val="none"/>
          <w:shd w:val="clear" w:color="auto" w:fill="FFFFFF"/>
          <w:lang w:val="en-US"/>
        </w:rPr>
      </w:pPr>
      <w:r>
        <w:rPr>
          <w:rFonts w:hint="eastAsia" w:ascii="仿宋_GB2312" w:hAnsi="仿宋_GB2312" w:eastAsia="仿宋_GB2312" w:cs="仿宋_GB2312"/>
          <w:color w:val="444444"/>
          <w:sz w:val="32"/>
          <w:szCs w:val="32"/>
          <w:highlight w:val="none"/>
          <w:shd w:val="clear" w:color="auto" w:fill="FFFFFF"/>
        </w:rPr>
        <w:t>（三）</w:t>
      </w:r>
      <w:r>
        <w:rPr>
          <w:rFonts w:hint="eastAsia" w:ascii="仿宋_GB2312" w:hAnsi="仿宋_GB2312" w:eastAsia="仿宋_GB2312" w:cs="仿宋_GB2312"/>
          <w:color w:val="444444"/>
          <w:sz w:val="32"/>
          <w:szCs w:val="32"/>
          <w:highlight w:val="none"/>
          <w:shd w:val="clear" w:color="auto" w:fill="FFFFFF"/>
          <w:lang w:val="en-US" w:eastAsia="zh-CN"/>
        </w:rPr>
        <w:t>一方是另一方的</w:t>
      </w:r>
      <w:r>
        <w:rPr>
          <w:rFonts w:hint="eastAsia" w:ascii="仿宋_GB2312" w:hAnsi="仿宋_GB2312" w:eastAsia="仿宋_GB2312" w:cs="仿宋_GB2312"/>
          <w:color w:val="444444"/>
          <w:sz w:val="32"/>
          <w:szCs w:val="32"/>
          <w:highlight w:val="none"/>
          <w:shd w:val="clear" w:color="auto" w:fill="FFFFFF"/>
        </w:rPr>
        <w:t>关键管理人员</w:t>
      </w:r>
      <w:r>
        <w:rPr>
          <w:rFonts w:hint="eastAsia" w:ascii="仿宋_GB2312" w:hAnsi="仿宋_GB2312" w:eastAsia="仿宋_GB2312" w:cs="仿宋_GB2312"/>
          <w:color w:val="444444"/>
          <w:sz w:val="32"/>
          <w:szCs w:val="32"/>
          <w:highlight w:val="none"/>
          <w:shd w:val="clear" w:color="auto" w:fill="FFFFFF"/>
          <w:lang w:eastAsia="zh-CN"/>
        </w:rPr>
        <w:t>，</w:t>
      </w:r>
      <w:r>
        <w:rPr>
          <w:rFonts w:hint="eastAsia" w:ascii="仿宋_GB2312" w:hAnsi="仿宋_GB2312" w:eastAsia="仿宋_GB2312" w:cs="仿宋_GB2312"/>
          <w:color w:val="444444"/>
          <w:sz w:val="32"/>
          <w:szCs w:val="32"/>
          <w:highlight w:val="none"/>
          <w:shd w:val="clear" w:color="auto" w:fill="FFFFFF"/>
          <w:lang w:val="en-US" w:eastAsia="zh-CN"/>
        </w:rPr>
        <w:t>或者是由另一方</w:t>
      </w:r>
      <w:r>
        <w:rPr>
          <w:rFonts w:hint="eastAsia" w:ascii="仿宋_GB2312" w:hAnsi="仿宋_GB2312" w:eastAsia="仿宋_GB2312" w:cs="仿宋_GB2312"/>
          <w:color w:val="444444"/>
          <w:sz w:val="32"/>
          <w:szCs w:val="32"/>
          <w:highlight w:val="none"/>
          <w:shd w:val="clear" w:color="auto" w:fill="FFFFFF"/>
        </w:rPr>
        <w:t>关键管理人员</w:t>
      </w:r>
      <w:r>
        <w:rPr>
          <w:rFonts w:hint="eastAsia" w:ascii="仿宋_GB2312" w:hAnsi="仿宋_GB2312" w:eastAsia="仿宋_GB2312" w:cs="仿宋_GB2312"/>
          <w:color w:val="444444"/>
          <w:sz w:val="32"/>
          <w:szCs w:val="32"/>
          <w:highlight w:val="none"/>
          <w:shd w:val="clear" w:color="auto" w:fill="FFFFFF"/>
          <w:lang w:val="en-US" w:eastAsia="zh-CN"/>
        </w:rPr>
        <w:t>组成的出资主体。</w:t>
      </w:r>
    </w:p>
    <w:p>
      <w:pPr>
        <w:pStyle w:val="7"/>
        <w:widowControl/>
        <w:shd w:val="clear" w:color="auto" w:fill="FFFFFF"/>
        <w:wordWrap w:val="0"/>
        <w:spacing w:beforeAutospacing="0" w:afterAutospacing="0"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color w:val="444444"/>
          <w:sz w:val="32"/>
          <w:szCs w:val="32"/>
          <w:highlight w:val="none"/>
          <w:shd w:val="clear" w:color="auto" w:fill="FFFFFF"/>
        </w:rPr>
        <w:t>第十</w:t>
      </w:r>
      <w:r>
        <w:rPr>
          <w:rFonts w:hint="eastAsia" w:ascii="仿宋_GB2312" w:hAnsi="仿宋_GB2312" w:eastAsia="仿宋_GB2312" w:cs="仿宋_GB2312"/>
          <w:color w:val="444444"/>
          <w:sz w:val="32"/>
          <w:szCs w:val="32"/>
          <w:highlight w:val="none"/>
          <w:shd w:val="clear" w:color="auto" w:fill="FFFFFF"/>
          <w:lang w:val="en-US" w:eastAsia="zh-CN"/>
        </w:rPr>
        <w:t>一</w:t>
      </w:r>
      <w:r>
        <w:rPr>
          <w:rFonts w:hint="eastAsia" w:ascii="仿宋_GB2312" w:hAnsi="仿宋_GB2312" w:eastAsia="仿宋_GB2312" w:cs="仿宋_GB2312"/>
          <w:color w:val="444444"/>
          <w:sz w:val="32"/>
          <w:szCs w:val="32"/>
          <w:highlight w:val="none"/>
          <w:shd w:val="clear" w:color="auto" w:fill="FFFFFF"/>
        </w:rPr>
        <w:t>条 南控母基金投资于子基金的比例原则上不超过子基金实际出资额的20％，不成为子基金的第一大出资人，且投资单个子基金的最高出资额原则上不超过5000万元人民币。</w:t>
      </w:r>
    </w:p>
    <w:p>
      <w:pPr>
        <w:pStyle w:val="7"/>
        <w:widowControl/>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u w:val="single"/>
          <w:shd w:val="clear" w:color="auto" w:fill="FFFFFF"/>
        </w:rPr>
      </w:pPr>
      <w:r>
        <w:rPr>
          <w:rFonts w:hint="eastAsia" w:ascii="仿宋_GB2312" w:hAnsi="仿宋_GB2312" w:eastAsia="仿宋_GB2312" w:cs="仿宋_GB2312"/>
          <w:color w:val="444444"/>
          <w:sz w:val="32"/>
          <w:szCs w:val="32"/>
          <w:highlight w:val="none"/>
          <w:shd w:val="clear" w:color="auto" w:fill="FFFFFF"/>
        </w:rPr>
        <w:t>第十</w:t>
      </w:r>
      <w:r>
        <w:rPr>
          <w:rFonts w:hint="eastAsia" w:ascii="仿宋_GB2312" w:hAnsi="仿宋_GB2312" w:eastAsia="仿宋_GB2312" w:cs="仿宋_GB2312"/>
          <w:color w:val="444444"/>
          <w:sz w:val="32"/>
          <w:szCs w:val="32"/>
          <w:highlight w:val="none"/>
          <w:shd w:val="clear" w:color="auto" w:fill="FFFFFF"/>
          <w:lang w:val="en-US" w:eastAsia="zh-CN"/>
        </w:rPr>
        <w:t>二</w:t>
      </w:r>
      <w:r>
        <w:rPr>
          <w:rFonts w:hint="eastAsia" w:ascii="仿宋_GB2312" w:hAnsi="仿宋_GB2312" w:eastAsia="仿宋_GB2312" w:cs="仿宋_GB2312"/>
          <w:color w:val="444444"/>
          <w:sz w:val="32"/>
          <w:szCs w:val="32"/>
          <w:highlight w:val="none"/>
          <w:shd w:val="clear" w:color="auto" w:fill="FFFFFF"/>
        </w:rPr>
        <w:t>条</w:t>
      </w:r>
      <w:r>
        <w:rPr>
          <w:rFonts w:hint="eastAsia" w:ascii="仿宋_GB2312" w:hAnsi="仿宋_GB2312" w:eastAsia="仿宋_GB2312" w:cs="仿宋_GB2312"/>
          <w:color w:val="444444"/>
          <w:sz w:val="32"/>
          <w:szCs w:val="32"/>
          <w:highlight w:val="none"/>
          <w:u w:val="none"/>
          <w:shd w:val="clear" w:color="auto" w:fill="FFFFFF"/>
        </w:rPr>
        <w:t xml:space="preserve"> 子基金申请机构在提交基金申报方案时，须至少已经募集到拟设立子基金总规模30%的资金（不含母基金出资部分），并提供拟出资人的出资承诺函</w:t>
      </w:r>
      <w:r>
        <w:rPr>
          <w:rFonts w:hint="eastAsia" w:ascii="仿宋_GB2312" w:hAnsi="仿宋_GB2312" w:eastAsia="仿宋_GB2312" w:cs="仿宋_GB2312"/>
          <w:color w:val="444444"/>
          <w:sz w:val="32"/>
          <w:szCs w:val="32"/>
          <w:highlight w:val="none"/>
          <w:u w:val="none"/>
          <w:shd w:val="clear" w:color="auto" w:fill="FFFFFF"/>
          <w:lang w:val="en-US" w:eastAsia="zh-CN"/>
        </w:rPr>
        <w:t>或</w:t>
      </w:r>
      <w:r>
        <w:rPr>
          <w:rFonts w:hint="eastAsia" w:ascii="仿宋_GB2312" w:hAnsi="仿宋_GB2312" w:eastAsia="仿宋_GB2312" w:cs="仿宋_GB2312"/>
          <w:color w:val="444444"/>
          <w:sz w:val="32"/>
          <w:szCs w:val="32"/>
          <w:highlight w:val="none"/>
          <w:u w:val="none"/>
          <w:shd w:val="clear" w:color="auto" w:fill="FFFFFF"/>
        </w:rPr>
        <w:t>出资</w:t>
      </w:r>
      <w:r>
        <w:rPr>
          <w:rFonts w:hint="eastAsia" w:ascii="仿宋_GB2312" w:hAnsi="仿宋_GB2312" w:eastAsia="仿宋_GB2312" w:cs="仿宋_GB2312"/>
          <w:color w:val="444444"/>
          <w:sz w:val="32"/>
          <w:szCs w:val="32"/>
          <w:highlight w:val="none"/>
          <w:u w:val="none"/>
          <w:shd w:val="clear" w:color="auto" w:fill="FFFFFF"/>
          <w:lang w:val="en-US" w:eastAsia="zh-CN"/>
        </w:rPr>
        <w:t>意向</w:t>
      </w:r>
      <w:r>
        <w:rPr>
          <w:rFonts w:hint="eastAsia" w:ascii="仿宋_GB2312" w:hAnsi="仿宋_GB2312" w:eastAsia="仿宋_GB2312" w:cs="仿宋_GB2312"/>
          <w:color w:val="444444"/>
          <w:sz w:val="32"/>
          <w:szCs w:val="32"/>
          <w:highlight w:val="none"/>
          <w:u w:val="none"/>
          <w:shd w:val="clear" w:color="auto" w:fill="FFFFFF"/>
        </w:rPr>
        <w:t>证明等材料。</w:t>
      </w:r>
      <w:r>
        <w:rPr>
          <w:rFonts w:ascii="仿宋_GB2312" w:hAnsi="仿宋_GB2312" w:eastAsia="仿宋_GB2312" w:cs="仿宋_GB2312"/>
          <w:color w:val="444444"/>
          <w:sz w:val="32"/>
          <w:szCs w:val="32"/>
          <w:highlight w:val="none"/>
          <w:shd w:val="clear" w:color="auto" w:fill="FFFFFF"/>
        </w:rPr>
        <w:t>南控母基金原则</w:t>
      </w:r>
      <w:r>
        <w:rPr>
          <w:rFonts w:hint="eastAsia" w:ascii="仿宋_GB2312" w:hAnsi="仿宋_GB2312" w:eastAsia="仿宋_GB2312" w:cs="仿宋_GB2312"/>
          <w:color w:val="444444"/>
          <w:sz w:val="32"/>
          <w:szCs w:val="32"/>
          <w:highlight w:val="none"/>
          <w:shd w:val="clear" w:color="auto" w:fill="FFFFFF"/>
          <w:lang w:val="en-US" w:eastAsia="zh-CN"/>
        </w:rPr>
        <w:t>上</w:t>
      </w:r>
      <w:r>
        <w:rPr>
          <w:rFonts w:ascii="仿宋_GB2312" w:hAnsi="仿宋_GB2312" w:eastAsia="仿宋_GB2312" w:cs="仿宋_GB2312"/>
          <w:color w:val="444444"/>
          <w:sz w:val="32"/>
          <w:szCs w:val="32"/>
          <w:highlight w:val="none"/>
          <w:shd w:val="clear" w:color="auto" w:fill="FFFFFF"/>
        </w:rPr>
        <w:t>按子基金投资节奏进行出资实缴，且有权在子基金其他投资人实缴出资后</w:t>
      </w:r>
      <w:r>
        <w:rPr>
          <w:rFonts w:hint="eastAsia" w:ascii="仿宋_GB2312" w:hAnsi="仿宋_GB2312" w:eastAsia="仿宋_GB2312" w:cs="仿宋_GB2312"/>
          <w:color w:val="444444"/>
          <w:sz w:val="32"/>
          <w:szCs w:val="32"/>
          <w:highlight w:val="none"/>
          <w:shd w:val="clear" w:color="auto" w:fill="FFFFFF"/>
          <w:lang w:eastAsia="zh-CN"/>
        </w:rPr>
        <w:t>（</w:t>
      </w:r>
      <w:r>
        <w:rPr>
          <w:rFonts w:hint="eastAsia" w:ascii="仿宋_GB2312" w:hAnsi="仿宋_GB2312" w:eastAsia="仿宋_GB2312" w:cs="仿宋_GB2312"/>
          <w:color w:val="444444"/>
          <w:sz w:val="32"/>
          <w:szCs w:val="32"/>
          <w:highlight w:val="none"/>
          <w:shd w:val="clear" w:color="auto" w:fill="FFFFFF"/>
          <w:lang w:val="en-US" w:eastAsia="zh-CN"/>
        </w:rPr>
        <w:t>政府引导基金及同类型国资基金除外</w:t>
      </w:r>
      <w:r>
        <w:rPr>
          <w:rFonts w:hint="eastAsia" w:ascii="仿宋_GB2312" w:hAnsi="仿宋_GB2312" w:eastAsia="仿宋_GB2312" w:cs="仿宋_GB2312"/>
          <w:color w:val="444444"/>
          <w:sz w:val="32"/>
          <w:szCs w:val="32"/>
          <w:highlight w:val="none"/>
          <w:shd w:val="clear" w:color="auto" w:fill="FFFFFF"/>
          <w:lang w:eastAsia="zh-CN"/>
        </w:rPr>
        <w:t>）</w:t>
      </w:r>
      <w:r>
        <w:rPr>
          <w:rFonts w:ascii="仿宋_GB2312" w:hAnsi="仿宋_GB2312" w:eastAsia="仿宋_GB2312" w:cs="仿宋_GB2312"/>
          <w:color w:val="444444"/>
          <w:sz w:val="32"/>
          <w:szCs w:val="32"/>
          <w:highlight w:val="none"/>
          <w:shd w:val="clear" w:color="auto" w:fill="FFFFFF"/>
        </w:rPr>
        <w:t>，再履行对应出资义务。</w:t>
      </w:r>
    </w:p>
    <w:p>
      <w:pPr>
        <w:pStyle w:val="7"/>
        <w:widowControl/>
        <w:shd w:val="clear" w:color="auto" w:fill="FFFFFF"/>
        <w:wordWrap w:val="0"/>
        <w:spacing w:beforeAutospacing="0" w:afterAutospacing="0" w:line="520" w:lineRule="exact"/>
        <w:ind w:firstLine="640" w:firstLineChars="200"/>
        <w:rPr>
          <w:rFonts w:hint="eastAsia" w:ascii="仿宋_GB2312" w:hAnsi="仿宋_GB2312" w:eastAsia="仿宋_GB2312" w:cs="仿宋_GB2312"/>
          <w:color w:val="444444"/>
          <w:sz w:val="32"/>
          <w:szCs w:val="32"/>
          <w:highlight w:val="none"/>
          <w:shd w:val="clear" w:color="auto" w:fill="FFFFFF"/>
          <w:lang w:eastAsia="zh-CN"/>
        </w:rPr>
      </w:pPr>
      <w:r>
        <w:rPr>
          <w:rFonts w:hint="eastAsia" w:ascii="仿宋_GB2312" w:hAnsi="仿宋_GB2312" w:eastAsia="仿宋_GB2312" w:cs="仿宋_GB2312"/>
          <w:color w:val="444444"/>
          <w:sz w:val="32"/>
          <w:szCs w:val="32"/>
          <w:highlight w:val="none"/>
          <w:shd w:val="clear" w:color="auto" w:fill="FFFFFF"/>
        </w:rPr>
        <w:t>第十</w:t>
      </w:r>
      <w:r>
        <w:rPr>
          <w:rFonts w:hint="eastAsia" w:ascii="仿宋_GB2312" w:hAnsi="仿宋_GB2312" w:eastAsia="仿宋_GB2312" w:cs="仿宋_GB2312"/>
          <w:color w:val="444444"/>
          <w:sz w:val="32"/>
          <w:szCs w:val="32"/>
          <w:highlight w:val="none"/>
          <w:shd w:val="clear" w:color="auto" w:fill="FFFFFF"/>
          <w:lang w:val="en-US" w:eastAsia="zh-CN"/>
        </w:rPr>
        <w:t>三</w:t>
      </w:r>
      <w:r>
        <w:rPr>
          <w:rFonts w:hint="eastAsia" w:ascii="仿宋_GB2312" w:hAnsi="仿宋_GB2312" w:eastAsia="仿宋_GB2312" w:cs="仿宋_GB2312"/>
          <w:color w:val="444444"/>
          <w:sz w:val="32"/>
          <w:szCs w:val="32"/>
          <w:highlight w:val="none"/>
          <w:shd w:val="clear" w:color="auto" w:fill="FFFFFF"/>
        </w:rPr>
        <w:t>条</w:t>
      </w:r>
      <w:r>
        <w:rPr>
          <w:rFonts w:ascii="仿宋_GB2312" w:hAnsi="仿宋_GB2312" w:eastAsia="仿宋_GB2312" w:cs="仿宋_GB2312"/>
          <w:b/>
          <w:bCs/>
          <w:color w:val="444444"/>
          <w:sz w:val="32"/>
          <w:szCs w:val="32"/>
          <w:highlight w:val="none"/>
          <w:shd w:val="clear" w:color="auto" w:fill="FFFFFF"/>
        </w:rPr>
        <w:t xml:space="preserve"> </w:t>
      </w:r>
      <w:r>
        <w:rPr>
          <w:rFonts w:hint="eastAsia" w:ascii="仿宋_GB2312" w:hAnsi="仿宋_GB2312" w:eastAsia="仿宋_GB2312" w:cs="仿宋_GB2312"/>
          <w:color w:val="444444"/>
          <w:sz w:val="32"/>
          <w:szCs w:val="32"/>
          <w:highlight w:val="none"/>
          <w:shd w:val="clear" w:color="auto" w:fill="FFFFFF"/>
        </w:rPr>
        <w:t>子基金存续期限原则上不超过</w:t>
      </w:r>
      <w:r>
        <w:rPr>
          <w:rFonts w:ascii="仿宋_GB2312" w:hAnsi="仿宋_GB2312" w:eastAsia="仿宋_GB2312" w:cs="仿宋_GB2312"/>
          <w:color w:val="444444"/>
          <w:sz w:val="32"/>
          <w:szCs w:val="32"/>
          <w:highlight w:val="none"/>
          <w:shd w:val="clear" w:color="auto" w:fill="FFFFFF"/>
        </w:rPr>
        <w:t>8</w:t>
      </w:r>
      <w:r>
        <w:rPr>
          <w:rFonts w:hint="eastAsia" w:ascii="仿宋_GB2312" w:hAnsi="仿宋_GB2312" w:eastAsia="仿宋_GB2312" w:cs="仿宋_GB2312"/>
          <w:color w:val="444444"/>
          <w:sz w:val="32"/>
          <w:szCs w:val="32"/>
          <w:highlight w:val="none"/>
          <w:shd w:val="clear" w:color="auto" w:fill="FFFFFF"/>
        </w:rPr>
        <w:t>年，其中投资期不超过4年。</w:t>
      </w:r>
      <w:r>
        <w:rPr>
          <w:rFonts w:hint="eastAsia" w:ascii="仿宋_GB2312" w:hAnsi="仿宋_GB2312" w:eastAsia="仿宋_GB2312" w:cs="仿宋_GB2312"/>
          <w:color w:val="444444"/>
          <w:sz w:val="32"/>
          <w:szCs w:val="32"/>
          <w:highlight w:val="none"/>
          <w:shd w:val="clear" w:color="auto" w:fill="FFFFFF"/>
          <w:lang w:val="en-US" w:eastAsia="zh-CN"/>
        </w:rPr>
        <w:t>设延长期的，</w:t>
      </w:r>
      <w:r>
        <w:rPr>
          <w:rFonts w:hint="eastAsia" w:ascii="仿宋_GB2312" w:hAnsi="仿宋_GB2312" w:eastAsia="仿宋_GB2312" w:cs="仿宋_GB2312"/>
          <w:color w:val="444444"/>
          <w:sz w:val="32"/>
          <w:szCs w:val="32"/>
          <w:highlight w:val="none"/>
          <w:shd w:val="clear" w:color="auto" w:fill="FFFFFF"/>
        </w:rPr>
        <w:t>须</w:t>
      </w:r>
      <w:r>
        <w:rPr>
          <w:rFonts w:hint="eastAsia" w:ascii="仿宋_GB2312" w:hAnsi="仿宋_GB2312" w:eastAsia="仿宋_GB2312" w:cs="仿宋_GB2312"/>
          <w:color w:val="444444"/>
          <w:sz w:val="32"/>
          <w:szCs w:val="32"/>
          <w:highlight w:val="none"/>
          <w:shd w:val="clear" w:color="auto" w:fill="FFFFFF"/>
          <w:lang w:val="en-US" w:eastAsia="zh-CN"/>
        </w:rPr>
        <w:t>在</w:t>
      </w:r>
      <w:r>
        <w:rPr>
          <w:rFonts w:hint="eastAsia" w:ascii="仿宋_GB2312" w:hAnsi="仿宋_GB2312" w:eastAsia="仿宋_GB2312" w:cs="仿宋_GB2312"/>
          <w:color w:val="444444"/>
          <w:sz w:val="32"/>
          <w:szCs w:val="32"/>
          <w:highlight w:val="none"/>
          <w:shd w:val="clear" w:color="auto" w:fill="FFFFFF"/>
        </w:rPr>
        <w:t>合伙协议（或公司章程）</w:t>
      </w:r>
      <w:r>
        <w:rPr>
          <w:rFonts w:hint="eastAsia" w:ascii="仿宋_GB2312" w:hAnsi="仿宋_GB2312" w:eastAsia="仿宋_GB2312" w:cs="仿宋_GB2312"/>
          <w:color w:val="444444"/>
          <w:sz w:val="32"/>
          <w:szCs w:val="32"/>
          <w:highlight w:val="none"/>
          <w:shd w:val="clear" w:color="auto" w:fill="FFFFFF"/>
          <w:lang w:val="en-US" w:eastAsia="zh-CN"/>
        </w:rPr>
        <w:t>进行</w:t>
      </w:r>
      <w:r>
        <w:rPr>
          <w:rFonts w:hint="eastAsia" w:ascii="仿宋_GB2312" w:hAnsi="仿宋_GB2312" w:eastAsia="仿宋_GB2312" w:cs="仿宋_GB2312"/>
          <w:color w:val="444444"/>
          <w:sz w:val="32"/>
          <w:szCs w:val="32"/>
          <w:highlight w:val="none"/>
          <w:shd w:val="clear" w:color="auto" w:fill="FFFFFF"/>
        </w:rPr>
        <w:t>约定</w:t>
      </w:r>
      <w:r>
        <w:rPr>
          <w:rFonts w:hint="eastAsia" w:ascii="仿宋_GB2312" w:hAnsi="仿宋_GB2312" w:eastAsia="仿宋_GB2312" w:cs="仿宋_GB2312"/>
          <w:color w:val="444444"/>
          <w:sz w:val="32"/>
          <w:szCs w:val="32"/>
          <w:highlight w:val="none"/>
          <w:shd w:val="clear" w:color="auto" w:fill="FFFFFF"/>
          <w:lang w:eastAsia="zh-CN"/>
        </w:rPr>
        <w:t>，</w:t>
      </w:r>
      <w:r>
        <w:rPr>
          <w:rFonts w:hint="eastAsia" w:ascii="仿宋_GB2312" w:hAnsi="仿宋_GB2312" w:eastAsia="仿宋_GB2312" w:cs="仿宋_GB2312"/>
          <w:color w:val="444444"/>
          <w:sz w:val="32"/>
          <w:szCs w:val="32"/>
          <w:highlight w:val="none"/>
          <w:shd w:val="clear" w:color="auto" w:fill="FFFFFF"/>
          <w:lang w:val="en-US" w:eastAsia="zh-CN"/>
        </w:rPr>
        <w:t>且延长期不得超过2年</w:t>
      </w:r>
      <w:r>
        <w:rPr>
          <w:rFonts w:hint="eastAsia" w:ascii="仿宋_GB2312" w:hAnsi="仿宋_GB2312" w:eastAsia="仿宋_GB2312" w:cs="仿宋_GB2312"/>
          <w:color w:val="444444"/>
          <w:sz w:val="32"/>
          <w:szCs w:val="32"/>
          <w:highlight w:val="none"/>
          <w:shd w:val="clear" w:color="auto" w:fill="FFFFFF"/>
          <w:lang w:eastAsia="zh-CN"/>
        </w:rPr>
        <w:t>。</w:t>
      </w:r>
    </w:p>
    <w:p>
      <w:pPr>
        <w:pStyle w:val="7"/>
        <w:widowControl/>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shd w:val="clear" w:color="auto" w:fill="FFFFFF"/>
        </w:rPr>
      </w:pPr>
      <w:r>
        <w:rPr>
          <w:rFonts w:hint="eastAsia" w:ascii="仿宋_GB2312" w:hAnsi="仿宋_GB2312" w:eastAsia="仿宋_GB2312" w:cs="仿宋_GB2312"/>
          <w:color w:val="444444"/>
          <w:sz w:val="32"/>
          <w:szCs w:val="32"/>
          <w:highlight w:val="none"/>
          <w:shd w:val="clear" w:color="auto" w:fill="FFFFFF"/>
        </w:rPr>
        <w:t>第十</w:t>
      </w:r>
      <w:r>
        <w:rPr>
          <w:rFonts w:hint="eastAsia" w:ascii="仿宋_GB2312" w:hAnsi="仿宋_GB2312" w:eastAsia="仿宋_GB2312" w:cs="仿宋_GB2312"/>
          <w:color w:val="444444"/>
          <w:sz w:val="32"/>
          <w:szCs w:val="32"/>
          <w:highlight w:val="none"/>
          <w:shd w:val="clear" w:color="auto" w:fill="FFFFFF"/>
          <w:lang w:val="en-US" w:eastAsia="zh-CN"/>
        </w:rPr>
        <w:t>四</w:t>
      </w:r>
      <w:r>
        <w:rPr>
          <w:rFonts w:hint="eastAsia" w:ascii="仿宋_GB2312" w:hAnsi="仿宋_GB2312" w:eastAsia="仿宋_GB2312" w:cs="仿宋_GB2312"/>
          <w:color w:val="444444"/>
          <w:sz w:val="32"/>
          <w:szCs w:val="32"/>
          <w:highlight w:val="none"/>
          <w:shd w:val="clear" w:color="auto" w:fill="FFFFFF"/>
        </w:rPr>
        <w:t>条 子基金投资期收取的管理费率每年最高不超过实缴金额的2%，子基金退出期收取的管理费率每年最高不超过未退出本金总额的2%，且对南控母基金收取管理费的标准不得高于其他出资人。</w:t>
      </w:r>
    </w:p>
    <w:p>
      <w:pPr>
        <w:pStyle w:val="7"/>
        <w:widowControl/>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shd w:val="clear" w:color="auto" w:fill="FFFFFF"/>
        </w:rPr>
      </w:pPr>
      <w:r>
        <w:rPr>
          <w:rFonts w:hint="eastAsia" w:ascii="仿宋_GB2312" w:hAnsi="仿宋_GB2312" w:eastAsia="仿宋_GB2312" w:cs="仿宋_GB2312"/>
          <w:color w:val="444444"/>
          <w:sz w:val="32"/>
          <w:szCs w:val="32"/>
          <w:highlight w:val="none"/>
          <w:shd w:val="clear" w:color="auto" w:fill="FFFFFF"/>
        </w:rPr>
        <w:t>第十</w:t>
      </w:r>
      <w:r>
        <w:rPr>
          <w:rFonts w:hint="eastAsia" w:ascii="仿宋_GB2312" w:hAnsi="仿宋_GB2312" w:eastAsia="仿宋_GB2312" w:cs="仿宋_GB2312"/>
          <w:color w:val="444444"/>
          <w:sz w:val="32"/>
          <w:szCs w:val="32"/>
          <w:highlight w:val="none"/>
          <w:shd w:val="clear" w:color="auto" w:fill="FFFFFF"/>
          <w:lang w:val="en-US" w:eastAsia="zh-CN"/>
        </w:rPr>
        <w:t>五</w:t>
      </w:r>
      <w:r>
        <w:rPr>
          <w:rFonts w:hint="eastAsia" w:ascii="仿宋_GB2312" w:hAnsi="仿宋_GB2312" w:eastAsia="仿宋_GB2312" w:cs="仿宋_GB2312"/>
          <w:color w:val="444444"/>
          <w:sz w:val="32"/>
          <w:szCs w:val="32"/>
          <w:highlight w:val="none"/>
          <w:shd w:val="clear" w:color="auto" w:fill="FFFFFF"/>
        </w:rPr>
        <w:t>条 子基金投资项目退出后，投资回收资金不得再用于对外投资，须及时按合伙协议（或公司章程）约定向投资人进行分配。分配采取整体“先回本后分利”方式，投资回收资金先按照子基金各出资人实缴出资比例分配给各出资人，直至各出资人收回全部实缴出资，剩余的投资收益再按照子基金合伙协议（或公司章程）等约定的方式予以分配。原则上，子基金的门槛收益率</w:t>
      </w:r>
      <w:r>
        <w:rPr>
          <w:rStyle w:val="14"/>
          <w:rFonts w:hint="eastAsia" w:ascii="仿宋_GB2312" w:hAnsi="仿宋_GB2312" w:eastAsia="仿宋_GB2312" w:cs="仿宋_GB2312"/>
          <w:color w:val="444444"/>
          <w:sz w:val="32"/>
          <w:szCs w:val="32"/>
          <w:highlight w:val="none"/>
          <w:shd w:val="clear" w:color="auto" w:fill="FFFFFF"/>
        </w:rPr>
        <w:footnoteReference w:id="4"/>
      </w:r>
      <w:r>
        <w:rPr>
          <w:rFonts w:hint="eastAsia" w:ascii="仿宋_GB2312" w:hAnsi="仿宋_GB2312" w:eastAsia="仿宋_GB2312" w:cs="仿宋_GB2312"/>
          <w:color w:val="444444"/>
          <w:sz w:val="32"/>
          <w:szCs w:val="32"/>
          <w:highlight w:val="none"/>
          <w:shd w:val="clear" w:color="auto" w:fill="FFFFFF"/>
        </w:rPr>
        <w:t>不低于8%（单利）。</w:t>
      </w:r>
    </w:p>
    <w:p>
      <w:pPr>
        <w:pStyle w:val="7"/>
        <w:widowControl/>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shd w:val="clear" w:color="auto" w:fill="FFFFFF"/>
        </w:rPr>
      </w:pPr>
      <w:r>
        <w:rPr>
          <w:rFonts w:hint="eastAsia" w:ascii="仿宋_GB2312" w:hAnsi="仿宋_GB2312" w:eastAsia="仿宋_GB2312" w:cs="仿宋_GB2312"/>
          <w:color w:val="444444"/>
          <w:sz w:val="32"/>
          <w:szCs w:val="32"/>
          <w:highlight w:val="none"/>
          <w:shd w:val="clear" w:color="auto" w:fill="FFFFFF"/>
        </w:rPr>
        <w:t>第十</w:t>
      </w:r>
      <w:r>
        <w:rPr>
          <w:rFonts w:hint="eastAsia" w:ascii="仿宋_GB2312" w:hAnsi="仿宋_GB2312" w:eastAsia="仿宋_GB2312" w:cs="仿宋_GB2312"/>
          <w:color w:val="444444"/>
          <w:sz w:val="32"/>
          <w:szCs w:val="32"/>
          <w:highlight w:val="none"/>
          <w:shd w:val="clear" w:color="auto" w:fill="FFFFFF"/>
          <w:lang w:val="en-US" w:eastAsia="zh-CN"/>
        </w:rPr>
        <w:t>六</w:t>
      </w:r>
      <w:r>
        <w:rPr>
          <w:rFonts w:hint="eastAsia" w:ascii="仿宋_GB2312" w:hAnsi="仿宋_GB2312" w:eastAsia="仿宋_GB2312" w:cs="仿宋_GB2312"/>
          <w:color w:val="444444"/>
          <w:sz w:val="32"/>
          <w:szCs w:val="32"/>
          <w:highlight w:val="none"/>
          <w:shd w:val="clear" w:color="auto" w:fill="FFFFFF"/>
        </w:rPr>
        <w:t>条 子基金已经具有一定数量的项目储备并制定了相应的投资计划。</w:t>
      </w:r>
      <w:r>
        <w:rPr>
          <w:rFonts w:hint="eastAsia" w:ascii="仿宋_GB2312" w:hAnsi="仿宋_GB2312" w:eastAsia="仿宋_GB2312" w:cs="仿宋_GB2312"/>
          <w:color w:val="444444"/>
          <w:sz w:val="32"/>
          <w:szCs w:val="32"/>
          <w:highlight w:val="none"/>
          <w:shd w:val="clear" w:color="auto" w:fill="FFFFFF"/>
          <w:lang w:val="en-US" w:eastAsia="zh-CN"/>
        </w:rPr>
        <w:t>子基金原则上应直接投资具体项目，除需通过设立项目基金方式投资具体项目外，子基金不可再投资其他股权投资基金。</w:t>
      </w:r>
    </w:p>
    <w:p>
      <w:pPr>
        <w:pStyle w:val="7"/>
        <w:widowControl/>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rPr>
      </w:pPr>
      <w:r>
        <w:rPr>
          <w:rFonts w:hint="eastAsia" w:ascii="仿宋_GB2312" w:hAnsi="仿宋_GB2312" w:eastAsia="仿宋_GB2312" w:cs="仿宋_GB2312"/>
          <w:color w:val="444444"/>
          <w:sz w:val="32"/>
          <w:szCs w:val="32"/>
          <w:highlight w:val="none"/>
          <w:shd w:val="clear" w:color="auto" w:fill="FFFFFF"/>
        </w:rPr>
        <w:t>第</w:t>
      </w:r>
      <w:r>
        <w:rPr>
          <w:rFonts w:hint="eastAsia" w:ascii="仿宋_GB2312" w:hAnsi="仿宋_GB2312" w:eastAsia="仿宋_GB2312" w:cs="仿宋_GB2312"/>
          <w:color w:val="444444"/>
          <w:sz w:val="32"/>
          <w:szCs w:val="32"/>
          <w:highlight w:val="none"/>
          <w:shd w:val="clear" w:color="auto" w:fill="FFFFFF"/>
          <w:lang w:val="en-US" w:eastAsia="zh-CN"/>
        </w:rPr>
        <w:t>十七</w:t>
      </w:r>
      <w:r>
        <w:rPr>
          <w:rFonts w:hint="eastAsia" w:ascii="仿宋_GB2312" w:hAnsi="仿宋_GB2312" w:eastAsia="仿宋_GB2312" w:cs="仿宋_GB2312"/>
          <w:color w:val="444444"/>
          <w:sz w:val="32"/>
          <w:szCs w:val="32"/>
          <w:highlight w:val="none"/>
          <w:shd w:val="clear" w:color="auto" w:fill="FFFFFF"/>
        </w:rPr>
        <w:t xml:space="preserve">条 </w:t>
      </w:r>
      <w:r>
        <w:rPr>
          <w:rFonts w:ascii="仿宋_GB2312" w:hAnsi="仿宋_GB2312" w:eastAsia="仿宋_GB2312" w:cs="仿宋_GB2312"/>
          <w:b w:val="0"/>
          <w:bCs w:val="0"/>
          <w:color w:val="444444"/>
          <w:sz w:val="32"/>
          <w:szCs w:val="32"/>
          <w:highlight w:val="none"/>
          <w:shd w:val="clear" w:color="auto" w:fill="FFFFFF"/>
        </w:rPr>
        <w:t>子基金不得从事以下业务：</w:t>
      </w:r>
    </w:p>
    <w:p>
      <w:pPr>
        <w:pStyle w:val="7"/>
        <w:widowControl/>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rPr>
      </w:pPr>
      <w:r>
        <w:rPr>
          <w:rFonts w:hint="eastAsia" w:ascii="仿宋_GB2312" w:hAnsi="仿宋_GB2312" w:eastAsia="仿宋_GB2312" w:cs="仿宋_GB2312"/>
          <w:color w:val="444444"/>
          <w:sz w:val="32"/>
          <w:szCs w:val="32"/>
          <w:highlight w:val="none"/>
          <w:shd w:val="clear" w:color="auto" w:fill="FFFFFF"/>
        </w:rPr>
        <w:t>（一）从事股权质押、担保、抵押、委托贷款等业务；</w:t>
      </w:r>
    </w:p>
    <w:p>
      <w:pPr>
        <w:pStyle w:val="7"/>
        <w:widowControl/>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rPr>
      </w:pPr>
      <w:r>
        <w:rPr>
          <w:rFonts w:hint="eastAsia" w:ascii="仿宋_GB2312" w:hAnsi="仿宋_GB2312" w:eastAsia="仿宋_GB2312" w:cs="仿宋_GB2312"/>
          <w:color w:val="444444"/>
          <w:sz w:val="32"/>
          <w:szCs w:val="32"/>
          <w:highlight w:val="none"/>
          <w:shd w:val="clear" w:color="auto" w:fill="FFFFFF"/>
        </w:rPr>
        <w:t>（二）投资期货、房地产、证券投资基金、企业债、信托产品、非保本型理财产品</w:t>
      </w:r>
      <w:r>
        <w:rPr>
          <w:rFonts w:hint="eastAsia" w:ascii="仿宋_GB2312" w:hAnsi="仿宋_GB2312" w:eastAsia="仿宋_GB2312" w:cs="仿宋_GB2312"/>
          <w:color w:val="444444"/>
          <w:sz w:val="32"/>
          <w:szCs w:val="32"/>
          <w:highlight w:val="none"/>
          <w:shd w:val="clear" w:color="auto" w:fill="FFFFFF"/>
          <w:lang w:eastAsia="zh-CN"/>
        </w:rPr>
        <w:t>（</w:t>
      </w:r>
      <w:r>
        <w:rPr>
          <w:rFonts w:hint="eastAsia" w:ascii="仿宋_GB2312" w:hAnsi="仿宋_GB2312" w:eastAsia="仿宋_GB2312" w:cs="仿宋_GB2312"/>
          <w:color w:val="444444"/>
          <w:sz w:val="32"/>
          <w:szCs w:val="32"/>
          <w:highlight w:val="none"/>
          <w:shd w:val="clear" w:color="auto" w:fill="FFFFFF"/>
        </w:rPr>
        <w:t>通过银行存款、国债、货币基金、固定收益类理财产品等方式进行临时投资除外</w:t>
      </w:r>
      <w:r>
        <w:rPr>
          <w:rFonts w:hint="eastAsia" w:ascii="仿宋_GB2312" w:hAnsi="仿宋_GB2312" w:eastAsia="仿宋_GB2312" w:cs="仿宋_GB2312"/>
          <w:color w:val="444444"/>
          <w:sz w:val="32"/>
          <w:szCs w:val="32"/>
          <w:highlight w:val="none"/>
          <w:shd w:val="clear" w:color="auto" w:fill="FFFFFF"/>
          <w:lang w:eastAsia="zh-CN"/>
        </w:rPr>
        <w:t>）</w:t>
      </w:r>
      <w:r>
        <w:rPr>
          <w:rFonts w:hint="eastAsia" w:ascii="仿宋_GB2312" w:hAnsi="仿宋_GB2312" w:eastAsia="仿宋_GB2312" w:cs="仿宋_GB2312"/>
          <w:color w:val="444444"/>
          <w:sz w:val="32"/>
          <w:szCs w:val="32"/>
          <w:highlight w:val="none"/>
          <w:shd w:val="clear" w:color="auto" w:fill="FFFFFF"/>
        </w:rPr>
        <w:t>、保险计划及其他金融衍生品；</w:t>
      </w:r>
    </w:p>
    <w:p>
      <w:pPr>
        <w:pStyle w:val="7"/>
        <w:widowControl/>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rPr>
      </w:pPr>
      <w:r>
        <w:rPr>
          <w:rFonts w:hint="eastAsia" w:ascii="仿宋_GB2312" w:hAnsi="仿宋_GB2312" w:eastAsia="仿宋_GB2312" w:cs="仿宋_GB2312"/>
          <w:color w:val="444444"/>
          <w:sz w:val="32"/>
          <w:szCs w:val="32"/>
          <w:highlight w:val="none"/>
          <w:shd w:val="clear" w:color="auto" w:fill="FFFFFF"/>
        </w:rPr>
        <w:t>（</w:t>
      </w:r>
      <w:r>
        <w:rPr>
          <w:rFonts w:hint="eastAsia" w:ascii="仿宋_GB2312" w:hAnsi="仿宋_GB2312" w:eastAsia="仿宋_GB2312" w:cs="仿宋_GB2312"/>
          <w:color w:val="444444"/>
          <w:sz w:val="32"/>
          <w:szCs w:val="32"/>
          <w:highlight w:val="none"/>
          <w:shd w:val="clear" w:color="auto" w:fill="FFFFFF"/>
          <w:lang w:val="en-US" w:eastAsia="zh-CN"/>
        </w:rPr>
        <w:t>三</w:t>
      </w:r>
      <w:r>
        <w:rPr>
          <w:rFonts w:hint="eastAsia" w:ascii="仿宋_GB2312" w:hAnsi="仿宋_GB2312" w:eastAsia="仿宋_GB2312" w:cs="仿宋_GB2312"/>
          <w:color w:val="444444"/>
          <w:sz w:val="32"/>
          <w:szCs w:val="32"/>
          <w:highlight w:val="none"/>
          <w:shd w:val="clear" w:color="auto" w:fill="FFFFFF"/>
        </w:rPr>
        <w:t>）发行信托或集合理财产品募集资金；</w:t>
      </w:r>
    </w:p>
    <w:p>
      <w:pPr>
        <w:pStyle w:val="7"/>
        <w:widowControl/>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rPr>
      </w:pPr>
      <w:r>
        <w:rPr>
          <w:rFonts w:hint="eastAsia" w:ascii="仿宋_GB2312" w:hAnsi="仿宋_GB2312" w:eastAsia="仿宋_GB2312" w:cs="仿宋_GB2312"/>
          <w:color w:val="444444"/>
          <w:sz w:val="32"/>
          <w:szCs w:val="32"/>
          <w:highlight w:val="none"/>
          <w:shd w:val="clear" w:color="auto" w:fill="FFFFFF"/>
        </w:rPr>
        <w:t>（四）向任何第三方提供赞助、捐赠；</w:t>
      </w:r>
    </w:p>
    <w:p>
      <w:pPr>
        <w:pStyle w:val="7"/>
        <w:widowControl/>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rPr>
      </w:pPr>
      <w:r>
        <w:rPr>
          <w:rFonts w:hint="eastAsia" w:ascii="仿宋_GB2312" w:hAnsi="仿宋_GB2312" w:eastAsia="仿宋_GB2312" w:cs="仿宋_GB2312"/>
          <w:color w:val="444444"/>
          <w:sz w:val="32"/>
          <w:szCs w:val="32"/>
          <w:highlight w:val="none"/>
          <w:shd w:val="clear" w:color="auto" w:fill="FFFFFF"/>
        </w:rPr>
        <w:t>（五）吸收或变相吸收存款，或向第三方提供贷款和资金拆借；</w:t>
      </w:r>
    </w:p>
    <w:p>
      <w:pPr>
        <w:pStyle w:val="7"/>
        <w:widowControl/>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rPr>
      </w:pPr>
      <w:r>
        <w:rPr>
          <w:rFonts w:hint="eastAsia" w:ascii="仿宋_GB2312" w:hAnsi="仿宋_GB2312" w:eastAsia="仿宋_GB2312" w:cs="仿宋_GB2312"/>
          <w:color w:val="444444"/>
          <w:sz w:val="32"/>
          <w:szCs w:val="32"/>
          <w:highlight w:val="none"/>
          <w:shd w:val="clear" w:color="auto" w:fill="FFFFFF"/>
        </w:rPr>
        <w:t>（六）进行承担无限连带责任的对外投资；</w:t>
      </w:r>
    </w:p>
    <w:p>
      <w:pPr>
        <w:pStyle w:val="7"/>
        <w:widowControl/>
        <w:shd w:val="clear" w:color="auto" w:fill="FFFFFF"/>
        <w:wordWrap w:val="0"/>
        <w:spacing w:beforeAutospacing="0" w:afterAutospacing="0" w:line="520" w:lineRule="exact"/>
        <w:ind w:firstLine="640" w:firstLineChars="200"/>
        <w:rPr>
          <w:rFonts w:hint="eastAsia" w:ascii="仿宋_GB2312" w:hAnsi="仿宋_GB2312" w:eastAsia="仿宋_GB2312" w:cs="仿宋_GB2312"/>
          <w:color w:val="444444"/>
          <w:sz w:val="32"/>
          <w:szCs w:val="32"/>
          <w:highlight w:val="none"/>
          <w:shd w:val="clear" w:color="auto" w:fill="FFFFFF"/>
        </w:rPr>
      </w:pPr>
      <w:r>
        <w:rPr>
          <w:rFonts w:hint="eastAsia" w:ascii="仿宋_GB2312" w:hAnsi="仿宋_GB2312" w:eastAsia="仿宋_GB2312" w:cs="仿宋_GB2312"/>
          <w:color w:val="444444"/>
          <w:sz w:val="32"/>
          <w:szCs w:val="32"/>
          <w:highlight w:val="none"/>
          <w:shd w:val="clear" w:color="auto" w:fill="FFFFFF"/>
        </w:rPr>
        <w:t>（</w:t>
      </w:r>
      <w:r>
        <w:rPr>
          <w:rFonts w:hint="eastAsia" w:ascii="仿宋_GB2312" w:hAnsi="仿宋_GB2312" w:eastAsia="仿宋_GB2312" w:cs="仿宋_GB2312"/>
          <w:color w:val="444444"/>
          <w:sz w:val="32"/>
          <w:szCs w:val="32"/>
          <w:highlight w:val="none"/>
          <w:shd w:val="clear" w:color="auto" w:fill="FFFFFF"/>
          <w:lang w:val="en-US" w:eastAsia="zh-CN"/>
        </w:rPr>
        <w:t>七</w:t>
      </w:r>
      <w:r>
        <w:rPr>
          <w:rFonts w:hint="eastAsia" w:ascii="仿宋_GB2312" w:hAnsi="仿宋_GB2312" w:eastAsia="仿宋_GB2312" w:cs="仿宋_GB2312"/>
          <w:color w:val="444444"/>
          <w:sz w:val="32"/>
          <w:szCs w:val="32"/>
          <w:highlight w:val="none"/>
          <w:shd w:val="clear" w:color="auto" w:fill="FFFFFF"/>
        </w:rPr>
        <w:t>）其他国家法律法规禁止从事的业务。</w:t>
      </w:r>
    </w:p>
    <w:p>
      <w:pPr>
        <w:pStyle w:val="7"/>
        <w:widowControl/>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shd w:val="clear" w:color="auto" w:fill="FFFFFF"/>
          <w:lang w:bidi="zh-TW"/>
        </w:rPr>
      </w:pPr>
      <w:r>
        <w:rPr>
          <w:rFonts w:hint="eastAsia" w:ascii="仿宋_GB2312" w:hAnsi="仿宋_GB2312" w:eastAsia="仿宋_GB2312" w:cs="仿宋_GB2312"/>
          <w:color w:val="444444"/>
          <w:sz w:val="32"/>
          <w:szCs w:val="32"/>
          <w:highlight w:val="none"/>
          <w:shd w:val="clear" w:color="auto" w:fill="FFFFFF"/>
          <w:lang w:bidi="zh-TW"/>
        </w:rPr>
        <w:t>第</w:t>
      </w:r>
      <w:r>
        <w:rPr>
          <w:rFonts w:hint="eastAsia" w:ascii="仿宋_GB2312" w:hAnsi="仿宋_GB2312" w:eastAsia="仿宋_GB2312" w:cs="仿宋_GB2312"/>
          <w:color w:val="444444"/>
          <w:sz w:val="32"/>
          <w:szCs w:val="32"/>
          <w:highlight w:val="none"/>
          <w:shd w:val="clear" w:color="auto" w:fill="FFFFFF"/>
          <w:lang w:val="en-US" w:eastAsia="zh-CN" w:bidi="zh-TW"/>
        </w:rPr>
        <w:t>十八</w:t>
      </w:r>
      <w:r>
        <w:rPr>
          <w:rFonts w:hint="eastAsia" w:ascii="仿宋_GB2312" w:hAnsi="仿宋_GB2312" w:eastAsia="仿宋_GB2312" w:cs="仿宋_GB2312"/>
          <w:color w:val="444444"/>
          <w:sz w:val="32"/>
          <w:szCs w:val="32"/>
          <w:highlight w:val="none"/>
          <w:shd w:val="clear" w:color="auto" w:fill="FFFFFF"/>
          <w:lang w:bidi="zh-TW"/>
        </w:rPr>
        <w:t>条 申请南控母基金对现有股权投资基金进行增资或受让股权投资基金份额（合伙企业财产份额）的，除需符合上述条件外，还应满足以下条件：</w:t>
      </w:r>
    </w:p>
    <w:p>
      <w:pPr>
        <w:pStyle w:val="7"/>
        <w:widowControl/>
        <w:numPr>
          <w:ilvl w:val="255"/>
          <w:numId w:val="0"/>
        </w:numPr>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shd w:val="clear" w:color="auto" w:fill="FFFFFF"/>
          <w:lang w:bidi="zh-TW"/>
        </w:rPr>
      </w:pPr>
      <w:r>
        <w:rPr>
          <w:rFonts w:hint="eastAsia" w:ascii="仿宋_GB2312" w:hAnsi="仿宋_GB2312" w:eastAsia="仿宋_GB2312" w:cs="仿宋_GB2312"/>
          <w:color w:val="444444"/>
          <w:sz w:val="32"/>
          <w:szCs w:val="32"/>
          <w:highlight w:val="none"/>
          <w:shd w:val="clear" w:color="auto" w:fill="FFFFFF"/>
          <w:lang w:bidi="zh-TW"/>
        </w:rPr>
        <w:t>（一）子基金已按有关法律法规设立；</w:t>
      </w:r>
    </w:p>
    <w:p>
      <w:pPr>
        <w:pStyle w:val="7"/>
        <w:widowControl/>
        <w:numPr>
          <w:ilvl w:val="255"/>
          <w:numId w:val="0"/>
        </w:numPr>
        <w:shd w:val="clear" w:color="auto" w:fill="FFFFFF"/>
        <w:wordWrap w:val="0"/>
        <w:spacing w:beforeAutospacing="0" w:afterAutospacing="0" w:line="520" w:lineRule="exact"/>
        <w:ind w:firstLine="640" w:firstLineChars="200"/>
        <w:rPr>
          <w:rFonts w:hint="eastAsia" w:ascii="仿宋_GB2312" w:hAnsi="仿宋_GB2312" w:eastAsia="仿宋_GB2312" w:cs="仿宋_GB2312"/>
          <w:color w:val="444444"/>
          <w:sz w:val="32"/>
          <w:szCs w:val="32"/>
          <w:highlight w:val="none"/>
          <w:shd w:val="clear" w:color="auto" w:fill="FFFFFF"/>
        </w:rPr>
      </w:pPr>
      <w:r>
        <w:rPr>
          <w:rFonts w:hint="eastAsia" w:ascii="仿宋_GB2312" w:hAnsi="仿宋_GB2312" w:eastAsia="仿宋_GB2312" w:cs="仿宋_GB2312"/>
          <w:color w:val="444444"/>
          <w:sz w:val="32"/>
          <w:szCs w:val="32"/>
          <w:highlight w:val="none"/>
          <w:shd w:val="clear" w:color="auto" w:fill="FFFFFF"/>
          <w:lang w:bidi="zh-TW"/>
        </w:rPr>
        <w:t>（二）子基金全体出资人首期出资或首期认缴出资已经实际缴纳到位</w:t>
      </w:r>
      <w:r>
        <w:rPr>
          <w:rFonts w:hint="eastAsia" w:ascii="仿宋_GB2312" w:hAnsi="仿宋_GB2312" w:eastAsia="仿宋_GB2312" w:cs="仿宋_GB2312"/>
          <w:color w:val="444444"/>
          <w:sz w:val="32"/>
          <w:szCs w:val="32"/>
          <w:highlight w:val="none"/>
          <w:shd w:val="clear" w:color="auto" w:fill="FFFFFF"/>
          <w:lang w:eastAsia="zh-CN" w:bidi="zh-TW"/>
        </w:rPr>
        <w:t>。</w:t>
      </w:r>
    </w:p>
    <w:p>
      <w:pPr>
        <w:pStyle w:val="7"/>
        <w:widowControl/>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shd w:val="clear" w:color="auto" w:fill="FFFFFF"/>
        </w:rPr>
      </w:pPr>
      <w:r>
        <w:rPr>
          <w:rFonts w:hint="eastAsia" w:ascii="仿宋_GB2312" w:hAnsi="仿宋_GB2312" w:eastAsia="仿宋_GB2312" w:cs="仿宋_GB2312"/>
          <w:color w:val="444444"/>
          <w:sz w:val="32"/>
          <w:szCs w:val="32"/>
          <w:highlight w:val="none"/>
          <w:shd w:val="clear" w:color="auto" w:fill="FFFFFF"/>
        </w:rPr>
        <w:t>第</w:t>
      </w:r>
      <w:r>
        <w:rPr>
          <w:rFonts w:hint="eastAsia" w:ascii="仿宋_GB2312" w:hAnsi="仿宋_GB2312" w:eastAsia="仿宋_GB2312" w:cs="仿宋_GB2312"/>
          <w:color w:val="444444"/>
          <w:sz w:val="32"/>
          <w:szCs w:val="32"/>
          <w:highlight w:val="none"/>
          <w:shd w:val="clear" w:color="auto" w:fill="FFFFFF"/>
          <w:lang w:val="en-US" w:eastAsia="zh-CN"/>
        </w:rPr>
        <w:t>十九</w:t>
      </w:r>
      <w:r>
        <w:rPr>
          <w:rFonts w:hint="eastAsia" w:ascii="仿宋_GB2312" w:hAnsi="仿宋_GB2312" w:eastAsia="仿宋_GB2312" w:cs="仿宋_GB2312"/>
          <w:color w:val="444444"/>
          <w:sz w:val="32"/>
          <w:szCs w:val="32"/>
          <w:highlight w:val="none"/>
          <w:shd w:val="clear" w:color="auto" w:fill="FFFFFF"/>
        </w:rPr>
        <w:t>条</w:t>
      </w:r>
      <w:r>
        <w:rPr>
          <w:rFonts w:ascii="仿宋_GB2312" w:hAnsi="仿宋_GB2312" w:eastAsia="仿宋_GB2312" w:cs="仿宋_GB2312"/>
          <w:b/>
          <w:bCs/>
          <w:color w:val="444444"/>
          <w:sz w:val="32"/>
          <w:szCs w:val="32"/>
          <w:highlight w:val="none"/>
          <w:shd w:val="clear" w:color="auto" w:fill="FFFFFF"/>
        </w:rPr>
        <w:t xml:space="preserve"> </w:t>
      </w:r>
      <w:r>
        <w:rPr>
          <w:rFonts w:hint="eastAsia" w:ascii="仿宋_GB2312" w:hAnsi="仿宋_GB2312" w:eastAsia="仿宋_GB2312" w:cs="仿宋_GB2312"/>
          <w:color w:val="444444"/>
          <w:sz w:val="32"/>
          <w:szCs w:val="32"/>
          <w:highlight w:val="none"/>
          <w:shd w:val="clear" w:color="auto" w:fill="FFFFFF"/>
        </w:rPr>
        <w:t>子基金管理机构应当建立子基金重大事项披露制度。子基金须定期向南控母基金提交子基金运营报告、经审计的子基金财务报告和银行托管报告、投决会决策记录及其他合规材料备案等，并配合南控母基金相关合规工作。</w:t>
      </w:r>
    </w:p>
    <w:p>
      <w:pPr>
        <w:pStyle w:val="7"/>
        <w:widowControl/>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shd w:val="clear" w:color="auto" w:fill="FFFFFF"/>
        </w:rPr>
      </w:pPr>
      <w:r>
        <w:rPr>
          <w:rFonts w:hint="eastAsia" w:ascii="仿宋_GB2312" w:hAnsi="仿宋_GB2312" w:eastAsia="仿宋_GB2312" w:cs="仿宋_GB2312"/>
          <w:color w:val="444444"/>
          <w:sz w:val="32"/>
          <w:szCs w:val="32"/>
          <w:highlight w:val="none"/>
          <w:shd w:val="clear" w:color="auto" w:fill="FFFFFF"/>
        </w:rPr>
        <w:t>第二十条 南控母基金将定期进行非现场核查、现场走访等形式的投后管理工作，</w:t>
      </w:r>
      <w:r>
        <w:rPr>
          <w:rFonts w:hint="eastAsia" w:ascii="仿宋_GB2312" w:hAnsi="仿宋_GB2312" w:eastAsia="仿宋_GB2312" w:cs="仿宋_GB2312"/>
          <w:color w:val="444444"/>
          <w:sz w:val="32"/>
          <w:szCs w:val="32"/>
          <w:highlight w:val="none"/>
          <w:shd w:val="clear" w:color="auto" w:fill="FFFFFF"/>
          <w:lang w:val="en-US" w:eastAsia="zh-CN"/>
        </w:rPr>
        <w:t>及</w:t>
      </w:r>
      <w:r>
        <w:rPr>
          <w:rFonts w:hint="eastAsia" w:ascii="仿宋_GB2312" w:hAnsi="仿宋_GB2312" w:eastAsia="仿宋_GB2312" w:cs="仿宋_GB2312"/>
          <w:color w:val="444444"/>
          <w:sz w:val="32"/>
          <w:szCs w:val="32"/>
          <w:highlight w:val="none"/>
          <w:shd w:val="clear" w:color="auto" w:fill="FFFFFF"/>
        </w:rPr>
        <w:t>视工作需要委托专业机构对子基金进行审计</w:t>
      </w:r>
      <w:r>
        <w:rPr>
          <w:rFonts w:hint="eastAsia" w:ascii="仿宋_GB2312" w:hAnsi="仿宋_GB2312" w:eastAsia="仿宋_GB2312" w:cs="仿宋_GB2312"/>
          <w:color w:val="444444"/>
          <w:sz w:val="32"/>
          <w:szCs w:val="32"/>
          <w:highlight w:val="none"/>
          <w:shd w:val="clear" w:color="auto" w:fill="FFFFFF"/>
          <w:lang w:eastAsia="zh-CN"/>
        </w:rPr>
        <w:t>，</w:t>
      </w:r>
      <w:r>
        <w:rPr>
          <w:rFonts w:hint="eastAsia" w:ascii="仿宋_GB2312" w:hAnsi="仿宋_GB2312" w:eastAsia="仿宋_GB2312" w:cs="仿宋_GB2312"/>
          <w:color w:val="444444"/>
          <w:sz w:val="32"/>
          <w:szCs w:val="32"/>
          <w:highlight w:val="none"/>
          <w:shd w:val="clear" w:color="auto" w:fill="FFFFFF"/>
        </w:rPr>
        <w:t>子基金管理</w:t>
      </w:r>
      <w:r>
        <w:rPr>
          <w:rFonts w:hint="eastAsia" w:ascii="仿宋_GB2312" w:hAnsi="仿宋_GB2312" w:eastAsia="仿宋_GB2312" w:cs="仿宋_GB2312"/>
          <w:color w:val="444444"/>
          <w:sz w:val="32"/>
          <w:szCs w:val="32"/>
          <w:highlight w:val="none"/>
          <w:shd w:val="clear" w:color="auto" w:fill="FFFFFF"/>
          <w:lang w:val="en-US" w:eastAsia="zh-CN"/>
        </w:rPr>
        <w:t>机构</w:t>
      </w:r>
      <w:r>
        <w:rPr>
          <w:rFonts w:hint="eastAsia" w:ascii="仿宋_GB2312" w:hAnsi="仿宋_GB2312" w:eastAsia="仿宋_GB2312" w:cs="仿宋_GB2312"/>
          <w:color w:val="444444"/>
          <w:sz w:val="32"/>
          <w:szCs w:val="32"/>
          <w:highlight w:val="none"/>
          <w:shd w:val="clear" w:color="auto" w:fill="FFFFFF"/>
        </w:rPr>
        <w:t>需予以配合。</w:t>
      </w:r>
    </w:p>
    <w:p>
      <w:pPr>
        <w:pStyle w:val="7"/>
        <w:widowControl/>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rPr>
      </w:pPr>
      <w:r>
        <w:rPr>
          <w:rFonts w:hint="eastAsia" w:ascii="仿宋_GB2312" w:hAnsi="仿宋_GB2312" w:eastAsia="仿宋_GB2312" w:cs="仿宋_GB2312"/>
          <w:color w:val="444444"/>
          <w:sz w:val="32"/>
          <w:szCs w:val="32"/>
          <w:highlight w:val="none"/>
          <w:shd w:val="clear" w:color="auto" w:fill="FFFFFF"/>
        </w:rPr>
        <w:t>第二十</w:t>
      </w:r>
      <w:r>
        <w:rPr>
          <w:rFonts w:hint="eastAsia" w:ascii="仿宋_GB2312" w:hAnsi="仿宋_GB2312" w:eastAsia="仿宋_GB2312" w:cs="仿宋_GB2312"/>
          <w:color w:val="444444"/>
          <w:sz w:val="32"/>
          <w:szCs w:val="32"/>
          <w:highlight w:val="none"/>
          <w:shd w:val="clear" w:color="auto" w:fill="FFFFFF"/>
          <w:lang w:val="en-US" w:eastAsia="zh-CN"/>
        </w:rPr>
        <w:t>一</w:t>
      </w:r>
      <w:r>
        <w:rPr>
          <w:rFonts w:hint="eastAsia" w:ascii="仿宋_GB2312" w:hAnsi="仿宋_GB2312" w:eastAsia="仿宋_GB2312" w:cs="仿宋_GB2312"/>
          <w:color w:val="444444"/>
          <w:sz w:val="32"/>
          <w:szCs w:val="32"/>
          <w:highlight w:val="none"/>
          <w:shd w:val="clear" w:color="auto" w:fill="FFFFFF"/>
        </w:rPr>
        <w:t xml:space="preserve">条 </w:t>
      </w:r>
      <w:r>
        <w:rPr>
          <w:rFonts w:ascii="仿宋_GB2312" w:hAnsi="仿宋_GB2312" w:eastAsia="仿宋_GB2312" w:cs="仿宋_GB2312"/>
          <w:b w:val="0"/>
          <w:bCs w:val="0"/>
          <w:color w:val="444444"/>
          <w:sz w:val="32"/>
          <w:szCs w:val="32"/>
          <w:highlight w:val="none"/>
          <w:shd w:val="clear" w:color="auto" w:fill="FFFFFF"/>
        </w:rPr>
        <w:t>有下列情况之一的，</w:t>
      </w:r>
      <w:r>
        <w:rPr>
          <w:rFonts w:hint="eastAsia" w:ascii="仿宋_GB2312" w:hAnsi="仿宋_GB2312" w:eastAsia="仿宋_GB2312" w:cs="仿宋_GB2312"/>
          <w:b w:val="0"/>
          <w:bCs w:val="0"/>
          <w:color w:val="444444"/>
          <w:sz w:val="32"/>
          <w:szCs w:val="32"/>
          <w:highlight w:val="none"/>
          <w:shd w:val="clear" w:color="auto" w:fill="FFFFFF"/>
          <w:lang w:val="en-US" w:eastAsia="zh-CN"/>
        </w:rPr>
        <w:t>南控</w:t>
      </w:r>
      <w:r>
        <w:rPr>
          <w:rFonts w:ascii="仿宋_GB2312" w:hAnsi="仿宋_GB2312" w:eastAsia="仿宋_GB2312" w:cs="仿宋_GB2312"/>
          <w:b w:val="0"/>
          <w:bCs w:val="0"/>
          <w:color w:val="444444"/>
          <w:sz w:val="32"/>
          <w:szCs w:val="32"/>
          <w:highlight w:val="none"/>
          <w:shd w:val="clear" w:color="auto" w:fill="FFFFFF"/>
        </w:rPr>
        <w:t>母基金有权要求</w:t>
      </w:r>
      <w:r>
        <w:rPr>
          <w:rFonts w:hint="eastAsia" w:ascii="仿宋_GB2312" w:hAnsi="仿宋_GB2312" w:eastAsia="仿宋_GB2312" w:cs="仿宋_GB2312"/>
          <w:b w:val="0"/>
          <w:bCs w:val="0"/>
          <w:color w:val="444444"/>
          <w:sz w:val="32"/>
          <w:szCs w:val="32"/>
          <w:highlight w:val="none"/>
          <w:shd w:val="clear" w:color="auto" w:fill="FFFFFF"/>
        </w:rPr>
        <w:t>终止合作或</w:t>
      </w:r>
      <w:r>
        <w:rPr>
          <w:rFonts w:ascii="仿宋_GB2312" w:hAnsi="仿宋_GB2312" w:eastAsia="仿宋_GB2312" w:cs="仿宋_GB2312"/>
          <w:b w:val="0"/>
          <w:bCs w:val="0"/>
          <w:color w:val="444444"/>
          <w:sz w:val="32"/>
          <w:szCs w:val="32"/>
          <w:highlight w:val="none"/>
          <w:shd w:val="clear" w:color="auto" w:fill="FFFFFF"/>
        </w:rPr>
        <w:t>提前退出：</w:t>
      </w:r>
    </w:p>
    <w:p>
      <w:pPr>
        <w:pStyle w:val="7"/>
        <w:widowControl/>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rPr>
      </w:pPr>
      <w:r>
        <w:rPr>
          <w:rFonts w:hint="eastAsia" w:ascii="仿宋_GB2312" w:hAnsi="仿宋_GB2312" w:eastAsia="仿宋_GB2312" w:cs="仿宋_GB2312"/>
          <w:color w:val="444444"/>
          <w:sz w:val="32"/>
          <w:szCs w:val="32"/>
          <w:highlight w:val="none"/>
          <w:shd w:val="clear" w:color="auto" w:fill="FFFFFF"/>
        </w:rPr>
        <w:t>（一）子基金未按照子基金章程、合伙协议或其他约束性文件的约定投资且未能有效整改的；</w:t>
      </w:r>
    </w:p>
    <w:p>
      <w:pPr>
        <w:pStyle w:val="7"/>
        <w:widowControl/>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rPr>
      </w:pPr>
      <w:r>
        <w:rPr>
          <w:rFonts w:hint="eastAsia" w:ascii="仿宋_GB2312" w:hAnsi="仿宋_GB2312" w:eastAsia="仿宋_GB2312" w:cs="仿宋_GB2312"/>
          <w:color w:val="444444"/>
          <w:sz w:val="32"/>
          <w:szCs w:val="32"/>
          <w:highlight w:val="none"/>
          <w:shd w:val="clear" w:color="auto" w:fill="FFFFFF"/>
        </w:rPr>
        <w:t>（二）南控母基金与子基金管理机构签订投资或合作协议后，未在6个月内完成子基金工商设立登记的；</w:t>
      </w:r>
    </w:p>
    <w:p>
      <w:pPr>
        <w:pStyle w:val="7"/>
        <w:widowControl/>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rPr>
      </w:pPr>
      <w:r>
        <w:rPr>
          <w:rFonts w:hint="eastAsia" w:ascii="仿宋_GB2312" w:hAnsi="仿宋_GB2312" w:eastAsia="仿宋_GB2312" w:cs="仿宋_GB2312"/>
          <w:color w:val="444444"/>
          <w:sz w:val="32"/>
          <w:szCs w:val="32"/>
          <w:highlight w:val="none"/>
          <w:shd w:val="clear" w:color="auto" w:fill="FFFFFF"/>
        </w:rPr>
        <w:t>（三）子基金完成工商设立登记后，子基金其他出资人未在6个月内完成首期出资的；</w:t>
      </w:r>
    </w:p>
    <w:p>
      <w:pPr>
        <w:pStyle w:val="7"/>
        <w:widowControl/>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rPr>
      </w:pPr>
      <w:r>
        <w:rPr>
          <w:rFonts w:hint="eastAsia" w:ascii="仿宋_GB2312" w:hAnsi="仿宋_GB2312" w:eastAsia="仿宋_GB2312" w:cs="仿宋_GB2312"/>
          <w:color w:val="444444"/>
          <w:sz w:val="32"/>
          <w:szCs w:val="32"/>
          <w:highlight w:val="none"/>
          <w:shd w:val="clear" w:color="auto" w:fill="FFFFFF"/>
        </w:rPr>
        <w:t>（四）南控母基金出资资金拨付至子基金账户后，子基金未开展投资业务（至少完成一个项目投资）超过1年的；</w:t>
      </w:r>
    </w:p>
    <w:p>
      <w:pPr>
        <w:pStyle w:val="7"/>
        <w:widowControl/>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rPr>
      </w:pPr>
      <w:r>
        <w:rPr>
          <w:rFonts w:hint="eastAsia" w:ascii="仿宋_GB2312" w:hAnsi="仿宋_GB2312" w:eastAsia="仿宋_GB2312" w:cs="仿宋_GB2312"/>
          <w:color w:val="444444"/>
          <w:sz w:val="32"/>
          <w:szCs w:val="32"/>
          <w:highlight w:val="none"/>
          <w:shd w:val="clear" w:color="auto" w:fill="FFFFFF"/>
        </w:rPr>
        <w:t>（五）子基金运营有违法违规行为并被依法查处的；</w:t>
      </w:r>
    </w:p>
    <w:p>
      <w:pPr>
        <w:pStyle w:val="7"/>
        <w:widowControl/>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rPr>
      </w:pPr>
      <w:r>
        <w:rPr>
          <w:rFonts w:hint="eastAsia" w:ascii="仿宋_GB2312" w:hAnsi="仿宋_GB2312" w:eastAsia="仿宋_GB2312" w:cs="仿宋_GB2312"/>
          <w:color w:val="444444"/>
          <w:sz w:val="32"/>
          <w:szCs w:val="32"/>
          <w:highlight w:val="none"/>
          <w:shd w:val="clear" w:color="auto" w:fill="FFFFFF"/>
        </w:rPr>
        <w:t>（六）子基金管理机构发生实质性变化，已不符合本办法所述规定，且未经子基金相关权力机构审议通过的。实质变化包括但不限于：</w:t>
      </w:r>
    </w:p>
    <w:p>
      <w:pPr>
        <w:pStyle w:val="7"/>
        <w:widowControl/>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rPr>
      </w:pPr>
      <w:r>
        <w:rPr>
          <w:rFonts w:hint="eastAsia" w:ascii="仿宋_GB2312" w:hAnsi="仿宋_GB2312" w:eastAsia="仿宋_GB2312" w:cs="仿宋_GB2312"/>
          <w:color w:val="444444"/>
          <w:sz w:val="32"/>
          <w:szCs w:val="32"/>
          <w:highlight w:val="none"/>
          <w:shd w:val="clear" w:color="auto" w:fill="FFFFFF"/>
        </w:rPr>
        <w:t>1.子基金管理机构的主要股东（公司制）或普通合伙人（合伙制）发生实质性变化；</w:t>
      </w:r>
    </w:p>
    <w:p>
      <w:pPr>
        <w:pStyle w:val="7"/>
        <w:widowControl/>
        <w:shd w:val="clear" w:color="auto" w:fill="FFFFFF"/>
        <w:wordWrap w:val="0"/>
        <w:spacing w:beforeAutospacing="0" w:afterAutospacing="0" w:line="520" w:lineRule="exact"/>
        <w:ind w:firstLine="640" w:firstLineChars="200"/>
        <w:rPr>
          <w:rFonts w:ascii="仿宋_GB2312" w:hAnsi="仿宋_GB2312" w:eastAsia="仿宋_GB2312" w:cs="仿宋_GB2312"/>
          <w:color w:val="444444"/>
          <w:sz w:val="32"/>
          <w:szCs w:val="32"/>
          <w:highlight w:val="none"/>
          <w:shd w:val="clear" w:color="auto" w:fill="FFFFFF"/>
        </w:rPr>
      </w:pPr>
      <w:r>
        <w:rPr>
          <w:rFonts w:hint="eastAsia" w:ascii="仿宋_GB2312" w:hAnsi="仿宋_GB2312" w:eastAsia="仿宋_GB2312" w:cs="仿宋_GB2312"/>
          <w:color w:val="444444"/>
          <w:sz w:val="32"/>
          <w:szCs w:val="32"/>
          <w:highlight w:val="none"/>
          <w:shd w:val="clear" w:color="auto" w:fill="FFFFFF"/>
        </w:rPr>
        <w:t>2.锁定的子基金投委会委员或管理团队核心人员半数（含）以上发生变化等情况。</w:t>
      </w:r>
    </w:p>
    <w:p>
      <w:pPr>
        <w:pStyle w:val="7"/>
        <w:widowControl/>
        <w:shd w:val="clear" w:color="auto" w:fill="FFFFFF"/>
        <w:wordWrap w:val="0"/>
        <w:spacing w:beforeAutospacing="0" w:afterAutospacing="0" w:line="520" w:lineRule="exact"/>
        <w:ind w:firstLine="640" w:firstLineChars="200"/>
        <w:rPr>
          <w:rFonts w:hint="eastAsia" w:ascii="仿宋_GB2312" w:hAnsi="仿宋_GB2312" w:eastAsia="仿宋_GB2312" w:cs="仿宋_GB2312"/>
          <w:color w:val="444444"/>
          <w:sz w:val="32"/>
          <w:szCs w:val="32"/>
          <w:highlight w:val="none"/>
          <w:shd w:val="clear" w:color="auto" w:fill="FFFFFF"/>
        </w:rPr>
      </w:pPr>
      <w:r>
        <w:rPr>
          <w:rFonts w:hint="eastAsia" w:ascii="仿宋_GB2312" w:hAnsi="仿宋_GB2312" w:eastAsia="仿宋_GB2312" w:cs="仿宋_GB2312"/>
          <w:color w:val="444444"/>
          <w:sz w:val="32"/>
          <w:szCs w:val="32"/>
          <w:highlight w:val="none"/>
          <w:shd w:val="clear" w:color="auto" w:fill="FFFFFF"/>
        </w:rPr>
        <w:t>（七）南控母基金委托专业机构对子基金进行审计，子基金或管理</w:t>
      </w:r>
      <w:r>
        <w:rPr>
          <w:rFonts w:hint="eastAsia" w:ascii="仿宋_GB2312" w:hAnsi="仿宋_GB2312" w:eastAsia="仿宋_GB2312" w:cs="仿宋_GB2312"/>
          <w:color w:val="444444"/>
          <w:sz w:val="32"/>
          <w:szCs w:val="32"/>
          <w:highlight w:val="none"/>
          <w:shd w:val="clear" w:color="auto" w:fill="FFFFFF"/>
          <w:lang w:val="en-US" w:eastAsia="zh-CN"/>
        </w:rPr>
        <w:t>机构</w:t>
      </w:r>
      <w:r>
        <w:rPr>
          <w:rFonts w:hint="eastAsia" w:ascii="仿宋_GB2312" w:hAnsi="仿宋_GB2312" w:eastAsia="仿宋_GB2312" w:cs="仿宋_GB2312"/>
          <w:color w:val="444444"/>
          <w:sz w:val="32"/>
          <w:szCs w:val="32"/>
          <w:highlight w:val="none"/>
          <w:shd w:val="clear" w:color="auto" w:fill="FFFFFF"/>
        </w:rPr>
        <w:t>拒不配合的。</w:t>
      </w:r>
    </w:p>
    <w:p>
      <w:pPr>
        <w:pStyle w:val="7"/>
        <w:widowControl/>
        <w:shd w:val="clear" w:color="auto" w:fill="FFFFFF"/>
        <w:wordWrap w:val="0"/>
        <w:spacing w:beforeAutospacing="0" w:afterAutospacing="0" w:line="520" w:lineRule="exact"/>
        <w:ind w:firstLine="640" w:firstLineChars="200"/>
        <w:rPr>
          <w:rFonts w:hint="default" w:ascii="仿宋_GB2312" w:hAnsi="仿宋_GB2312" w:eastAsia="仿宋_GB2312" w:cs="仿宋_GB2312"/>
          <w:color w:val="444444"/>
          <w:sz w:val="32"/>
          <w:szCs w:val="32"/>
          <w:highlight w:val="none"/>
          <w:shd w:val="clear" w:color="auto" w:fill="FFFFFF"/>
          <w:lang w:val="en-US" w:eastAsia="zh-CN"/>
        </w:rPr>
      </w:pPr>
      <w:r>
        <w:rPr>
          <w:rFonts w:hint="eastAsia" w:ascii="仿宋_GB2312" w:hAnsi="仿宋_GB2312" w:eastAsia="仿宋_GB2312" w:cs="仿宋_GB2312"/>
          <w:color w:val="444444"/>
          <w:sz w:val="32"/>
          <w:szCs w:val="32"/>
          <w:highlight w:val="none"/>
          <w:shd w:val="clear" w:color="auto" w:fill="FFFFFF"/>
          <w:lang w:val="en-US" w:eastAsia="zh-CN"/>
        </w:rPr>
        <w:t>第二十二条 鼓励子基金以下行为：</w:t>
      </w:r>
    </w:p>
    <w:p>
      <w:pPr>
        <w:pStyle w:val="7"/>
        <w:widowControl/>
        <w:shd w:val="clear" w:color="auto" w:fill="FFFFFF"/>
        <w:wordWrap w:val="0"/>
        <w:spacing w:beforeAutospacing="0" w:afterAutospacing="0" w:line="520" w:lineRule="exact"/>
        <w:ind w:firstLine="640" w:firstLineChars="200"/>
        <w:jc w:val="left"/>
        <w:rPr>
          <w:rFonts w:hint="eastAsia" w:ascii="仿宋_GB2312" w:hAnsi="仿宋_GB2312" w:eastAsia="仿宋_GB2312" w:cs="仿宋_GB2312"/>
          <w:color w:val="444444"/>
          <w:sz w:val="32"/>
          <w:szCs w:val="32"/>
          <w:highlight w:val="none"/>
          <w:shd w:val="clear" w:color="auto" w:fill="FFFFFF"/>
          <w:lang w:val="en-US" w:eastAsia="zh-CN"/>
        </w:rPr>
      </w:pPr>
      <w:r>
        <w:rPr>
          <w:rFonts w:hint="eastAsia" w:ascii="仿宋_GB2312" w:hAnsi="仿宋_GB2312" w:eastAsia="仿宋_GB2312" w:cs="仿宋_GB2312"/>
          <w:color w:val="444444"/>
          <w:sz w:val="32"/>
          <w:szCs w:val="32"/>
          <w:highlight w:val="none"/>
          <w:shd w:val="clear" w:color="auto" w:fill="FFFFFF"/>
          <w:lang w:val="en-US" w:eastAsia="zh-CN"/>
        </w:rPr>
        <w:t>（一）向南控母基金及其关联方分享股权项目的跟随投资机会（包括同一轮次的联合投资）；</w:t>
      </w:r>
    </w:p>
    <w:p>
      <w:pPr>
        <w:pStyle w:val="7"/>
        <w:widowControl/>
        <w:shd w:val="clear" w:color="auto" w:fill="FFFFFF"/>
        <w:wordWrap w:val="0"/>
        <w:spacing w:beforeAutospacing="0" w:afterAutospacing="0" w:line="520" w:lineRule="exact"/>
        <w:ind w:firstLine="640" w:firstLineChars="200"/>
        <w:jc w:val="left"/>
        <w:rPr>
          <w:rFonts w:hint="eastAsia" w:ascii="仿宋_GB2312" w:hAnsi="仿宋_GB2312" w:eastAsia="仿宋_GB2312" w:cs="仿宋_GB2312"/>
          <w:color w:val="444444"/>
          <w:sz w:val="32"/>
          <w:szCs w:val="32"/>
          <w:highlight w:val="none"/>
          <w:shd w:val="clear" w:color="auto" w:fill="FFFFFF"/>
          <w:lang w:val="en-US" w:eastAsia="zh-CN"/>
        </w:rPr>
      </w:pPr>
      <w:r>
        <w:rPr>
          <w:rFonts w:hint="eastAsia" w:ascii="仿宋_GB2312" w:hAnsi="仿宋_GB2312" w:eastAsia="仿宋_GB2312" w:cs="仿宋_GB2312"/>
          <w:color w:val="444444"/>
          <w:sz w:val="32"/>
          <w:szCs w:val="32"/>
          <w:highlight w:val="none"/>
          <w:shd w:val="clear" w:color="auto" w:fill="FFFFFF"/>
          <w:lang w:val="en-US" w:eastAsia="zh-CN"/>
        </w:rPr>
        <w:t>（二）投资于南海区的金额高于南控母基金对子基金实缴出资金额，投资于南海区的具体认定标准由南控母基金与子基金申请机构共同协商确定；</w:t>
      </w:r>
    </w:p>
    <w:p>
      <w:pPr>
        <w:pStyle w:val="7"/>
        <w:widowControl/>
        <w:shd w:val="clear" w:color="auto" w:fill="FFFFFF"/>
        <w:wordWrap w:val="0"/>
        <w:spacing w:beforeAutospacing="0" w:afterAutospacing="0" w:line="520" w:lineRule="exact"/>
        <w:ind w:firstLine="640" w:firstLineChars="200"/>
        <w:jc w:val="left"/>
        <w:rPr>
          <w:rFonts w:hint="default" w:ascii="黑体" w:hAnsi="黑体" w:eastAsia="黑体" w:cs="黑体"/>
          <w:color w:val="444444"/>
          <w:sz w:val="32"/>
          <w:szCs w:val="32"/>
          <w:highlight w:val="none"/>
          <w:shd w:val="clear" w:color="auto" w:fill="FFFFFF"/>
          <w:lang w:val="en-US" w:eastAsia="zh-CN"/>
        </w:rPr>
      </w:pPr>
      <w:r>
        <w:rPr>
          <w:rFonts w:hint="eastAsia" w:ascii="仿宋_GB2312" w:hAnsi="仿宋_GB2312" w:eastAsia="仿宋_GB2312" w:cs="仿宋_GB2312"/>
          <w:color w:val="444444"/>
          <w:sz w:val="32"/>
          <w:szCs w:val="32"/>
          <w:highlight w:val="none"/>
          <w:shd w:val="clear" w:color="auto" w:fill="FFFFFF"/>
          <w:lang w:val="en-US" w:eastAsia="zh-CN"/>
        </w:rPr>
        <w:t>（三）在南海区注册。</w:t>
      </w:r>
    </w:p>
    <w:p>
      <w:pPr>
        <w:pStyle w:val="7"/>
        <w:widowControl/>
        <w:shd w:val="clear" w:color="auto" w:fill="FFFFFF"/>
        <w:wordWrap w:val="0"/>
        <w:spacing w:beforeAutospacing="0" w:afterAutospacing="0" w:line="520" w:lineRule="exact"/>
        <w:jc w:val="both"/>
        <w:rPr>
          <w:rFonts w:hint="default" w:ascii="黑体" w:hAnsi="黑体" w:eastAsia="黑体" w:cs="黑体"/>
          <w:color w:val="444444"/>
          <w:sz w:val="32"/>
          <w:szCs w:val="32"/>
          <w:highlight w:val="none"/>
          <w:shd w:val="clear" w:color="auto" w:fill="FFFFFF"/>
          <w:lang w:val="en-US" w:eastAsia="zh-CN"/>
        </w:rPr>
      </w:pPr>
    </w:p>
    <w:p>
      <w:pPr>
        <w:pStyle w:val="7"/>
        <w:widowControl/>
        <w:shd w:val="clear" w:color="auto" w:fill="FFFFFF"/>
        <w:wordWrap w:val="0"/>
        <w:spacing w:beforeAutospacing="0" w:afterAutospacing="0" w:line="520" w:lineRule="exact"/>
        <w:jc w:val="center"/>
        <w:rPr>
          <w:rFonts w:ascii="黑体" w:hAnsi="黑体" w:eastAsia="黑体" w:cs="黑体"/>
          <w:color w:val="444444"/>
          <w:sz w:val="32"/>
          <w:szCs w:val="32"/>
          <w:highlight w:val="none"/>
          <w:shd w:val="clear" w:color="auto" w:fill="FFFFFF"/>
        </w:rPr>
      </w:pPr>
      <w:r>
        <w:rPr>
          <w:rFonts w:hint="eastAsia" w:ascii="黑体" w:hAnsi="黑体" w:eastAsia="黑体" w:cs="黑体"/>
          <w:color w:val="444444"/>
          <w:sz w:val="32"/>
          <w:szCs w:val="32"/>
          <w:highlight w:val="none"/>
          <w:shd w:val="clear" w:color="auto" w:fill="FFFFFF"/>
        </w:rPr>
        <w:t>第五章 附则</w:t>
      </w:r>
    </w:p>
    <w:p>
      <w:pPr>
        <w:pStyle w:val="7"/>
        <w:widowControl/>
        <w:shd w:val="clear" w:color="auto" w:fill="FFFFFF"/>
        <w:wordWrap w:val="0"/>
        <w:spacing w:beforeAutospacing="0" w:afterAutospacing="0" w:line="520" w:lineRule="exact"/>
        <w:ind w:firstLine="640" w:firstLineChars="200"/>
        <w:rPr>
          <w:rFonts w:hint="eastAsia" w:ascii="仿宋_GB2312" w:hAnsi="仿宋_GB2312" w:eastAsia="仿宋_GB2312" w:cs="仿宋_GB2312"/>
          <w:color w:val="444444"/>
          <w:sz w:val="32"/>
          <w:szCs w:val="32"/>
          <w:highlight w:val="none"/>
          <w:shd w:val="clear" w:color="auto" w:fill="FFFFFF"/>
          <w:lang w:eastAsia="zh-CN"/>
        </w:rPr>
      </w:pPr>
      <w:r>
        <w:rPr>
          <w:rFonts w:hint="eastAsia" w:ascii="仿宋_GB2312" w:hAnsi="仿宋_GB2312" w:eastAsia="仿宋_GB2312" w:cs="仿宋_GB2312"/>
          <w:color w:val="444444"/>
          <w:sz w:val="32"/>
          <w:szCs w:val="32"/>
          <w:highlight w:val="none"/>
          <w:shd w:val="clear" w:color="auto" w:fill="FFFFFF"/>
        </w:rPr>
        <w:t>第二十</w:t>
      </w:r>
      <w:r>
        <w:rPr>
          <w:rFonts w:hint="eastAsia" w:ascii="仿宋_GB2312" w:hAnsi="仿宋_GB2312" w:eastAsia="仿宋_GB2312" w:cs="仿宋_GB2312"/>
          <w:color w:val="444444"/>
          <w:sz w:val="32"/>
          <w:szCs w:val="32"/>
          <w:highlight w:val="none"/>
          <w:shd w:val="clear" w:color="auto" w:fill="FFFFFF"/>
          <w:lang w:val="en-US" w:eastAsia="zh-CN"/>
        </w:rPr>
        <w:t>三</w:t>
      </w:r>
      <w:r>
        <w:rPr>
          <w:rFonts w:hint="eastAsia" w:ascii="仿宋_GB2312" w:hAnsi="仿宋_GB2312" w:eastAsia="仿宋_GB2312" w:cs="仿宋_GB2312"/>
          <w:color w:val="444444"/>
          <w:sz w:val="32"/>
          <w:szCs w:val="32"/>
          <w:highlight w:val="none"/>
          <w:shd w:val="clear" w:color="auto" w:fill="FFFFFF"/>
        </w:rPr>
        <w:t>条 南控母基金</w:t>
      </w:r>
      <w:r>
        <w:rPr>
          <w:rFonts w:hint="eastAsia" w:ascii="仿宋_GB2312" w:hAnsi="仿宋_GB2312" w:eastAsia="仿宋_GB2312" w:cs="仿宋_GB2312"/>
          <w:color w:val="444444"/>
          <w:sz w:val="32"/>
          <w:szCs w:val="32"/>
          <w:highlight w:val="none"/>
          <w:shd w:val="clear" w:color="auto" w:fill="FFFFFF"/>
          <w:lang w:val="en-US" w:eastAsia="zh-CN"/>
        </w:rPr>
        <w:t>通过定期申报通道（即公开比选、统一评审）遴选子基金管理机构的，不适用本办法，实施方案</w:t>
      </w:r>
      <w:r>
        <w:rPr>
          <w:rFonts w:hint="eastAsia" w:ascii="仿宋_GB2312" w:hAnsi="仿宋_GB2312" w:eastAsia="仿宋_GB2312" w:cs="仿宋_GB2312"/>
          <w:color w:val="444444"/>
          <w:sz w:val="32"/>
          <w:szCs w:val="32"/>
          <w:highlight w:val="none"/>
          <w:shd w:val="clear" w:color="auto" w:fill="FFFFFF"/>
        </w:rPr>
        <w:t>另行</w:t>
      </w:r>
      <w:r>
        <w:rPr>
          <w:rFonts w:hint="eastAsia" w:ascii="仿宋_GB2312" w:hAnsi="仿宋_GB2312" w:eastAsia="仿宋_GB2312" w:cs="仿宋_GB2312"/>
          <w:color w:val="444444"/>
          <w:sz w:val="32"/>
          <w:szCs w:val="32"/>
          <w:highlight w:val="none"/>
          <w:shd w:val="clear" w:color="auto" w:fill="FFFFFF"/>
          <w:lang w:val="en-US" w:eastAsia="zh-CN"/>
        </w:rPr>
        <w:t>制定</w:t>
      </w:r>
      <w:r>
        <w:rPr>
          <w:rFonts w:hint="eastAsia" w:ascii="仿宋_GB2312" w:hAnsi="仿宋_GB2312" w:eastAsia="仿宋_GB2312" w:cs="仿宋_GB2312"/>
          <w:color w:val="444444"/>
          <w:sz w:val="32"/>
          <w:szCs w:val="32"/>
          <w:highlight w:val="none"/>
          <w:shd w:val="clear" w:color="auto" w:fill="FFFFFF"/>
          <w:lang w:eastAsia="zh-CN"/>
        </w:rPr>
        <w:t>。</w:t>
      </w:r>
    </w:p>
    <w:p>
      <w:pPr>
        <w:pStyle w:val="7"/>
        <w:widowControl/>
        <w:shd w:val="clear" w:color="auto" w:fill="FFFFFF"/>
        <w:wordWrap w:val="0"/>
        <w:spacing w:beforeAutospacing="0" w:afterAutospacing="0" w:line="520" w:lineRule="exact"/>
        <w:ind w:firstLine="640" w:firstLineChars="200"/>
        <w:rPr>
          <w:rFonts w:hint="eastAsia" w:ascii="仿宋_GB2312" w:hAnsi="仿宋_GB2312" w:eastAsia="仿宋_GB2312" w:cs="仿宋_GB2312"/>
          <w:color w:val="444444"/>
          <w:sz w:val="32"/>
          <w:szCs w:val="32"/>
          <w:highlight w:val="none"/>
          <w:shd w:val="clear" w:color="auto" w:fill="FFFFFF"/>
        </w:rPr>
      </w:pPr>
      <w:r>
        <w:rPr>
          <w:rFonts w:hint="eastAsia" w:ascii="仿宋_GB2312" w:hAnsi="仿宋_GB2312" w:eastAsia="仿宋_GB2312" w:cs="仿宋_GB2312"/>
          <w:color w:val="444444"/>
          <w:sz w:val="32"/>
          <w:szCs w:val="32"/>
          <w:highlight w:val="none"/>
          <w:shd w:val="clear" w:color="auto" w:fill="FFFFFF"/>
        </w:rPr>
        <w:t>第二十</w:t>
      </w:r>
      <w:r>
        <w:rPr>
          <w:rFonts w:hint="eastAsia" w:ascii="仿宋_GB2312" w:hAnsi="仿宋_GB2312" w:eastAsia="仿宋_GB2312" w:cs="仿宋_GB2312"/>
          <w:color w:val="444444"/>
          <w:sz w:val="32"/>
          <w:szCs w:val="32"/>
          <w:highlight w:val="none"/>
          <w:shd w:val="clear" w:color="auto" w:fill="FFFFFF"/>
          <w:lang w:val="en-US" w:eastAsia="zh-CN"/>
        </w:rPr>
        <w:t>四</w:t>
      </w:r>
      <w:r>
        <w:rPr>
          <w:rFonts w:hint="eastAsia" w:ascii="仿宋_GB2312" w:hAnsi="仿宋_GB2312" w:eastAsia="仿宋_GB2312" w:cs="仿宋_GB2312"/>
          <w:color w:val="444444"/>
          <w:sz w:val="32"/>
          <w:szCs w:val="32"/>
          <w:highlight w:val="none"/>
          <w:shd w:val="clear" w:color="auto" w:fill="FFFFFF"/>
        </w:rPr>
        <w:t>条 本办法解释权归属于南控基金公司。</w:t>
      </w:r>
    </w:p>
    <w:p>
      <w:pPr>
        <w:pStyle w:val="7"/>
        <w:widowControl/>
        <w:shd w:val="clear" w:color="auto" w:fill="FFFFFF"/>
        <w:wordWrap w:val="0"/>
        <w:spacing w:beforeAutospacing="0" w:afterAutospacing="0" w:line="520" w:lineRule="exact"/>
        <w:ind w:firstLine="640" w:firstLineChars="200"/>
        <w:rPr>
          <w:rFonts w:hint="eastAsia" w:ascii="仿宋_GB2312" w:hAnsi="仿宋_GB2312" w:eastAsia="仿宋_GB2312" w:cs="仿宋_GB2312"/>
          <w:color w:val="444444"/>
          <w:sz w:val="32"/>
          <w:szCs w:val="32"/>
          <w:highlight w:val="none"/>
          <w:shd w:val="clear" w:color="auto" w:fill="FFFFFF"/>
        </w:rPr>
      </w:pPr>
      <w:r>
        <w:rPr>
          <w:rFonts w:hint="eastAsia" w:ascii="仿宋_GB2312" w:hAnsi="仿宋_GB2312" w:eastAsia="仿宋_GB2312" w:cs="仿宋_GB2312"/>
          <w:color w:val="444444"/>
          <w:sz w:val="32"/>
          <w:szCs w:val="32"/>
          <w:highlight w:val="none"/>
          <w:shd w:val="clear" w:color="auto" w:fill="FFFFFF"/>
        </w:rPr>
        <w:t>第二十</w:t>
      </w:r>
      <w:r>
        <w:rPr>
          <w:rFonts w:hint="eastAsia" w:ascii="仿宋_GB2312" w:hAnsi="仿宋_GB2312" w:eastAsia="仿宋_GB2312" w:cs="仿宋_GB2312"/>
          <w:color w:val="444444"/>
          <w:sz w:val="32"/>
          <w:szCs w:val="32"/>
          <w:highlight w:val="none"/>
          <w:shd w:val="clear" w:color="auto" w:fill="FFFFFF"/>
          <w:lang w:val="en-US" w:eastAsia="zh-CN"/>
        </w:rPr>
        <w:t>五</w:t>
      </w:r>
      <w:r>
        <w:rPr>
          <w:rFonts w:hint="eastAsia" w:ascii="仿宋_GB2312" w:hAnsi="仿宋_GB2312" w:eastAsia="仿宋_GB2312" w:cs="仿宋_GB2312"/>
          <w:color w:val="444444"/>
          <w:sz w:val="32"/>
          <w:szCs w:val="32"/>
          <w:highlight w:val="none"/>
          <w:shd w:val="clear" w:color="auto" w:fill="FFFFFF"/>
        </w:rPr>
        <w:t>条 本办法</w:t>
      </w:r>
      <w:r>
        <w:rPr>
          <w:rFonts w:hint="eastAsia" w:ascii="仿宋_GB2312" w:hAnsi="仿宋_GB2312" w:eastAsia="仿宋_GB2312" w:cs="仿宋_GB2312"/>
          <w:color w:val="444444"/>
          <w:sz w:val="32"/>
          <w:szCs w:val="32"/>
          <w:highlight w:val="none"/>
          <w:shd w:val="clear" w:color="auto" w:fill="FFFFFF"/>
          <w:lang w:val="en-US" w:eastAsia="zh-CN"/>
        </w:rPr>
        <w:t>自</w:t>
      </w:r>
      <w:r>
        <w:rPr>
          <w:rFonts w:hint="eastAsia" w:ascii="仿宋_GB2312" w:hAnsi="仿宋_GB2312" w:eastAsia="仿宋_GB2312" w:cs="仿宋_GB2312"/>
          <w:color w:val="444444"/>
          <w:sz w:val="32"/>
          <w:szCs w:val="32"/>
          <w:highlight w:val="none"/>
          <w:shd w:val="clear" w:color="auto" w:fill="FFFFFF"/>
        </w:rPr>
        <w:t>南控母基金投资决策委员会常务委员会审议通过之日起实施，有效期</w:t>
      </w:r>
      <w:r>
        <w:rPr>
          <w:rFonts w:hint="eastAsia" w:ascii="仿宋_GB2312" w:hAnsi="仿宋_GB2312" w:eastAsia="仿宋_GB2312" w:cs="仿宋_GB2312"/>
          <w:color w:val="444444"/>
          <w:sz w:val="32"/>
          <w:szCs w:val="32"/>
          <w:highlight w:val="none"/>
          <w:shd w:val="clear" w:color="auto" w:fill="FFFFFF"/>
          <w:lang w:val="en-US" w:eastAsia="zh-CN"/>
        </w:rPr>
        <w:t>至2024年12月31日</w:t>
      </w:r>
      <w:r>
        <w:rPr>
          <w:rFonts w:hint="eastAsia" w:ascii="仿宋_GB2312" w:hAnsi="仿宋_GB2312" w:eastAsia="仿宋_GB2312" w:cs="仿宋_GB2312"/>
          <w:color w:val="444444"/>
          <w:sz w:val="32"/>
          <w:szCs w:val="32"/>
          <w:highlight w:val="none"/>
          <w:shd w:val="clear" w:color="auto" w:fill="FFFFFF"/>
        </w:rPr>
        <w:t>。</w:t>
      </w:r>
    </w:p>
    <w:p>
      <w:pPr>
        <w:pStyle w:val="7"/>
        <w:widowControl/>
        <w:shd w:val="clear" w:color="auto" w:fill="FFFFFF"/>
        <w:wordWrap w:val="0"/>
        <w:spacing w:beforeAutospacing="0" w:afterAutospacing="0" w:line="520" w:lineRule="exact"/>
        <w:ind w:firstLine="640" w:firstLineChars="200"/>
        <w:rPr>
          <w:rFonts w:hint="eastAsia" w:ascii="仿宋_GB2312" w:hAnsi="仿宋_GB2312" w:eastAsia="仿宋_GB2312" w:cs="仿宋_GB2312"/>
          <w:color w:val="444444"/>
          <w:sz w:val="32"/>
          <w:szCs w:val="32"/>
          <w:highlight w:val="none"/>
          <w:shd w:val="clear" w:color="auto" w:fill="FFFFFF"/>
        </w:rPr>
      </w:pPr>
    </w:p>
    <w:p>
      <w:pPr>
        <w:pStyle w:val="7"/>
        <w:widowControl/>
        <w:shd w:val="clear" w:color="auto" w:fill="FFFFFF"/>
        <w:wordWrap w:val="0"/>
        <w:spacing w:beforeAutospacing="0" w:afterAutospacing="0" w:line="520" w:lineRule="exact"/>
        <w:rPr>
          <w:rFonts w:ascii="Helvetica" w:hAnsi="Helvetica" w:eastAsia="Helvetica" w:cs="Helvetica"/>
          <w:color w:val="444444"/>
          <w:sz w:val="32"/>
          <w:szCs w:val="32"/>
          <w:highlight w:val="none"/>
          <w:shd w:val="clear" w:color="auto" w:fill="FFFFFF"/>
        </w:rPr>
      </w:pPr>
    </w:p>
    <w:p>
      <w:pPr>
        <w:pStyle w:val="7"/>
        <w:widowControl/>
        <w:shd w:val="clear" w:color="auto" w:fill="FFFFFF"/>
        <w:wordWrap w:val="0"/>
        <w:spacing w:beforeAutospacing="0" w:afterAutospacing="0" w:line="520" w:lineRule="exact"/>
        <w:rPr>
          <w:rFonts w:ascii="Helvetica" w:hAnsi="Helvetica" w:eastAsia="Helvetica" w:cs="Helvetica"/>
          <w:color w:val="444444"/>
          <w:sz w:val="32"/>
          <w:szCs w:val="32"/>
          <w:highlight w:val="none"/>
          <w:shd w:val="clear" w:color="auto" w:fill="FFFFFF"/>
        </w:rPr>
      </w:pPr>
    </w:p>
    <w:p>
      <w:pPr>
        <w:pStyle w:val="7"/>
        <w:widowControl/>
        <w:shd w:val="clear" w:color="auto" w:fill="FFFFFF"/>
        <w:wordWrap w:val="0"/>
        <w:spacing w:beforeAutospacing="0" w:afterAutospacing="0" w:line="520" w:lineRule="exact"/>
        <w:ind w:firstLine="420"/>
        <w:rPr>
          <w:rStyle w:val="11"/>
          <w:rFonts w:ascii="Helvetica" w:hAnsi="Helvetica" w:eastAsia="Helvetica" w:cs="Helvetica"/>
          <w:color w:val="444444"/>
          <w:sz w:val="32"/>
          <w:szCs w:val="32"/>
          <w:highlight w:val="none"/>
          <w:shd w:val="clear" w:color="auto" w:fill="FFFFFF"/>
        </w:rPr>
      </w:pPr>
    </w:p>
    <w:p>
      <w:pPr>
        <w:rPr>
          <w:highlight w:val="none"/>
        </w:rPr>
      </w:pPr>
    </w:p>
    <w:sectPr>
      <w:pgSz w:w="11906" w:h="16838"/>
      <w:pgMar w:top="1440" w:right="1474" w:bottom="1440"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隶书">
    <w:altName w:val="微软雅黑"/>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楷体">
    <w:altName w:val="宋体"/>
    <w:panose1 w:val="00000000000000000000"/>
    <w:charset w:val="86"/>
    <w:family w:val="auto"/>
    <w:pitch w:val="default"/>
    <w:sig w:usb0="00000000" w:usb1="00000000" w:usb2="00000000" w:usb3="00000000" w:csb0="0004009F" w:csb1="DFD70000"/>
  </w:font>
  <w:font w:name="方正小标宋简体">
    <w:altName w:val="黑体"/>
    <w:panose1 w:val="02010601030101010101"/>
    <w:charset w:val="86"/>
    <w:family w:val="auto"/>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r>
        <w:separator/>
      </w:r>
    </w:p>
  </w:footnote>
  <w:footnote w:type="continuationSeparator" w:id="11">
    <w:p>
      <w:r>
        <w:continuationSeparator/>
      </w:r>
    </w:p>
  </w:footnote>
  <w:footnote w:id="0">
    <w:p>
      <w:pPr>
        <w:pStyle w:val="6"/>
        <w:snapToGrid w:val="0"/>
      </w:pPr>
      <w:r>
        <w:rPr>
          <w:rStyle w:val="14"/>
        </w:rPr>
        <w:footnoteRef/>
      </w:r>
      <w:r>
        <w:t xml:space="preserve"> </w:t>
      </w:r>
      <w:r>
        <w:rPr>
          <w:rFonts w:hint="eastAsia"/>
        </w:rPr>
        <w:t>定向申请</w:t>
      </w:r>
      <w:r>
        <w:rPr>
          <w:rFonts w:hint="eastAsia"/>
          <w:lang w:val="en-US" w:eastAsia="zh-CN"/>
        </w:rPr>
        <w:t>是指满足条件的申请机构通过常年申报窗口向南控母基金提出申请的行为。</w:t>
      </w:r>
    </w:p>
  </w:footnote>
  <w:footnote w:id="1">
    <w:p>
      <w:pPr>
        <w:pStyle w:val="6"/>
        <w:snapToGrid w:val="0"/>
        <w:rPr>
          <w:rFonts w:hint="default" w:eastAsiaTheme="minorEastAsia"/>
          <w:lang w:val="en-US" w:eastAsia="zh-CN"/>
        </w:rPr>
      </w:pPr>
      <w:r>
        <w:rPr>
          <w:rStyle w:val="14"/>
        </w:rPr>
        <w:footnoteRef/>
      </w:r>
      <w:r>
        <w:t xml:space="preserve"> </w:t>
      </w:r>
      <w:r>
        <w:rPr>
          <w:rFonts w:hint="eastAsia"/>
          <w:lang w:val="en-US" w:eastAsia="zh-CN"/>
        </w:rPr>
        <w:t>累计管理规模是指基金的累计实缴金额。</w:t>
      </w:r>
    </w:p>
  </w:footnote>
  <w:footnote w:id="2">
    <w:p>
      <w:pPr>
        <w:pStyle w:val="6"/>
        <w:snapToGrid w:val="0"/>
        <w:rPr>
          <w:rFonts w:hint="default" w:eastAsiaTheme="minorEastAsia"/>
          <w:lang w:val="en-US" w:eastAsia="zh-CN"/>
        </w:rPr>
      </w:pPr>
      <w:r>
        <w:rPr>
          <w:rStyle w:val="14"/>
        </w:rPr>
        <w:footnoteRef/>
      </w:r>
      <w:r>
        <w:t xml:space="preserve"> </w:t>
      </w:r>
      <w:r>
        <w:rPr>
          <w:rFonts w:hint="eastAsia"/>
          <w:lang w:val="en-US" w:eastAsia="zh-CN"/>
        </w:rPr>
        <w:t>核心管理成员是指管理团队核心人员或管理机构派出到子基金的投委会委员。</w:t>
      </w:r>
    </w:p>
  </w:footnote>
  <w:footnote w:id="3">
    <w:p>
      <w:pPr>
        <w:pStyle w:val="6"/>
        <w:snapToGrid w:val="0"/>
        <w:rPr>
          <w:rFonts w:hint="default" w:eastAsiaTheme="minorEastAsia"/>
          <w:lang w:val="en-US" w:eastAsia="zh-CN"/>
        </w:rPr>
      </w:pPr>
      <w:r>
        <w:rPr>
          <w:rStyle w:val="14"/>
        </w:rPr>
        <w:footnoteRef/>
      </w:r>
      <w:r>
        <w:t xml:space="preserve"> </w:t>
      </w:r>
      <w:r>
        <w:rPr>
          <w:rFonts w:hint="eastAsia"/>
        </w:rPr>
        <w:t>投资回报率</w:t>
      </w:r>
      <w:r>
        <w:rPr>
          <w:rFonts w:hint="eastAsia"/>
          <w:lang w:val="en-US" w:eastAsia="zh-CN"/>
        </w:rPr>
        <w:t>=收回现金/投资本金-1。</w:t>
      </w:r>
    </w:p>
  </w:footnote>
  <w:footnote w:id="4">
    <w:p>
      <w:pPr>
        <w:pStyle w:val="6"/>
        <w:snapToGrid w:val="0"/>
        <w:rPr>
          <w:rFonts w:hint="default" w:eastAsiaTheme="minorEastAsia"/>
          <w:lang w:val="en-US" w:eastAsia="zh-CN"/>
        </w:rPr>
      </w:pPr>
      <w:r>
        <w:rPr>
          <w:rStyle w:val="14"/>
        </w:rPr>
        <w:footnoteRef/>
      </w:r>
      <w:r>
        <w:t xml:space="preserve"> </w:t>
      </w:r>
      <w:r>
        <w:rPr>
          <w:rFonts w:hint="eastAsia"/>
          <w:lang w:val="en-US" w:eastAsia="zh-CN"/>
        </w:rPr>
        <w:t>门槛收益率代表有限合伙人的优先收益，在达到该收益率前，管理机构不提取业绩报酬。</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10"/>
    <w:footnote w:id="11"/>
  </w:foot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hZTY4MDBlMzFjOGMzODlkNTJkZjAxMzVlNTA3ZTYifQ=="/>
  </w:docVars>
  <w:rsids>
    <w:rsidRoot w:val="00E03CF9"/>
    <w:rsid w:val="00054CBF"/>
    <w:rsid w:val="001C0804"/>
    <w:rsid w:val="00293AAE"/>
    <w:rsid w:val="002D70D3"/>
    <w:rsid w:val="00542396"/>
    <w:rsid w:val="005D386A"/>
    <w:rsid w:val="005F5E35"/>
    <w:rsid w:val="006663DE"/>
    <w:rsid w:val="006710D0"/>
    <w:rsid w:val="00717377"/>
    <w:rsid w:val="008F6F6E"/>
    <w:rsid w:val="00900D67"/>
    <w:rsid w:val="009C4605"/>
    <w:rsid w:val="009D052A"/>
    <w:rsid w:val="00A11B49"/>
    <w:rsid w:val="00A90094"/>
    <w:rsid w:val="00C64DEB"/>
    <w:rsid w:val="00C77EAB"/>
    <w:rsid w:val="00C929A2"/>
    <w:rsid w:val="00CC1D62"/>
    <w:rsid w:val="00D0249D"/>
    <w:rsid w:val="00D74573"/>
    <w:rsid w:val="00DC10D3"/>
    <w:rsid w:val="00E03CF9"/>
    <w:rsid w:val="00E06F3D"/>
    <w:rsid w:val="00E50A2D"/>
    <w:rsid w:val="00E548A6"/>
    <w:rsid w:val="00E60F86"/>
    <w:rsid w:val="00EE53E0"/>
    <w:rsid w:val="00F10716"/>
    <w:rsid w:val="00F76413"/>
    <w:rsid w:val="00FE3611"/>
    <w:rsid w:val="011E3A51"/>
    <w:rsid w:val="016A2B9E"/>
    <w:rsid w:val="01700269"/>
    <w:rsid w:val="02BE3A7E"/>
    <w:rsid w:val="0321400D"/>
    <w:rsid w:val="032D3A0D"/>
    <w:rsid w:val="03550708"/>
    <w:rsid w:val="037C11E5"/>
    <w:rsid w:val="043B5049"/>
    <w:rsid w:val="04463D2B"/>
    <w:rsid w:val="05432019"/>
    <w:rsid w:val="05736CB9"/>
    <w:rsid w:val="05801F0A"/>
    <w:rsid w:val="05A16883"/>
    <w:rsid w:val="05AD1B88"/>
    <w:rsid w:val="05C65FBA"/>
    <w:rsid w:val="05F61CD7"/>
    <w:rsid w:val="061867C2"/>
    <w:rsid w:val="06FC4B75"/>
    <w:rsid w:val="07F7429B"/>
    <w:rsid w:val="0A546CFD"/>
    <w:rsid w:val="0B61279E"/>
    <w:rsid w:val="0B74794C"/>
    <w:rsid w:val="0CD21176"/>
    <w:rsid w:val="0D4E6F1C"/>
    <w:rsid w:val="0E937BA3"/>
    <w:rsid w:val="0F97630B"/>
    <w:rsid w:val="10521CAA"/>
    <w:rsid w:val="10953945"/>
    <w:rsid w:val="10B63062"/>
    <w:rsid w:val="10E9131C"/>
    <w:rsid w:val="111E17F9"/>
    <w:rsid w:val="112A6783"/>
    <w:rsid w:val="115D6261"/>
    <w:rsid w:val="12CE1470"/>
    <w:rsid w:val="13541CD9"/>
    <w:rsid w:val="138E4DA7"/>
    <w:rsid w:val="14284ADD"/>
    <w:rsid w:val="145A32F0"/>
    <w:rsid w:val="14A01236"/>
    <w:rsid w:val="14E62A53"/>
    <w:rsid w:val="165C118C"/>
    <w:rsid w:val="16CB1E6E"/>
    <w:rsid w:val="170138CF"/>
    <w:rsid w:val="172E0938"/>
    <w:rsid w:val="17377504"/>
    <w:rsid w:val="175C51BC"/>
    <w:rsid w:val="17927859"/>
    <w:rsid w:val="18FA5478"/>
    <w:rsid w:val="19A42FCB"/>
    <w:rsid w:val="19AC242B"/>
    <w:rsid w:val="19BE5CBA"/>
    <w:rsid w:val="19BF16E6"/>
    <w:rsid w:val="1AEC2118"/>
    <w:rsid w:val="1AFE39C6"/>
    <w:rsid w:val="1BA50C53"/>
    <w:rsid w:val="1BFD4988"/>
    <w:rsid w:val="1CE64BC5"/>
    <w:rsid w:val="1D54573F"/>
    <w:rsid w:val="1ED41ADC"/>
    <w:rsid w:val="1F2F5445"/>
    <w:rsid w:val="1FBB7770"/>
    <w:rsid w:val="1FDB3ED7"/>
    <w:rsid w:val="1FF53224"/>
    <w:rsid w:val="201A7289"/>
    <w:rsid w:val="203211B0"/>
    <w:rsid w:val="209E5928"/>
    <w:rsid w:val="21026122"/>
    <w:rsid w:val="21E424B1"/>
    <w:rsid w:val="22151481"/>
    <w:rsid w:val="22613C9E"/>
    <w:rsid w:val="22A917A5"/>
    <w:rsid w:val="24676B67"/>
    <w:rsid w:val="246A65D9"/>
    <w:rsid w:val="247E2A4A"/>
    <w:rsid w:val="24E011DB"/>
    <w:rsid w:val="251F61A7"/>
    <w:rsid w:val="26146B11"/>
    <w:rsid w:val="265A5BD7"/>
    <w:rsid w:val="26A36511"/>
    <w:rsid w:val="27020428"/>
    <w:rsid w:val="27284698"/>
    <w:rsid w:val="27BE3FA7"/>
    <w:rsid w:val="28722A91"/>
    <w:rsid w:val="28D53904"/>
    <w:rsid w:val="28E479EF"/>
    <w:rsid w:val="28F3072E"/>
    <w:rsid w:val="2920429C"/>
    <w:rsid w:val="299B7DC6"/>
    <w:rsid w:val="29D944B7"/>
    <w:rsid w:val="2A3F69A3"/>
    <w:rsid w:val="2AB21F59"/>
    <w:rsid w:val="2AE16F1C"/>
    <w:rsid w:val="2AE412F9"/>
    <w:rsid w:val="2B2106C7"/>
    <w:rsid w:val="2B446D06"/>
    <w:rsid w:val="2C5277D4"/>
    <w:rsid w:val="2C733AD6"/>
    <w:rsid w:val="2CD136E6"/>
    <w:rsid w:val="2D1B7805"/>
    <w:rsid w:val="2D92328E"/>
    <w:rsid w:val="2E1F4D5C"/>
    <w:rsid w:val="2E47051C"/>
    <w:rsid w:val="2ECE1240"/>
    <w:rsid w:val="2F1B0D1E"/>
    <w:rsid w:val="2F5E096F"/>
    <w:rsid w:val="2F9432ED"/>
    <w:rsid w:val="2FD73F10"/>
    <w:rsid w:val="309B36C1"/>
    <w:rsid w:val="30C96206"/>
    <w:rsid w:val="31307046"/>
    <w:rsid w:val="317A3D89"/>
    <w:rsid w:val="318A157D"/>
    <w:rsid w:val="31E14105"/>
    <w:rsid w:val="329648E8"/>
    <w:rsid w:val="32E8346A"/>
    <w:rsid w:val="339C2976"/>
    <w:rsid w:val="34337579"/>
    <w:rsid w:val="3464305B"/>
    <w:rsid w:val="3464423E"/>
    <w:rsid w:val="348558FB"/>
    <w:rsid w:val="34D40DB9"/>
    <w:rsid w:val="352C7C76"/>
    <w:rsid w:val="35AE0E97"/>
    <w:rsid w:val="36175ECB"/>
    <w:rsid w:val="367B6FB5"/>
    <w:rsid w:val="36826596"/>
    <w:rsid w:val="375A306E"/>
    <w:rsid w:val="3835324F"/>
    <w:rsid w:val="38486BFC"/>
    <w:rsid w:val="3AAF4A54"/>
    <w:rsid w:val="3B163BB0"/>
    <w:rsid w:val="3B1F2605"/>
    <w:rsid w:val="3B547DD5"/>
    <w:rsid w:val="3B952C18"/>
    <w:rsid w:val="3C5B0B23"/>
    <w:rsid w:val="3CB72D11"/>
    <w:rsid w:val="3CEB03DE"/>
    <w:rsid w:val="3D65170A"/>
    <w:rsid w:val="3D8F7C8C"/>
    <w:rsid w:val="3E082447"/>
    <w:rsid w:val="3E0E5FDB"/>
    <w:rsid w:val="3E386BB2"/>
    <w:rsid w:val="3E7B1872"/>
    <w:rsid w:val="3EEA0902"/>
    <w:rsid w:val="3F426DA7"/>
    <w:rsid w:val="3F4343E8"/>
    <w:rsid w:val="3F553490"/>
    <w:rsid w:val="3FE32DBF"/>
    <w:rsid w:val="40BF075F"/>
    <w:rsid w:val="40E41D7C"/>
    <w:rsid w:val="41531C8B"/>
    <w:rsid w:val="41EC6700"/>
    <w:rsid w:val="42897915"/>
    <w:rsid w:val="42CB1347"/>
    <w:rsid w:val="43476B9D"/>
    <w:rsid w:val="43A510E9"/>
    <w:rsid w:val="43AD32A3"/>
    <w:rsid w:val="44125F9D"/>
    <w:rsid w:val="44202DBE"/>
    <w:rsid w:val="44275987"/>
    <w:rsid w:val="4440539A"/>
    <w:rsid w:val="44590C0A"/>
    <w:rsid w:val="460971AB"/>
    <w:rsid w:val="47370CD6"/>
    <w:rsid w:val="47630217"/>
    <w:rsid w:val="47834051"/>
    <w:rsid w:val="47865950"/>
    <w:rsid w:val="48126A4D"/>
    <w:rsid w:val="483E6094"/>
    <w:rsid w:val="48816294"/>
    <w:rsid w:val="48BF71D5"/>
    <w:rsid w:val="49437D1F"/>
    <w:rsid w:val="49C64E72"/>
    <w:rsid w:val="49FB4A4D"/>
    <w:rsid w:val="4A1A684D"/>
    <w:rsid w:val="4A207973"/>
    <w:rsid w:val="4AA04835"/>
    <w:rsid w:val="4AB42918"/>
    <w:rsid w:val="4AFB0D07"/>
    <w:rsid w:val="4B475260"/>
    <w:rsid w:val="4B667DDC"/>
    <w:rsid w:val="4CC43E58"/>
    <w:rsid w:val="4CD62E66"/>
    <w:rsid w:val="4D094DA2"/>
    <w:rsid w:val="4D21358B"/>
    <w:rsid w:val="4D3F35A8"/>
    <w:rsid w:val="4D722A68"/>
    <w:rsid w:val="4D902EEE"/>
    <w:rsid w:val="4E273766"/>
    <w:rsid w:val="4EE9271D"/>
    <w:rsid w:val="4FC43323"/>
    <w:rsid w:val="4FD95690"/>
    <w:rsid w:val="4FF46DCD"/>
    <w:rsid w:val="503E4E84"/>
    <w:rsid w:val="516B6209"/>
    <w:rsid w:val="51726E3B"/>
    <w:rsid w:val="51E06F6D"/>
    <w:rsid w:val="52CE1556"/>
    <w:rsid w:val="5345387F"/>
    <w:rsid w:val="537F18D6"/>
    <w:rsid w:val="542B1BC3"/>
    <w:rsid w:val="542C4452"/>
    <w:rsid w:val="547277F2"/>
    <w:rsid w:val="54D45DB6"/>
    <w:rsid w:val="55480552"/>
    <w:rsid w:val="55AE4859"/>
    <w:rsid w:val="55B856D8"/>
    <w:rsid w:val="55D10548"/>
    <w:rsid w:val="564C56FD"/>
    <w:rsid w:val="56DA167E"/>
    <w:rsid w:val="575925A3"/>
    <w:rsid w:val="57DD5399"/>
    <w:rsid w:val="58361F13"/>
    <w:rsid w:val="5838323D"/>
    <w:rsid w:val="58B32187"/>
    <w:rsid w:val="58D37E8A"/>
    <w:rsid w:val="594363E9"/>
    <w:rsid w:val="59702099"/>
    <w:rsid w:val="598D29D8"/>
    <w:rsid w:val="59A3020E"/>
    <w:rsid w:val="59FE53B0"/>
    <w:rsid w:val="5A332E58"/>
    <w:rsid w:val="5A3F517B"/>
    <w:rsid w:val="5AFC3B3E"/>
    <w:rsid w:val="5B4377F2"/>
    <w:rsid w:val="5C14118E"/>
    <w:rsid w:val="5CA00C74"/>
    <w:rsid w:val="5D133DB6"/>
    <w:rsid w:val="5D5C4B9B"/>
    <w:rsid w:val="5D6B3AFB"/>
    <w:rsid w:val="5D9E3405"/>
    <w:rsid w:val="5DE7164B"/>
    <w:rsid w:val="5DE76FE9"/>
    <w:rsid w:val="5E2F641B"/>
    <w:rsid w:val="5F2A6742"/>
    <w:rsid w:val="5F6B7317"/>
    <w:rsid w:val="5F6E1130"/>
    <w:rsid w:val="608368E3"/>
    <w:rsid w:val="60CD7D01"/>
    <w:rsid w:val="619C7C5C"/>
    <w:rsid w:val="61F45CEA"/>
    <w:rsid w:val="628A3F58"/>
    <w:rsid w:val="62D84CC4"/>
    <w:rsid w:val="638C129E"/>
    <w:rsid w:val="63946A01"/>
    <w:rsid w:val="63DB4215"/>
    <w:rsid w:val="65AB66C0"/>
    <w:rsid w:val="65BD2897"/>
    <w:rsid w:val="66631A1B"/>
    <w:rsid w:val="669752A9"/>
    <w:rsid w:val="673C42AA"/>
    <w:rsid w:val="67486190"/>
    <w:rsid w:val="676F7FDF"/>
    <w:rsid w:val="67946EBD"/>
    <w:rsid w:val="67DA328C"/>
    <w:rsid w:val="685F19E3"/>
    <w:rsid w:val="68AF22D5"/>
    <w:rsid w:val="68C97E1D"/>
    <w:rsid w:val="68EC4AF7"/>
    <w:rsid w:val="69164F01"/>
    <w:rsid w:val="691C1682"/>
    <w:rsid w:val="692452E8"/>
    <w:rsid w:val="692D3B31"/>
    <w:rsid w:val="69771C71"/>
    <w:rsid w:val="69F25A1F"/>
    <w:rsid w:val="6A0F174C"/>
    <w:rsid w:val="6A650B85"/>
    <w:rsid w:val="6A820D36"/>
    <w:rsid w:val="6A8B2F63"/>
    <w:rsid w:val="6AAE5078"/>
    <w:rsid w:val="6B6537B4"/>
    <w:rsid w:val="6C012BAE"/>
    <w:rsid w:val="6C573BB8"/>
    <w:rsid w:val="6D485512"/>
    <w:rsid w:val="6DAD26DF"/>
    <w:rsid w:val="6DF16DBB"/>
    <w:rsid w:val="6E7B21D2"/>
    <w:rsid w:val="6F1850A4"/>
    <w:rsid w:val="6F543924"/>
    <w:rsid w:val="6FFB46E7"/>
    <w:rsid w:val="70666265"/>
    <w:rsid w:val="70836B77"/>
    <w:rsid w:val="70D158B5"/>
    <w:rsid w:val="71367494"/>
    <w:rsid w:val="715C7D6A"/>
    <w:rsid w:val="71AE0E72"/>
    <w:rsid w:val="72AD6860"/>
    <w:rsid w:val="72D57472"/>
    <w:rsid w:val="72F206DA"/>
    <w:rsid w:val="731F6F7A"/>
    <w:rsid w:val="735F3F5F"/>
    <w:rsid w:val="739C2937"/>
    <w:rsid w:val="73C61A4F"/>
    <w:rsid w:val="74513284"/>
    <w:rsid w:val="75361346"/>
    <w:rsid w:val="75393B33"/>
    <w:rsid w:val="75571220"/>
    <w:rsid w:val="7571513D"/>
    <w:rsid w:val="75894543"/>
    <w:rsid w:val="75F776FF"/>
    <w:rsid w:val="762B636B"/>
    <w:rsid w:val="76340CF6"/>
    <w:rsid w:val="76F31AA4"/>
    <w:rsid w:val="76FC65B8"/>
    <w:rsid w:val="770D3148"/>
    <w:rsid w:val="772C22EB"/>
    <w:rsid w:val="77BD4C91"/>
    <w:rsid w:val="788334CC"/>
    <w:rsid w:val="78D07B83"/>
    <w:rsid w:val="79667075"/>
    <w:rsid w:val="79986942"/>
    <w:rsid w:val="79C30024"/>
    <w:rsid w:val="7A593649"/>
    <w:rsid w:val="7A714879"/>
    <w:rsid w:val="7BFA5853"/>
    <w:rsid w:val="7C684EB3"/>
    <w:rsid w:val="7C9D6193"/>
    <w:rsid w:val="7CCC7C8A"/>
    <w:rsid w:val="7D9D0F36"/>
    <w:rsid w:val="7DAC5107"/>
    <w:rsid w:val="7DDF384A"/>
    <w:rsid w:val="7DFF1F11"/>
    <w:rsid w:val="7F121106"/>
    <w:rsid w:val="7F6B469C"/>
    <w:rsid w:val="7F7B3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spacing w:before="120" w:after="120"/>
      <w:outlineLvl w:val="1"/>
    </w:pPr>
    <w:rPr>
      <w:b/>
      <w:bCs/>
      <w:sz w:val="24"/>
      <w:szCs w:val="26"/>
      <w:lang w:eastAsia="ja-JP"/>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tabs>
        <w:tab w:val="right" w:leader="dot" w:pos="8778"/>
      </w:tabs>
      <w:ind w:left="210"/>
      <w:jc w:val="left"/>
    </w:pPr>
    <w:rPr>
      <w:rFonts w:ascii="隶书" w:hAnsi="华文楷体" w:eastAsia="隶书" w:cs="Calibri"/>
      <w:b/>
      <w:smallCaps/>
      <w:sz w:val="28"/>
      <w:szCs w:val="28"/>
    </w:rPr>
  </w:style>
  <w:style w:type="paragraph" w:styleId="4">
    <w:name w:val="annotation text"/>
    <w:basedOn w:val="1"/>
    <w:link w:val="17"/>
    <w:qFormat/>
    <w:uiPriority w:val="0"/>
    <w:pPr>
      <w:jc w:val="left"/>
    </w:pPr>
  </w:style>
  <w:style w:type="paragraph" w:styleId="5">
    <w:name w:val="endnote text"/>
    <w:basedOn w:val="1"/>
    <w:qFormat/>
    <w:uiPriority w:val="0"/>
    <w:pPr>
      <w:snapToGrid w:val="0"/>
      <w:jc w:val="left"/>
    </w:pPr>
  </w:style>
  <w:style w:type="paragraph" w:styleId="6">
    <w:name w:val="footnote text"/>
    <w:basedOn w:val="1"/>
    <w:qFormat/>
    <w:uiPriority w:val="0"/>
    <w:pPr>
      <w:snapToGrid w:val="0"/>
      <w:jc w:val="left"/>
    </w:pPr>
    <w:rPr>
      <w:sz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annotation subject"/>
    <w:basedOn w:val="4"/>
    <w:next w:val="4"/>
    <w:link w:val="18"/>
    <w:qFormat/>
    <w:uiPriority w:val="0"/>
    <w:rPr>
      <w:b/>
      <w:bCs/>
    </w:rPr>
  </w:style>
  <w:style w:type="character" w:styleId="11">
    <w:name w:val="Strong"/>
    <w:basedOn w:val="10"/>
    <w:qFormat/>
    <w:uiPriority w:val="0"/>
    <w:rPr>
      <w:b/>
    </w:rPr>
  </w:style>
  <w:style w:type="character" w:styleId="12">
    <w:name w:val="endnote reference"/>
    <w:basedOn w:val="10"/>
    <w:qFormat/>
    <w:uiPriority w:val="0"/>
    <w:rPr>
      <w:vertAlign w:val="superscript"/>
    </w:rPr>
  </w:style>
  <w:style w:type="character" w:styleId="13">
    <w:name w:val="annotation reference"/>
    <w:basedOn w:val="10"/>
    <w:qFormat/>
    <w:uiPriority w:val="0"/>
    <w:rPr>
      <w:sz w:val="21"/>
      <w:szCs w:val="21"/>
    </w:rPr>
  </w:style>
  <w:style w:type="character" w:styleId="14">
    <w:name w:val="footnote reference"/>
    <w:basedOn w:val="10"/>
    <w:qFormat/>
    <w:uiPriority w:val="0"/>
    <w:rPr>
      <w:vertAlign w:val="superscript"/>
    </w:rPr>
  </w:style>
  <w:style w:type="paragraph" w:customStyle="1" w:styleId="15">
    <w:name w:val="修订1"/>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16">
    <w:name w:val="Revision"/>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17">
    <w:name w:val="批注文字 字符"/>
    <w:basedOn w:val="10"/>
    <w:link w:val="4"/>
    <w:qFormat/>
    <w:uiPriority w:val="0"/>
    <w:rPr>
      <w:rFonts w:asciiTheme="minorHAnsi" w:hAnsiTheme="minorHAnsi" w:eastAsiaTheme="minorEastAsia" w:cstheme="minorBidi"/>
      <w:kern w:val="2"/>
      <w:sz w:val="21"/>
      <w:szCs w:val="24"/>
    </w:rPr>
  </w:style>
  <w:style w:type="character" w:customStyle="1" w:styleId="18">
    <w:name w:val="批注主题 字符"/>
    <w:basedOn w:val="17"/>
    <w:link w:val="8"/>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4155</Words>
  <Characters>390</Characters>
  <Lines>3</Lines>
  <Paragraphs>9</Paragraphs>
  <TotalTime>1</TotalTime>
  <ScaleCrop>false</ScaleCrop>
  <LinksUpToDate>false</LinksUpToDate>
  <CharactersWithSpaces>4536</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2023-11-01T09:14:00Z</dcterms:created>
  <dc:creator>admin</dc:creator>
  <cp:lastModifiedBy>admin</cp:lastModifiedBy>
  <cp:lastPrinted>2023-11-10T07:27:00Z</cp:lastPrinted>
  <dcterms:modified xsi:type="dcterms:W3CDTF">2023-11-15T08:56:08Z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B4D465894908422DABA9DDDCDB316386</vt:lpwstr>
  </property>
</Properties>
</file>