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方正小标宋简体" w:hAnsi="方正小标宋简体" w:eastAsia="方正小标宋简体" w:cs="方正小标宋简体"/>
          <w:sz w:val="44"/>
          <w:szCs w:val="44"/>
        </w:rPr>
      </w:pPr>
      <w:r>
        <w:rPr>
          <w:rFonts w:hint="eastAsia" w:ascii="黑体" w:hAnsi="黑体" w:eastAsia="黑体" w:cs="黑体"/>
          <w:i w:val="0"/>
          <w:iCs w:val="0"/>
          <w:caps w:val="0"/>
          <w:color w:val="auto"/>
          <w:spacing w:val="0"/>
          <w:sz w:val="32"/>
          <w:szCs w:val="32"/>
          <w:lang w:val="en-US" w:eastAsia="zh-CN"/>
        </w:rPr>
        <w:t>附件9：</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湖南湘江新区上市企业投资并购基金</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申请材料清单</w:t>
      </w: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numPr>
          <w:ilvl w:val="255"/>
          <w:numId w:val="0"/>
        </w:numPr>
        <w:shd w:val="clear" w:color="auto" w:fill="FFFFFF"/>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rPr>
        <w:t>1.湖南湘江新区</w:t>
      </w:r>
      <w:bookmarkStart w:id="0" w:name="_Hlk134712919"/>
      <w:r>
        <w:rPr>
          <w:rFonts w:hint="eastAsia" w:ascii="仿宋_GB2312" w:hAnsi="仿宋_GB2312" w:eastAsia="仿宋_GB2312" w:cs="仿宋_GB2312"/>
          <w:bCs/>
          <w:sz w:val="31"/>
          <w:szCs w:val="31"/>
        </w:rPr>
        <w:t>上市企业投资并购</w:t>
      </w:r>
      <w:bookmarkEnd w:id="0"/>
      <w:r>
        <w:rPr>
          <w:rFonts w:hint="eastAsia" w:ascii="仿宋_GB2312" w:hAnsi="仿宋_GB2312" w:eastAsia="仿宋_GB2312" w:cs="仿宋_GB2312"/>
          <w:bCs/>
          <w:sz w:val="31"/>
          <w:szCs w:val="31"/>
        </w:rPr>
        <w:t>子基金设立申请表（模板见附件</w:t>
      </w:r>
      <w:r>
        <w:rPr>
          <w:rFonts w:hint="eastAsia" w:ascii="仿宋_GB2312" w:hAnsi="仿宋_GB2312" w:eastAsia="仿宋_GB2312" w:cs="仿宋_GB2312"/>
          <w:bCs/>
          <w:sz w:val="31"/>
          <w:szCs w:val="31"/>
          <w:lang w:val="en-US" w:eastAsia="zh-CN"/>
        </w:rPr>
        <w:t>9.</w:t>
      </w:r>
      <w:r>
        <w:rPr>
          <w:rFonts w:hint="eastAsia" w:ascii="仿宋_GB2312" w:hAnsi="仿宋_GB2312" w:eastAsia="仿宋_GB2312" w:cs="仿宋_GB2312"/>
          <w:bCs/>
          <w:sz w:val="31"/>
          <w:szCs w:val="31"/>
        </w:rPr>
        <w:t>1）；</w:t>
      </w:r>
    </w:p>
    <w:p>
      <w:pPr>
        <w:spacing w:line="579" w:lineRule="exact"/>
        <w:jc w:val="left"/>
        <w:outlineLvl w:val="0"/>
        <w:rPr>
          <w:rFonts w:ascii="仿宋_GB2312" w:hAnsi="仿宋_GB2312" w:eastAsia="仿宋_GB2312" w:cs="仿宋_GB2312"/>
          <w:bCs/>
          <w:color w:val="FF0000"/>
          <w:sz w:val="31"/>
          <w:szCs w:val="31"/>
          <w:highlight w:val="yellow"/>
        </w:rPr>
      </w:pPr>
      <w:r>
        <w:rPr>
          <w:rFonts w:hint="eastAsia" w:ascii="仿宋_GB2312" w:hAnsi="仿宋_GB2312" w:eastAsia="仿宋_GB2312" w:cs="仿宋_GB2312"/>
          <w:bCs/>
          <w:sz w:val="31"/>
          <w:szCs w:val="31"/>
          <w:lang w:val="en-US" w:eastAsia="zh-CN"/>
        </w:rPr>
        <w:t>2</w:t>
      </w:r>
      <w:r>
        <w:rPr>
          <w:rFonts w:hint="eastAsia" w:ascii="仿宋_GB2312" w:hAnsi="仿宋_GB2312" w:eastAsia="仿宋_GB2312" w:cs="仿宋_GB2312"/>
          <w:bCs/>
          <w:sz w:val="31"/>
          <w:szCs w:val="31"/>
        </w:rPr>
        <w:t>.子基金管理机构营业执照、公司章程或合伙协议、中基协登记备案证明，法定代表人或执行事务合伙人（或其委派代表）身份证明，子基金管理团队核心人员身份证明，子基金管理机构及在管基金最近三个会计年度经审计的财务报告</w:t>
      </w:r>
      <w:r>
        <w:rPr>
          <w:rFonts w:hint="eastAsia" w:ascii="仿宋_GB2312" w:hAnsi="仿宋_GB2312" w:eastAsia="仿宋_GB2312" w:cs="仿宋_GB2312"/>
          <w:bCs/>
          <w:sz w:val="31"/>
          <w:szCs w:val="31"/>
          <w:lang w:eastAsia="zh-CN"/>
        </w:rPr>
        <w:t>（</w:t>
      </w:r>
      <w:r>
        <w:rPr>
          <w:rFonts w:hint="eastAsia" w:ascii="仿宋_GB2312" w:hAnsi="仿宋_GB2312" w:eastAsia="仿宋_GB2312" w:cs="仿宋_GB2312"/>
          <w:bCs/>
          <w:sz w:val="31"/>
          <w:szCs w:val="31"/>
          <w:lang w:val="en-US" w:eastAsia="zh-CN"/>
        </w:rPr>
        <w:t>如有</w:t>
      </w:r>
      <w:r>
        <w:rPr>
          <w:rFonts w:hint="eastAsia" w:ascii="仿宋_GB2312" w:hAnsi="仿宋_GB2312" w:eastAsia="仿宋_GB2312" w:cs="仿宋_GB2312"/>
          <w:bCs/>
          <w:sz w:val="31"/>
          <w:szCs w:val="31"/>
          <w:lang w:eastAsia="zh-CN"/>
        </w:rPr>
        <w:t>）</w:t>
      </w:r>
      <w:r>
        <w:rPr>
          <w:rFonts w:hint="eastAsia" w:ascii="仿宋_GB2312" w:hAnsi="仿宋_GB2312" w:eastAsia="仿宋_GB2312" w:cs="仿宋_GB2312"/>
          <w:bCs/>
          <w:sz w:val="31"/>
          <w:szCs w:val="31"/>
        </w:rPr>
        <w:t>；</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lang w:val="en-US" w:eastAsia="zh-CN"/>
        </w:rPr>
        <w:t>3</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val="en-US" w:eastAsia="zh-CN"/>
        </w:rPr>
        <w:t>上市公司</w:t>
      </w:r>
      <w:r>
        <w:rPr>
          <w:rFonts w:hint="eastAsia" w:ascii="仿宋_GB2312" w:hAnsi="仿宋_GB2312" w:eastAsia="仿宋_GB2312" w:cs="仿宋_GB2312"/>
          <w:bCs/>
          <w:sz w:val="31"/>
          <w:szCs w:val="31"/>
          <w:lang w:eastAsia="zh-CN"/>
        </w:rPr>
        <w:t>（含其控股股东或实控人）</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val="en-US" w:eastAsia="zh-CN"/>
        </w:rPr>
        <w:t>其他社会资本</w:t>
      </w:r>
      <w:r>
        <w:rPr>
          <w:rFonts w:hint="eastAsia" w:ascii="仿宋_GB2312" w:hAnsi="仿宋_GB2312" w:eastAsia="仿宋_GB2312" w:cs="仿宋_GB2312"/>
          <w:bCs/>
          <w:sz w:val="31"/>
          <w:szCs w:val="31"/>
        </w:rPr>
        <w:t>出资承诺函</w:t>
      </w:r>
      <w:r>
        <w:rPr>
          <w:rFonts w:hint="eastAsia" w:ascii="仿宋_GB2312" w:hAnsi="仿宋_GB2312" w:eastAsia="仿宋_GB2312" w:cs="仿宋_GB2312"/>
          <w:bCs/>
          <w:sz w:val="31"/>
          <w:szCs w:val="31"/>
          <w:lang w:eastAsia="zh-CN"/>
        </w:rPr>
        <w:t>、</w:t>
      </w:r>
      <w:r>
        <w:rPr>
          <w:rFonts w:hint="eastAsia" w:ascii="仿宋_GB2312" w:hAnsi="仿宋_GB2312" w:eastAsia="仿宋_GB2312" w:cs="仿宋_GB2312"/>
          <w:bCs/>
          <w:sz w:val="31"/>
          <w:szCs w:val="31"/>
        </w:rPr>
        <w:t>出资能力证明材料；</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lang w:val="en-US" w:eastAsia="zh-CN"/>
        </w:rPr>
        <w:t>4</w:t>
      </w:r>
      <w:r>
        <w:rPr>
          <w:rFonts w:hint="eastAsia" w:ascii="仿宋_GB2312" w:hAnsi="仿宋_GB2312" w:eastAsia="仿宋_GB2312" w:cs="仿宋_GB2312"/>
          <w:bCs/>
          <w:sz w:val="31"/>
          <w:szCs w:val="31"/>
        </w:rPr>
        <w:t>.子基金管理机构的管理团队主要成员未有受过行政主管机关或司法机关处罚的不良记录证明；</w:t>
      </w:r>
    </w:p>
    <w:p>
      <w:pPr>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lang w:val="en-US" w:eastAsia="zh-CN"/>
        </w:rPr>
        <w:t>5</w:t>
      </w:r>
      <w:r>
        <w:rPr>
          <w:rFonts w:hint="eastAsia" w:ascii="仿宋_GB2312" w:hAnsi="仿宋_GB2312" w:eastAsia="仿宋_GB2312" w:cs="仿宋_GB2312"/>
          <w:bCs/>
          <w:sz w:val="31"/>
          <w:szCs w:val="31"/>
        </w:rPr>
        <w:t>.上市企业投资并购子基金申报条件自查表（模板见附件</w:t>
      </w:r>
      <w:r>
        <w:rPr>
          <w:rFonts w:hint="eastAsia" w:ascii="仿宋_GB2312" w:hAnsi="仿宋_GB2312" w:eastAsia="仿宋_GB2312" w:cs="仿宋_GB2312"/>
          <w:bCs/>
          <w:sz w:val="31"/>
          <w:szCs w:val="31"/>
          <w:lang w:val="en-US" w:eastAsia="zh-CN"/>
        </w:rPr>
        <w:t>9.2</w:t>
      </w:r>
      <w:r>
        <w:rPr>
          <w:rFonts w:hint="eastAsia" w:ascii="仿宋_GB2312" w:hAnsi="仿宋_GB2312" w:eastAsia="仿宋_GB2312" w:cs="仿宋_GB2312"/>
          <w:bCs/>
          <w:sz w:val="31"/>
          <w:szCs w:val="31"/>
        </w:rPr>
        <w:t>）。</w:t>
      </w: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sectPr>
          <w:footerReference r:id="rId3" w:type="default"/>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附件9.1</w:t>
      </w: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湖南湘江新区上市企业投资并购子基金</w:t>
      </w: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设立申请表</w:t>
      </w:r>
    </w:p>
    <w:p>
      <w:pPr>
        <w:spacing w:line="560" w:lineRule="exact"/>
        <w:jc w:val="center"/>
        <w:rPr>
          <w:rFonts w:ascii="仿宋_GB2312" w:hAnsi="黑体" w:eastAsia="仿宋_GB2312" w:cs="黑体"/>
          <w:bCs/>
          <w:sz w:val="32"/>
          <w:szCs w:val="28"/>
        </w:rPr>
      </w:pPr>
      <w:r>
        <w:rPr>
          <w:rFonts w:hint="eastAsia" w:ascii="黑体" w:hAnsi="黑体" w:eastAsia="黑体" w:cs="黑体"/>
          <w:bCs/>
          <w:sz w:val="24"/>
        </w:rPr>
        <w:t>（</w:t>
      </w:r>
      <w:r>
        <w:rPr>
          <w:rFonts w:hint="eastAsia" w:ascii="宋体" w:hAnsi="宋体" w:cs="黑体"/>
          <w:bCs/>
          <w:sz w:val="24"/>
        </w:rPr>
        <w:t>公章</w:t>
      </w:r>
      <w:r>
        <w:rPr>
          <w:rFonts w:hint="eastAsia" w:ascii="黑体" w:hAnsi="黑体" w:eastAsia="黑体" w:cs="黑体"/>
          <w:bCs/>
          <w:sz w:val="24"/>
        </w:rPr>
        <w:t>）</w:t>
      </w:r>
    </w:p>
    <w:tbl>
      <w:tblPr>
        <w:tblStyle w:val="5"/>
        <w:tblW w:w="9436" w:type="dxa"/>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1273"/>
        <w:gridCol w:w="1705"/>
        <w:gridCol w:w="2115"/>
        <w:gridCol w:w="2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9436" w:type="dxa"/>
            <w:gridSpan w:val="5"/>
            <w:shd w:val="clear" w:color="000000" w:fill="FFFFFF"/>
            <w:vAlign w:val="center"/>
          </w:tcPr>
          <w:p>
            <w:pPr>
              <w:autoSpaceDE w:val="0"/>
              <w:autoSpaceDN w:val="0"/>
              <w:adjustRightInd w:val="0"/>
              <w:rPr>
                <w:rFonts w:ascii="宋体" w:hAnsi="?????" w:cs="宋体"/>
                <w:kern w:val="0"/>
                <w:sz w:val="22"/>
                <w:lang w:val="zh-CN"/>
              </w:rPr>
            </w:pPr>
            <w:r>
              <w:rPr>
                <w:rFonts w:hint="eastAsia" w:ascii="黑体" w:hAnsi="?????" w:eastAsia="黑体" w:cs="黑体"/>
                <w:kern w:val="0"/>
                <w:sz w:val="24"/>
                <w:lang w:val="zh-CN"/>
              </w:rPr>
              <w:t>一、</w:t>
            </w:r>
            <w:r>
              <w:rPr>
                <w:rFonts w:hint="eastAsia" w:ascii="黑体" w:hAnsi="?????" w:eastAsia="黑体" w:cs="黑体"/>
                <w:kern w:val="0"/>
                <w:sz w:val="24"/>
              </w:rPr>
              <w:t>子基金管理</w:t>
            </w:r>
            <w:r>
              <w:rPr>
                <w:rFonts w:hint="eastAsia" w:ascii="黑体" w:hAnsi="?????" w:eastAsia="黑体" w:cs="黑体"/>
                <w:kern w:val="0"/>
                <w:sz w:val="24"/>
                <w:lang w:val="zh-CN"/>
              </w:rPr>
              <w:t>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机构名称</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法定代表人</w:t>
            </w:r>
            <w:r>
              <w:rPr>
                <w:rFonts w:ascii="宋体" w:hAnsi="宋体" w:cs="??_GB2312"/>
                <w:color w:val="000000"/>
                <w:kern w:val="0"/>
                <w:sz w:val="24"/>
              </w:rPr>
              <w:t>/</w:t>
            </w:r>
            <w:r>
              <w:rPr>
                <w:rFonts w:hint="eastAsia" w:ascii="宋体" w:hAnsi="宋体" w:cs="宋体"/>
                <w:color w:val="000000"/>
                <w:kern w:val="0"/>
                <w:sz w:val="24"/>
                <w:lang w:val="zh-CN"/>
              </w:rPr>
              <w:t>执行事务合伙人</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注册地址</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rPr>
              <w:t>注册时间</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675"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办公地址</w:t>
            </w:r>
          </w:p>
        </w:tc>
        <w:tc>
          <w:tcPr>
            <w:tcW w:w="2978" w:type="dxa"/>
            <w:gridSpan w:val="2"/>
            <w:shd w:val="clear" w:color="000000" w:fill="FFFFFF"/>
            <w:vAlign w:val="center"/>
          </w:tcPr>
          <w:p>
            <w:pPr>
              <w:autoSpaceDE w:val="0"/>
              <w:autoSpaceDN w:val="0"/>
              <w:adjustRightInd w:val="0"/>
              <w:rPr>
                <w:rFonts w:ascii="宋体" w:hAnsi="宋体" w:cs="??_GB2312"/>
                <w:color w:val="000000"/>
                <w:kern w:val="0"/>
                <w:sz w:val="24"/>
              </w:rPr>
            </w:pPr>
          </w:p>
        </w:tc>
        <w:tc>
          <w:tcPr>
            <w:tcW w:w="2115"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中基协登记编号</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注册资本</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hint="eastAsia" w:ascii="宋体" w:hAnsi="宋体" w:cs="??_GB2312"/>
                <w:color w:val="000000"/>
                <w:kern w:val="0"/>
                <w:sz w:val="24"/>
              </w:rPr>
              <w:t xml:space="preserve">     </w:t>
            </w:r>
            <w:r>
              <w:rPr>
                <w:rFonts w:ascii="宋体" w:hAnsi="宋体" w:cs="??_GB2312"/>
                <w:color w:val="000000"/>
                <w:kern w:val="0"/>
                <w:sz w:val="24"/>
              </w:rPr>
              <w:t xml:space="preserve"> </w:t>
            </w:r>
            <w:r>
              <w:rPr>
                <w:rFonts w:hint="eastAsia" w:ascii="宋体" w:hAnsi="宋体" w:cs="宋体"/>
                <w:color w:val="000000"/>
                <w:kern w:val="0"/>
                <w:sz w:val="24"/>
                <w:lang w:val="zh-CN"/>
              </w:rPr>
              <w:t>万元</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实缴资本</w:t>
            </w:r>
          </w:p>
        </w:tc>
        <w:tc>
          <w:tcPr>
            <w:tcW w:w="2668" w:type="dxa"/>
            <w:shd w:val="clear" w:color="000000" w:fill="FFFFFF"/>
            <w:vAlign w:val="center"/>
          </w:tcPr>
          <w:p>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hint="eastAsia" w:ascii="宋体" w:hAnsi="宋体" w:cs="??_GB2312"/>
                <w:color w:val="000000"/>
                <w:kern w:val="0"/>
                <w:sz w:val="24"/>
              </w:rPr>
              <w:t xml:space="preserve">        </w:t>
            </w:r>
            <w:r>
              <w:rPr>
                <w:rFonts w:hint="eastAsia" w:ascii="宋体" w:hAnsi="宋体" w:cs="宋体"/>
                <w:color w:val="000000"/>
                <w:kern w:val="0"/>
                <w:sz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675" w:type="dxa"/>
            <w:vMerge w:val="restart"/>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联系人</w:t>
            </w: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姓名</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职务</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办公电话</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手机</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传真</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电子邮箱</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通信地址</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邮政编码</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436" w:type="dxa"/>
            <w:gridSpan w:val="5"/>
            <w:shd w:val="clear" w:color="000000" w:fill="FFFFFF"/>
            <w:vAlign w:val="center"/>
          </w:tcPr>
          <w:p>
            <w:pPr>
              <w:autoSpaceDE w:val="0"/>
              <w:autoSpaceDN w:val="0"/>
              <w:adjustRightInd w:val="0"/>
              <w:rPr>
                <w:rFonts w:ascii="宋体" w:hAnsi="??_GB2312" w:cs="宋体"/>
                <w:kern w:val="0"/>
                <w:sz w:val="22"/>
                <w:lang w:val="zh-CN"/>
              </w:rPr>
            </w:pPr>
            <w:r>
              <w:rPr>
                <w:rFonts w:hint="eastAsia" w:ascii="黑体" w:hAnsi="??_GB2312" w:eastAsia="黑体" w:cs="黑体"/>
                <w:kern w:val="0"/>
                <w:sz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名称</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组织形式</w:t>
            </w:r>
          </w:p>
        </w:tc>
        <w:tc>
          <w:tcPr>
            <w:tcW w:w="2668" w:type="dxa"/>
            <w:shd w:val="clear" w:color="000000" w:fill="FFFFFF"/>
            <w:vAlign w:val="center"/>
          </w:tcPr>
          <w:p>
            <w:pPr>
              <w:autoSpaceDE w:val="0"/>
              <w:autoSpaceDN w:val="0"/>
              <w:adjustRightInd w:val="0"/>
              <w:rPr>
                <w:rFonts w:ascii="宋体" w:hAnsi="宋体" w:cs="??_GB2312"/>
                <w:kern w:val="0"/>
                <w:szCs w:val="21"/>
              </w:rPr>
            </w:pPr>
            <w:r>
              <w:rPr>
                <w:rFonts w:hint="eastAsia" w:ascii="宋体" w:hAnsi="宋体" w:cs="宋体"/>
                <w:kern w:val="0"/>
                <w:szCs w:val="21"/>
                <w:lang w:val="zh-CN"/>
              </w:rPr>
              <w:t>□公司制</w:t>
            </w:r>
          </w:p>
          <w:p>
            <w:pPr>
              <w:autoSpaceDE w:val="0"/>
              <w:autoSpaceDN w:val="0"/>
              <w:adjustRightInd w:val="0"/>
              <w:rPr>
                <w:rFonts w:ascii="宋体" w:hAnsi="宋体" w:cs="宋体"/>
                <w:kern w:val="0"/>
                <w:sz w:val="22"/>
                <w:lang w:val="zh-CN"/>
              </w:rPr>
            </w:pPr>
            <w:r>
              <w:rPr>
                <w:rFonts w:hint="eastAsia" w:ascii="宋体" w:hAnsi="宋体" w:cs="宋体"/>
                <w:kern w:val="0"/>
                <w:szCs w:val="21"/>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rPr>
              <w:t>拟</w:t>
            </w:r>
            <w:r>
              <w:rPr>
                <w:rFonts w:hint="eastAsia" w:ascii="宋体" w:hAnsi="宋体" w:cs="宋体"/>
                <w:kern w:val="0"/>
                <w:sz w:val="24"/>
                <w:lang w:val="zh-CN"/>
              </w:rPr>
              <w:t>注册地址</w:t>
            </w:r>
          </w:p>
        </w:tc>
        <w:tc>
          <w:tcPr>
            <w:tcW w:w="2978" w:type="dxa"/>
            <w:gridSpan w:val="2"/>
            <w:shd w:val="clear" w:color="000000" w:fill="FFFFFF"/>
            <w:vAlign w:val="center"/>
          </w:tcPr>
          <w:p>
            <w:pPr>
              <w:autoSpaceDE w:val="0"/>
              <w:autoSpaceDN w:val="0"/>
              <w:adjustRightInd w:val="0"/>
              <w:rPr>
                <w:rFonts w:ascii="宋体" w:hAnsi="宋体" w:cs="宋体"/>
                <w:kern w:val="0"/>
                <w:sz w:val="22"/>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存续期限</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投资领域</w:t>
            </w:r>
          </w:p>
        </w:tc>
        <w:tc>
          <w:tcPr>
            <w:tcW w:w="7761" w:type="dxa"/>
            <w:gridSpan w:val="4"/>
            <w:shd w:val="clear" w:color="000000" w:fill="FFFFFF"/>
            <w:vAlign w:val="center"/>
          </w:tcPr>
          <w:p>
            <w:pPr>
              <w:autoSpaceDE w:val="0"/>
              <w:autoSpaceDN w:val="0"/>
              <w:adjustRightInd w:val="0"/>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675" w:type="dxa"/>
            <w:shd w:val="clear" w:color="000000" w:fill="FFFFFF"/>
            <w:vAlign w:val="center"/>
          </w:tcPr>
          <w:p>
            <w:pPr>
              <w:autoSpaceDE w:val="0"/>
              <w:autoSpaceDN w:val="0"/>
              <w:adjustRightInd w:val="0"/>
              <w:rPr>
                <w:rFonts w:ascii="宋体" w:hAnsi="宋体" w:cs="宋体"/>
                <w:kern w:val="0"/>
                <w:sz w:val="24"/>
              </w:rPr>
            </w:pPr>
            <w:r>
              <w:rPr>
                <w:rFonts w:hint="eastAsia" w:ascii="宋体" w:hAnsi="宋体" w:cs="宋体"/>
                <w:kern w:val="0"/>
                <w:sz w:val="24"/>
              </w:rPr>
              <w:t>招款计划</w:t>
            </w:r>
          </w:p>
        </w:tc>
        <w:tc>
          <w:tcPr>
            <w:tcW w:w="2978" w:type="dxa"/>
            <w:gridSpan w:val="2"/>
            <w:shd w:val="clear" w:color="000000" w:fill="FFFFFF"/>
            <w:vAlign w:val="center"/>
          </w:tcPr>
          <w:p>
            <w:pPr>
              <w:autoSpaceDE w:val="0"/>
              <w:autoSpaceDN w:val="0"/>
              <w:adjustRightInd w:val="0"/>
              <w:rPr>
                <w:rFonts w:ascii="宋体" w:hAnsi="宋体" w:cs="??_GB2312"/>
                <w:kern w:val="0"/>
                <w:sz w:val="24"/>
              </w:rPr>
            </w:pPr>
          </w:p>
        </w:tc>
        <w:tc>
          <w:tcPr>
            <w:tcW w:w="2115" w:type="dxa"/>
            <w:shd w:val="clear" w:color="000000" w:fill="FFFFFF"/>
            <w:vAlign w:val="center"/>
          </w:tcPr>
          <w:p>
            <w:pPr>
              <w:autoSpaceDE w:val="0"/>
              <w:autoSpaceDN w:val="0"/>
              <w:adjustRightInd w:val="0"/>
              <w:rPr>
                <w:rFonts w:ascii="宋体" w:hAnsi="宋体" w:cs="宋体"/>
                <w:kern w:val="0"/>
                <w:sz w:val="24"/>
              </w:rPr>
            </w:pPr>
            <w:r>
              <w:rPr>
                <w:rFonts w:hint="eastAsia" w:ascii="宋体" w:hAnsi="宋体" w:cs="宋体"/>
                <w:kern w:val="0"/>
                <w:sz w:val="24"/>
              </w:rPr>
              <w:t>首期实缴比例</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子基金类型</w:t>
            </w:r>
          </w:p>
        </w:tc>
        <w:tc>
          <w:tcPr>
            <w:tcW w:w="2978" w:type="dxa"/>
            <w:gridSpan w:val="2"/>
            <w:shd w:val="clear" w:color="000000" w:fill="FFFFFF"/>
            <w:vAlign w:val="center"/>
          </w:tcPr>
          <w:p>
            <w:pPr>
              <w:autoSpaceDE w:val="0"/>
              <w:autoSpaceDN w:val="0"/>
              <w:adjustRightInd w:val="0"/>
              <w:rPr>
                <w:rFonts w:ascii="宋体" w:hAnsi="宋体" w:cs="??_GB2312"/>
                <w:kern w:val="0"/>
                <w:szCs w:val="21"/>
              </w:rPr>
            </w:pPr>
            <w:r>
              <w:rPr>
                <w:rFonts w:hint="eastAsia" w:ascii="宋体" w:hAnsi="宋体" w:cs="宋体"/>
                <w:kern w:val="0"/>
                <w:szCs w:val="21"/>
                <w:lang w:val="zh-CN"/>
              </w:rPr>
              <w:t>□直接投资</w:t>
            </w:r>
          </w:p>
          <w:p>
            <w:pPr>
              <w:autoSpaceDE w:val="0"/>
              <w:autoSpaceDN w:val="0"/>
              <w:adjustRightInd w:val="0"/>
              <w:rPr>
                <w:rFonts w:ascii="宋体" w:hAnsi="宋体" w:cs="宋体"/>
                <w:kern w:val="0"/>
                <w:sz w:val="22"/>
                <w:lang w:val="zh-CN"/>
              </w:rPr>
            </w:pPr>
            <w:r>
              <w:rPr>
                <w:rFonts w:hint="eastAsia" w:ascii="宋体" w:hAnsi="宋体" w:cs="宋体"/>
                <w:kern w:val="0"/>
                <w:szCs w:val="21"/>
                <w:lang w:val="zh-CN"/>
              </w:rPr>
              <w:t>□间接投资</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子基金规模</w:t>
            </w:r>
          </w:p>
        </w:tc>
        <w:tc>
          <w:tcPr>
            <w:tcW w:w="2668" w:type="dxa"/>
            <w:shd w:val="clear" w:color="000000" w:fill="FFFFFF"/>
            <w:vAlign w:val="center"/>
          </w:tcPr>
          <w:p>
            <w:pPr>
              <w:autoSpaceDE w:val="0"/>
              <w:autoSpaceDN w:val="0"/>
              <w:adjustRightInd w:val="0"/>
              <w:ind w:firstLine="1320" w:firstLineChars="550"/>
              <w:rPr>
                <w:rFonts w:ascii="宋体" w:hAnsi="宋体" w:cs="宋体"/>
                <w:kern w:val="0"/>
                <w:sz w:val="22"/>
                <w:lang w:val="zh-CN"/>
              </w:rPr>
            </w:pPr>
            <w:r>
              <w:rPr>
                <w:rFonts w:hint="eastAsia" w:ascii="宋体" w:hAnsi="宋体" w:cs="宋体"/>
                <w:color w:val="000000"/>
                <w:kern w:val="0"/>
                <w:sz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已募集资金</w:t>
            </w:r>
          </w:p>
        </w:tc>
        <w:tc>
          <w:tcPr>
            <w:tcW w:w="2978" w:type="dxa"/>
            <w:gridSpan w:val="2"/>
            <w:shd w:val="clear" w:color="000000" w:fill="FFFFFF"/>
            <w:vAlign w:val="center"/>
          </w:tcPr>
          <w:p>
            <w:pPr>
              <w:autoSpaceDE w:val="0"/>
              <w:autoSpaceDN w:val="0"/>
              <w:adjustRightInd w:val="0"/>
              <w:ind w:firstLine="1560" w:firstLineChars="650"/>
              <w:rPr>
                <w:rFonts w:ascii="宋体" w:hAnsi="宋体" w:cs="宋体"/>
                <w:kern w:val="0"/>
                <w:sz w:val="22"/>
                <w:lang w:val="zh-CN"/>
              </w:rPr>
            </w:pPr>
            <w:r>
              <w:rPr>
                <w:rFonts w:hint="eastAsia" w:ascii="宋体" w:hAnsi="宋体" w:cs="宋体"/>
                <w:color w:val="000000"/>
                <w:kern w:val="0"/>
                <w:sz w:val="24"/>
                <w:lang w:val="zh-CN"/>
              </w:rPr>
              <w:t>万元</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子基金管理机构出资及占比</w:t>
            </w:r>
          </w:p>
        </w:tc>
        <w:tc>
          <w:tcPr>
            <w:tcW w:w="2668" w:type="dxa"/>
            <w:shd w:val="clear" w:color="000000" w:fill="FFFFFF"/>
            <w:vAlign w:val="center"/>
          </w:tcPr>
          <w:p>
            <w:pPr>
              <w:autoSpaceDE w:val="0"/>
              <w:autoSpaceDN w:val="0"/>
              <w:adjustRightInd w:val="0"/>
              <w:ind w:firstLine="1320" w:firstLineChars="550"/>
              <w:rPr>
                <w:rFonts w:ascii="宋体" w:hAnsi="宋体" w:cs="宋体"/>
                <w:color w:val="000000"/>
                <w:kern w:val="0"/>
                <w:sz w:val="24"/>
                <w:lang w:val="zh-CN"/>
              </w:rPr>
            </w:pPr>
            <w:r>
              <w:rPr>
                <w:rFonts w:hint="eastAsia" w:ascii="宋体" w:hAnsi="宋体" w:cs="宋体"/>
                <w:kern w:val="0"/>
                <w:sz w:val="24"/>
                <w:lang w:val="zh-CN"/>
              </w:rPr>
              <w:t>万元</w:t>
            </w:r>
          </w:p>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 xml:space="preserve">占比： </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75" w:type="dxa"/>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lang w:val="zh-CN"/>
              </w:rPr>
              <w:t>申请上市企业投资并购基金金额</w:t>
            </w:r>
          </w:p>
        </w:tc>
        <w:tc>
          <w:tcPr>
            <w:tcW w:w="2978" w:type="dxa"/>
            <w:gridSpan w:val="2"/>
            <w:shd w:val="clear" w:color="000000" w:fill="FFFFFF"/>
            <w:vAlign w:val="center"/>
          </w:tcPr>
          <w:p>
            <w:pPr>
              <w:autoSpaceDE w:val="0"/>
              <w:autoSpaceDN w:val="0"/>
              <w:adjustRightInd w:val="0"/>
              <w:ind w:firstLine="1560" w:firstLineChars="650"/>
              <w:rPr>
                <w:rFonts w:ascii="宋体" w:hAnsi="宋体" w:cs="宋体"/>
                <w:color w:val="000000"/>
                <w:kern w:val="0"/>
                <w:sz w:val="24"/>
                <w:lang w:val="zh-CN"/>
              </w:rPr>
            </w:pPr>
            <w:r>
              <w:rPr>
                <w:rFonts w:hint="eastAsia" w:ascii="宋体" w:hAnsi="宋体" w:cs="宋体"/>
                <w:color w:val="000000"/>
                <w:kern w:val="0"/>
                <w:sz w:val="24"/>
                <w:lang w:val="zh-CN"/>
              </w:rPr>
              <w:t>万元</w:t>
            </w:r>
          </w:p>
          <w:p>
            <w:pPr>
              <w:autoSpaceDE w:val="0"/>
              <w:autoSpaceDN w:val="0"/>
              <w:adjustRightInd w:val="0"/>
              <w:ind w:firstLine="480" w:firstLineChars="200"/>
              <w:rPr>
                <w:rFonts w:ascii="宋体" w:hAnsi="宋体" w:cs="宋体"/>
                <w:color w:val="000000"/>
                <w:kern w:val="0"/>
                <w:sz w:val="24"/>
                <w:lang w:val="zh-CN"/>
              </w:rPr>
            </w:pPr>
          </w:p>
        </w:tc>
        <w:tc>
          <w:tcPr>
            <w:tcW w:w="2115" w:type="dxa"/>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lang w:val="zh-CN"/>
              </w:rPr>
              <w:t>上市企业投资并购基金出资比例</w:t>
            </w:r>
          </w:p>
        </w:tc>
        <w:tc>
          <w:tcPr>
            <w:tcW w:w="2668" w:type="dxa"/>
            <w:shd w:val="clear" w:color="000000" w:fill="FFFFFF"/>
            <w:vAlign w:val="center"/>
          </w:tcPr>
          <w:p>
            <w:pPr>
              <w:autoSpaceDE w:val="0"/>
              <w:autoSpaceDN w:val="0"/>
              <w:adjustRightInd w:val="0"/>
              <w:rPr>
                <w:rFonts w:ascii="宋体" w:hAnsi="宋体" w:cs="??_GB2312"/>
                <w:kern w:val="0"/>
                <w:sz w:val="24"/>
              </w:rPr>
            </w:pPr>
            <w:r>
              <w:rPr>
                <w:rFonts w:hint="eastAsia" w:ascii="宋体" w:hAnsi="宋体" w:cs="??_GB2312"/>
                <w:kern w:val="0"/>
                <w:sz w:val="24"/>
              </w:rPr>
              <w:t xml:space="preserve">          </w:t>
            </w:r>
            <w:r>
              <w:rPr>
                <w:rFonts w:ascii="宋体" w:hAnsi="宋体" w:cs="??_GB2312"/>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75" w:type="dxa"/>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rPr>
              <w:t>子基金计划投资项目个数</w:t>
            </w:r>
          </w:p>
        </w:tc>
        <w:tc>
          <w:tcPr>
            <w:tcW w:w="2978" w:type="dxa"/>
            <w:gridSpan w:val="2"/>
            <w:shd w:val="clear" w:color="000000" w:fill="FFFFFF"/>
            <w:vAlign w:val="center"/>
          </w:tcPr>
          <w:p>
            <w:pPr>
              <w:autoSpaceDE w:val="0"/>
              <w:autoSpaceDN w:val="0"/>
              <w:adjustRightInd w:val="0"/>
              <w:ind w:firstLine="1560" w:firstLineChars="650"/>
              <w:rPr>
                <w:rFonts w:ascii="宋体" w:hAnsi="宋体" w:cs="宋体"/>
                <w:color w:val="000000"/>
                <w:kern w:val="0"/>
                <w:sz w:val="24"/>
                <w:lang w:val="zh-CN"/>
              </w:rPr>
            </w:pPr>
          </w:p>
        </w:tc>
        <w:tc>
          <w:tcPr>
            <w:tcW w:w="2115" w:type="dxa"/>
            <w:shd w:val="clear" w:color="000000" w:fill="FFFFFF"/>
            <w:vAlign w:val="center"/>
          </w:tcPr>
          <w:p>
            <w:pPr>
              <w:autoSpaceDE w:val="0"/>
              <w:autoSpaceDN w:val="0"/>
              <w:adjustRightInd w:val="0"/>
              <w:rPr>
                <w:rFonts w:ascii="宋体" w:hAnsi="宋体" w:cs="宋体"/>
                <w:kern w:val="0"/>
                <w:sz w:val="24"/>
              </w:rPr>
            </w:pPr>
            <w:r>
              <w:rPr>
                <w:rFonts w:hint="eastAsia" w:ascii="宋体" w:hAnsi="宋体" w:cs="宋体"/>
                <w:kern w:val="0"/>
                <w:sz w:val="24"/>
              </w:rPr>
              <w:t>管理费</w:t>
            </w:r>
          </w:p>
        </w:tc>
        <w:tc>
          <w:tcPr>
            <w:tcW w:w="2668"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投资期：</w:t>
            </w:r>
          </w:p>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退出期：</w:t>
            </w:r>
          </w:p>
          <w:p>
            <w:pPr>
              <w:autoSpaceDE w:val="0"/>
              <w:autoSpaceDN w:val="0"/>
              <w:adjustRightInd w:val="0"/>
              <w:rPr>
                <w:rFonts w:ascii="宋体" w:hAnsi="宋体" w:cs="??_GB2312"/>
                <w:kern w:val="0"/>
                <w:sz w:val="24"/>
              </w:rPr>
            </w:pPr>
            <w:r>
              <w:rPr>
                <w:rFonts w:hint="eastAsia" w:ascii="宋体" w:hAnsi="宋体" w:cs="宋体"/>
                <w:color w:val="000000"/>
                <w:kern w:val="0"/>
                <w:sz w:val="24"/>
              </w:rPr>
              <w:t>延长期：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1675" w:type="dxa"/>
            <w:shd w:val="clear" w:color="000000" w:fill="FFFFFF"/>
            <w:vAlign w:val="center"/>
          </w:tcPr>
          <w:p>
            <w:pPr>
              <w:autoSpaceDE w:val="0"/>
              <w:autoSpaceDN w:val="0"/>
              <w:adjustRightInd w:val="0"/>
              <w:rPr>
                <w:rFonts w:ascii="宋体" w:hAnsi="宋体" w:cs="宋体"/>
                <w:kern w:val="0"/>
                <w:sz w:val="24"/>
                <w:highlight w:val="yellow"/>
              </w:rPr>
            </w:pPr>
            <w:r>
              <w:rPr>
                <w:rFonts w:hint="eastAsia" w:ascii="宋体" w:hAnsi="宋体" w:cs="宋体"/>
                <w:kern w:val="0"/>
                <w:sz w:val="24"/>
              </w:rPr>
              <w:t>收益分配机制</w:t>
            </w:r>
          </w:p>
        </w:tc>
        <w:tc>
          <w:tcPr>
            <w:tcW w:w="7761" w:type="dxa"/>
            <w:gridSpan w:val="4"/>
            <w:shd w:val="clear" w:color="000000" w:fill="FFFFFF"/>
            <w:vAlign w:val="center"/>
          </w:tcPr>
          <w:p>
            <w:pPr>
              <w:autoSpaceDE w:val="0"/>
              <w:autoSpaceDN w:val="0"/>
              <w:adjustRightInd w:val="0"/>
              <w:ind w:firstLine="1440" w:firstLineChars="600"/>
              <w:rPr>
                <w:rFonts w:ascii="宋体" w:hAnsi="宋体" w:cs="??_GB2312"/>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autoSpaceDE w:val="0"/>
              <w:autoSpaceDN w:val="0"/>
              <w:adjustRightInd w:val="0"/>
              <w:rPr>
                <w:rFonts w:ascii="宋体" w:hAnsi="??_GB2312" w:eastAsia="黑体" w:cs="宋体"/>
                <w:kern w:val="0"/>
                <w:sz w:val="22"/>
              </w:rPr>
            </w:pPr>
            <w:r>
              <w:rPr>
                <w:rFonts w:hint="eastAsia" w:ascii="黑体" w:hAnsi="??_GB2312" w:eastAsia="黑体" w:cs="黑体"/>
                <w:kern w:val="0"/>
                <w:sz w:val="24"/>
                <w:lang w:val="zh-CN"/>
              </w:rPr>
              <w:t>三、</w:t>
            </w:r>
            <w:r>
              <w:rPr>
                <w:rFonts w:hint="eastAsia" w:ascii="黑体" w:hAnsi="??_GB2312" w:eastAsia="黑体" w:cs="黑体"/>
                <w:kern w:val="0"/>
                <w:sz w:val="24"/>
              </w:rPr>
              <w:t>管理人自述亮点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pStyle w:val="7"/>
              <w:rPr>
                <w:rFonts w:ascii="宋体" w:hAnsi="宋体"/>
              </w:rPr>
            </w:pPr>
          </w:p>
          <w:p>
            <w:pPr>
              <w:pStyle w:val="7"/>
              <w:rPr>
                <w:rFonts w:ascii="宋体" w:hAnsi="宋体"/>
              </w:rPr>
            </w:pPr>
          </w:p>
          <w:p>
            <w:pPr>
              <w:pStyle w:val="7"/>
              <w:rPr>
                <w:rFonts w:ascii="宋体" w:hAnsi="宋体"/>
              </w:rPr>
            </w:pPr>
            <w:r>
              <w:rPr>
                <w:rFonts w:hint="eastAsia" w:ascii="宋体" w:hAnsi="宋体"/>
              </w:rPr>
              <w:t>包括但不限于</w:t>
            </w:r>
            <w:r>
              <w:rPr>
                <w:rFonts w:hint="eastAsia" w:ascii="宋体" w:hAnsi="宋体"/>
                <w:lang w:val="en-US" w:eastAsia="zh-CN"/>
              </w:rPr>
              <w:t>上市公司情况介绍</w:t>
            </w:r>
            <w:r>
              <w:rPr>
                <w:rFonts w:ascii="宋体" w:hAnsi="宋体"/>
              </w:rPr>
              <w:t>、</w:t>
            </w:r>
            <w:r>
              <w:rPr>
                <w:rFonts w:hint="eastAsia" w:ascii="宋体" w:hAnsi="宋体"/>
                <w:lang w:val="en-US" w:eastAsia="zh-CN"/>
              </w:rPr>
              <w:t>投资策略、</w:t>
            </w:r>
            <w:r>
              <w:rPr>
                <w:rFonts w:hint="eastAsia" w:ascii="宋体" w:hAnsi="宋体"/>
              </w:rPr>
              <w:t>储备</w:t>
            </w:r>
            <w:r>
              <w:rPr>
                <w:rFonts w:hint="eastAsia" w:ascii="宋体" w:hAnsi="宋体"/>
                <w:lang w:val="en-US" w:eastAsia="zh-CN"/>
              </w:rPr>
              <w:t>投资</w:t>
            </w:r>
            <w:r>
              <w:rPr>
                <w:rFonts w:hint="eastAsia" w:ascii="宋体" w:hAnsi="宋体"/>
              </w:rPr>
              <w:t>项目</w:t>
            </w:r>
            <w:r>
              <w:rPr>
                <w:rFonts w:hint="eastAsia" w:ascii="宋体" w:hAnsi="宋体"/>
                <w:lang w:val="en-US" w:eastAsia="zh-CN"/>
              </w:rPr>
              <w:t>情况</w:t>
            </w:r>
            <w:r>
              <w:rPr>
                <w:rFonts w:hint="eastAsia" w:ascii="宋体" w:hAnsi="宋体"/>
                <w:lang w:eastAsia="zh-CN"/>
              </w:rPr>
              <w:t>、</w:t>
            </w:r>
            <w:r>
              <w:rPr>
                <w:rFonts w:hint="eastAsia" w:ascii="宋体" w:hAnsi="宋体"/>
                <w:lang w:val="en-US" w:eastAsia="zh-CN"/>
              </w:rPr>
              <w:t>返投</w:t>
            </w:r>
            <w:r>
              <w:rPr>
                <w:rFonts w:hint="eastAsia" w:ascii="宋体" w:hAnsi="宋体"/>
              </w:rPr>
              <w:t>等</w:t>
            </w:r>
            <w:r>
              <w:rPr>
                <w:rFonts w:ascii="宋体" w:hAnsi="宋体"/>
              </w:rPr>
              <w:t>。</w:t>
            </w:r>
          </w:p>
          <w:p>
            <w:pPr>
              <w:pStyle w:val="7"/>
              <w:rPr>
                <w:rFonts w:ascii="宋体" w:hAnsi="宋体"/>
              </w:rPr>
            </w:pPr>
          </w:p>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autoSpaceDE w:val="0"/>
              <w:autoSpaceDN w:val="0"/>
              <w:adjustRightInd w:val="0"/>
              <w:rPr>
                <w:rFonts w:ascii="宋体" w:hAnsi="??_GB2312" w:eastAsia="黑体" w:cs="宋体"/>
                <w:kern w:val="0"/>
                <w:sz w:val="22"/>
              </w:rPr>
            </w:pPr>
            <w:r>
              <w:rPr>
                <w:rFonts w:hint="eastAsia" w:ascii="黑体" w:hAnsi="??_GB2312" w:eastAsia="黑体" w:cs="黑体"/>
                <w:kern w:val="0"/>
                <w:sz w:val="24"/>
              </w:rPr>
              <w:t>四</w:t>
            </w:r>
            <w:r>
              <w:rPr>
                <w:rFonts w:hint="eastAsia" w:ascii="黑体" w:hAnsi="??_GB2312" w:eastAsia="黑体" w:cs="黑体"/>
                <w:kern w:val="0"/>
                <w:sz w:val="24"/>
                <w:lang w:val="zh-CN"/>
              </w:rPr>
              <w:t>、</w:t>
            </w:r>
            <w:r>
              <w:rPr>
                <w:rFonts w:hint="eastAsia" w:ascii="黑体" w:hAnsi="??_GB2312" w:eastAsia="黑体" w:cs="黑体"/>
                <w:kern w:val="0"/>
                <w:sz w:val="24"/>
              </w:rPr>
              <w:t>其他关键信息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1675" w:type="dxa"/>
            <w:shd w:val="clear" w:color="000000" w:fill="FFFFFF"/>
            <w:vAlign w:val="center"/>
          </w:tcPr>
          <w:p>
            <w:pPr>
              <w:autoSpaceDE w:val="0"/>
              <w:autoSpaceDN w:val="0"/>
              <w:adjustRightInd w:val="0"/>
              <w:ind w:firstLine="17"/>
              <w:rPr>
                <w:rFonts w:ascii="宋体" w:hAnsi="宋体" w:cs="宋体"/>
                <w:kern w:val="0"/>
                <w:sz w:val="22"/>
              </w:rPr>
            </w:pPr>
            <w:r>
              <w:rPr>
                <w:rFonts w:hint="eastAsia" w:ascii="宋体" w:hAnsi="宋体" w:cs="宋体"/>
                <w:kern w:val="0"/>
                <w:sz w:val="24"/>
              </w:rPr>
              <w:t>是否在长沙设置办公场所</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rPr>
            </w:pPr>
            <w:r>
              <w:rPr>
                <w:rFonts w:hint="eastAsia" w:ascii="宋体" w:hAnsi="宋体" w:cs="宋体"/>
                <w:kern w:val="0"/>
                <w:sz w:val="24"/>
              </w:rPr>
              <w:t>长沙管理团队成员</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rPr>
              <w:t>子基金管理团队核心人员</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rPr>
            </w:pPr>
            <w:r>
              <w:rPr>
                <w:rFonts w:hint="eastAsia" w:ascii="宋体" w:hAnsi="宋体" w:cs="宋体"/>
                <w:kern w:val="0"/>
                <w:sz w:val="24"/>
              </w:rPr>
              <w:t>在投中信息、清科等榜单所获荣誉</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autoSpaceDE w:val="0"/>
              <w:autoSpaceDN w:val="0"/>
              <w:adjustRightInd w:val="0"/>
              <w:rPr>
                <w:rFonts w:ascii="宋体" w:hAnsi="宋体" w:eastAsia="黑体" w:cs="宋体"/>
                <w:kern w:val="0"/>
                <w:sz w:val="22"/>
              </w:rPr>
            </w:pPr>
            <w:r>
              <w:rPr>
                <w:rFonts w:hint="eastAsia" w:ascii="黑体" w:hAnsi="??_GB2312" w:eastAsia="黑体" w:cs="黑体"/>
                <w:kern w:val="0"/>
                <w:sz w:val="24"/>
              </w:rPr>
              <w:t>五</w:t>
            </w:r>
            <w:r>
              <w:rPr>
                <w:rFonts w:hint="eastAsia" w:ascii="黑体" w:hAnsi="??_GB2312" w:eastAsia="黑体" w:cs="黑体"/>
                <w:kern w:val="0"/>
                <w:sz w:val="24"/>
                <w:lang w:val="zh-CN"/>
              </w:rPr>
              <w:t>、</w:t>
            </w:r>
            <w:r>
              <w:rPr>
                <w:rFonts w:hint="eastAsia" w:ascii="黑体" w:hAnsi="??_GB2312" w:eastAsia="黑体" w:cs="黑体"/>
                <w:kern w:val="0"/>
                <w:sz w:val="24"/>
              </w:rPr>
              <w:t>管理机构承诺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lang w:val="zh-CN"/>
              </w:rPr>
              <w:t>新区基金委员会：</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本公司/本企业目前正在申报湖南湘江新区上市企业投资并购基金参与设立</w:t>
            </w:r>
            <w:r>
              <w:rPr>
                <w:rFonts w:hint="eastAsia" w:ascii="宋体" w:hAnsi="宋体" w:cs="宋体"/>
                <w:kern w:val="0"/>
                <w:sz w:val="24"/>
                <w:u w:val="single"/>
              </w:rPr>
              <w:t xml:space="preserve">    </w:t>
            </w:r>
            <w:r>
              <w:rPr>
                <w:rFonts w:hint="eastAsia" w:ascii="宋体" w:hAnsi="宋体" w:cs="宋体"/>
                <w:kern w:val="0"/>
                <w:sz w:val="24"/>
                <w:lang w:val="zh-CN"/>
              </w:rPr>
              <w:t>（以下简称“基金”），现就基金申请设立相关事宜，作出以下说明和承诺：</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一、本公司/本企业理解基金相关的法律、法规、规章、指引、办法、实施细则和运行规则等文件的规定，承诺本公司/本企业和基金申请方案符合前述文件规定的要求；本公司/本企业将继续遵守前述文件的规定，并承诺基金设立之日起，完全按照文件的规定管理基金事务。</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二、本公司/本企业为在中华人民共和国（不包括香港特别行政区、澳门特别行政区和台湾地区）依法设立并有效存续的有限责任公司、股份有限公司或合伙企业。</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三、本公司/本企业承担基金的募资工作，承诺自湖南湘江新区上市企业投资并购基金投资决策机构作出有效投资决议之日起6个月内完成基金合伙协议或合资协议签署，自合伙协议或合资协议签署之日起6个月内完成基金工商登记和首期资金实缴。否则，本公司/本企业自愿承担相应的法律责任。</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四、本公司/本企业相关人员提供的关于本公司/本企业、基金投资人、基金申请方案等全部资料和信息（包括但不限于子基金申请材料及有关陈述、保证、声明、确认等）均是真实、准确和完整的，不存在虚假记载、误导性陈述和重大遗漏，且该等全部资料和信息的复印件/电子件均与原件完全一致。</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五、如上述说明和承诺情况存在任何虚假或隐瞒，本公司/本企业愿承担由此而产生的一切法律责任。同时，如贵中心在子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约定承担相应的法律责任；(3)承担其他与此相关的法律责任。</w:t>
            </w:r>
          </w:p>
          <w:p>
            <w:pPr>
              <w:autoSpaceDE w:val="0"/>
              <w:autoSpaceDN w:val="0"/>
              <w:adjustRightInd w:val="0"/>
              <w:rPr>
                <w:rFonts w:ascii="宋体" w:hAnsi="宋体" w:cs="宋体"/>
                <w:kern w:val="0"/>
                <w:sz w:val="24"/>
                <w:lang w:val="zh-CN"/>
              </w:rPr>
            </w:pP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特此承诺！</w:t>
            </w:r>
          </w:p>
          <w:p>
            <w:pPr>
              <w:autoSpaceDE w:val="0"/>
              <w:autoSpaceDN w:val="0"/>
              <w:adjustRightInd w:val="0"/>
              <w:rPr>
                <w:rFonts w:ascii="宋体" w:hAnsi="宋体" w:cs="宋体"/>
                <w:kern w:val="0"/>
                <w:sz w:val="24"/>
                <w:lang w:val="zh-CN"/>
              </w:rPr>
            </w:pPr>
          </w:p>
          <w:p>
            <w:pPr>
              <w:autoSpaceDE w:val="0"/>
              <w:autoSpaceDN w:val="0"/>
              <w:adjustRightInd w:val="0"/>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承诺人：（公章、骑缝章）</w:t>
            </w:r>
          </w:p>
          <w:p>
            <w:pPr>
              <w:autoSpaceDE w:val="0"/>
              <w:autoSpaceDN w:val="0"/>
              <w:adjustRightInd w:val="0"/>
              <w:jc w:val="center"/>
              <w:rPr>
                <w:rFonts w:ascii="宋体" w:hAnsi="宋体" w:cs="宋体"/>
                <w:kern w:val="0"/>
                <w:sz w:val="24"/>
                <w:lang w:val="zh-CN"/>
              </w:rPr>
            </w:pPr>
          </w:p>
          <w:p>
            <w:pPr>
              <w:autoSpaceDE w:val="0"/>
              <w:autoSpaceDN w:val="0"/>
              <w:adjustRightInd w:val="0"/>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法定代表人/执行事务合伙人（签字）：</w:t>
            </w:r>
          </w:p>
          <w:p>
            <w:pPr>
              <w:autoSpaceDE w:val="0"/>
              <w:autoSpaceDN w:val="0"/>
              <w:adjustRightInd w:val="0"/>
              <w:jc w:val="center"/>
              <w:rPr>
                <w:rFonts w:ascii="宋体" w:hAnsi="宋体" w:cs="宋体"/>
                <w:kern w:val="0"/>
                <w:sz w:val="24"/>
                <w:lang w:val="zh-CN"/>
              </w:rPr>
            </w:pPr>
          </w:p>
          <w:p>
            <w:pPr>
              <w:autoSpaceDE w:val="0"/>
              <w:autoSpaceDN w:val="0"/>
              <w:adjustRightInd w:val="0"/>
              <w:jc w:val="center"/>
              <w:rPr>
                <w:rFonts w:ascii="宋体" w:hAnsi="宋体" w:cs="宋体"/>
                <w:kern w:val="0"/>
                <w:sz w:val="22"/>
                <w:lang w:val="zh-CN"/>
              </w:rPr>
            </w:pPr>
            <w:r>
              <w:rPr>
                <w:rFonts w:hint="eastAsia" w:ascii="宋体" w:hAnsi="宋体" w:cs="宋体"/>
                <w:kern w:val="0"/>
                <w:sz w:val="24"/>
              </w:rPr>
              <w:t xml:space="preserve">                          </w:t>
            </w:r>
            <w:r>
              <w:rPr>
                <w:rFonts w:hint="eastAsia" w:ascii="宋体" w:hAnsi="宋体" w:cs="宋体"/>
                <w:kern w:val="0"/>
                <w:sz w:val="24"/>
                <w:lang w:val="zh-CN"/>
              </w:rPr>
              <w:t>日期：    年   月  日</w:t>
            </w:r>
          </w:p>
        </w:tc>
      </w:tr>
    </w:tbl>
    <w:p>
      <w:pPr>
        <w:pStyle w:val="2"/>
        <w:ind w:right="1470"/>
        <w:sectPr>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附件9.2</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上市企业投资并购子基金申报条件自查表</w:t>
      </w:r>
    </w:p>
    <w:p>
      <w:pPr>
        <w:spacing w:line="560" w:lineRule="exact"/>
        <w:rPr>
          <w:b/>
          <w:sz w:val="24"/>
          <w:u w:val="single"/>
        </w:rPr>
      </w:pPr>
      <w:r>
        <w:rPr>
          <w:b/>
          <w:sz w:val="24"/>
          <w:u w:val="single"/>
        </w:rPr>
        <w:t>拟申报子基金名称</w:t>
      </w:r>
      <w:r>
        <w:rPr>
          <w:rFonts w:hint="eastAsia"/>
          <w:b/>
          <w:sz w:val="24"/>
          <w:u w:val="single"/>
        </w:rPr>
        <w:t xml:space="preserve">：                                                    </w:t>
      </w: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710"/>
        <w:gridCol w:w="1089"/>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jc w:val="center"/>
        </w:trPr>
        <w:tc>
          <w:tcPr>
            <w:tcW w:w="5864" w:type="dxa"/>
            <w:gridSpan w:val="2"/>
            <w:vAlign w:val="center"/>
          </w:tcPr>
          <w:p>
            <w:pPr>
              <w:jc w:val="center"/>
              <w:rPr>
                <w:b/>
              </w:rPr>
            </w:pPr>
            <w:r>
              <w:rPr>
                <w:rFonts w:hint="eastAsia"/>
                <w:b/>
              </w:rPr>
              <w:t>项目</w:t>
            </w:r>
          </w:p>
        </w:tc>
        <w:tc>
          <w:tcPr>
            <w:tcW w:w="1089" w:type="dxa"/>
            <w:vAlign w:val="center"/>
          </w:tcPr>
          <w:p>
            <w:pPr>
              <w:jc w:val="center"/>
              <w:rPr>
                <w:b/>
                <w:color w:val="000000"/>
              </w:rPr>
            </w:pPr>
            <w:r>
              <w:rPr>
                <w:b/>
                <w:color w:val="000000"/>
              </w:rPr>
              <w:t>是否符合</w:t>
            </w:r>
          </w:p>
        </w:tc>
        <w:tc>
          <w:tcPr>
            <w:tcW w:w="2801" w:type="dxa"/>
            <w:vAlign w:val="center"/>
          </w:tcPr>
          <w:p>
            <w:pPr>
              <w:jc w:val="center"/>
              <w:rPr>
                <w:b/>
                <w:color w:val="000000"/>
              </w:rPr>
            </w:pPr>
            <w:r>
              <w:rPr>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754" w:type="dxa"/>
            <w:gridSpan w:val="4"/>
            <w:vAlign w:val="center"/>
          </w:tcPr>
          <w:p>
            <w:pPr>
              <w:rPr>
                <w:rFonts w:cs="Arial"/>
                <w:b/>
                <w:color w:val="000000"/>
                <w:szCs w:val="21"/>
              </w:rPr>
            </w:pPr>
            <w:r>
              <w:rPr>
                <w:rFonts w:cs="Arial"/>
                <w:b/>
                <w:color w:val="000000"/>
                <w:szCs w:val="21"/>
              </w:rPr>
              <w:t>一</w:t>
            </w:r>
            <w:r>
              <w:rPr>
                <w:rFonts w:hint="eastAsia" w:cs="Arial"/>
                <w:b/>
                <w:color w:val="000000"/>
                <w:szCs w:val="21"/>
              </w:rPr>
              <w:t>、上市企业投资并购</w:t>
            </w:r>
            <w:r>
              <w:rPr>
                <w:rFonts w:cs="Arial"/>
                <w:b/>
                <w:color w:val="000000"/>
                <w:szCs w:val="21"/>
              </w:rPr>
              <w:t>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基金类型</w:t>
            </w:r>
          </w:p>
        </w:tc>
        <w:tc>
          <w:tcPr>
            <w:tcW w:w="4710" w:type="dxa"/>
            <w:vAlign w:val="center"/>
          </w:tcPr>
          <w:p>
            <w:pPr>
              <w:rPr>
                <w:rFonts w:hint="eastAsia" w:eastAsiaTheme="minorEastAsia"/>
                <w:lang w:eastAsia="zh-CN"/>
              </w:rPr>
            </w:pPr>
            <w:r>
              <w:rPr>
                <w:rFonts w:hint="eastAsia"/>
              </w:rPr>
              <w:t>主要采取直接投资的模式运作</w:t>
            </w:r>
          </w:p>
        </w:tc>
        <w:tc>
          <w:tcPr>
            <w:tcW w:w="1089" w:type="dxa"/>
            <w:vAlign w:val="center"/>
          </w:tcPr>
          <w:p>
            <w:pPr>
              <w:rPr>
                <w:rFonts w:cs="Arial"/>
                <w:b/>
                <w:color w:val="000000"/>
                <w:szCs w:val="21"/>
              </w:rPr>
            </w:pPr>
          </w:p>
        </w:tc>
        <w:tc>
          <w:tcPr>
            <w:tcW w:w="2801" w:type="dxa"/>
            <w:vAlign w:val="center"/>
          </w:tcPr>
          <w:p>
            <w:pPr>
              <w:rPr>
                <w:rFonts w:cs="Arial"/>
                <w:b/>
                <w:color w:val="000000"/>
                <w:szCs w:val="21"/>
              </w:rPr>
            </w:pPr>
            <w:r>
              <w:rPr>
                <w:rFonts w:hint="eastAsia"/>
              </w:rPr>
              <w:t>若上市企业有明确要求的，可以采取参股子基金的模式运作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注册地</w:t>
            </w:r>
          </w:p>
        </w:tc>
        <w:tc>
          <w:tcPr>
            <w:tcW w:w="4710" w:type="dxa"/>
            <w:vAlign w:val="center"/>
          </w:tcPr>
          <w:p>
            <w:r>
              <w:rPr>
                <w:rFonts w:hint="eastAsia"/>
              </w:rPr>
              <w:t>工商、税务关系须注册在新区</w:t>
            </w:r>
          </w:p>
        </w:tc>
        <w:tc>
          <w:tcPr>
            <w:tcW w:w="1089" w:type="dxa"/>
            <w:vAlign w:val="center"/>
          </w:tcPr>
          <w:p>
            <w:pPr>
              <w:rPr>
                <w:rFonts w:cs="Arial"/>
                <w:b/>
                <w:color w:val="000000"/>
                <w:szCs w:val="21"/>
              </w:rPr>
            </w:pPr>
          </w:p>
        </w:tc>
        <w:tc>
          <w:tcPr>
            <w:tcW w:w="2801"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eastAsia"/>
              </w:rPr>
            </w:pPr>
            <w:r>
              <w:rPr>
                <w:rFonts w:hint="eastAsia"/>
              </w:rPr>
              <w:t>出资人</w:t>
            </w:r>
          </w:p>
        </w:tc>
        <w:tc>
          <w:tcPr>
            <w:tcW w:w="4710" w:type="dxa"/>
            <w:vAlign w:val="center"/>
          </w:tcPr>
          <w:p>
            <w:pPr>
              <w:rPr>
                <w:rFonts w:hint="eastAsia"/>
              </w:rPr>
            </w:pPr>
            <w:r>
              <w:rPr>
                <w:rFonts w:hint="eastAsia"/>
              </w:rPr>
              <w:t>除基金管理机构外，子基金的出资人应至少包含三方，即一家上市企业（含其控股股东或实控人，下同）、上市企业投资并购基金及其他社会机构</w:t>
            </w:r>
          </w:p>
        </w:tc>
        <w:tc>
          <w:tcPr>
            <w:tcW w:w="1089" w:type="dxa"/>
            <w:vAlign w:val="center"/>
          </w:tcPr>
          <w:p>
            <w:pPr>
              <w:rPr>
                <w:rFonts w:cs="Arial"/>
                <w:b/>
                <w:color w:val="000000"/>
                <w:szCs w:val="21"/>
              </w:rPr>
            </w:pPr>
          </w:p>
        </w:tc>
        <w:tc>
          <w:tcPr>
            <w:tcW w:w="2801"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4" w:type="dxa"/>
            <w:vAlign w:val="center"/>
          </w:tcPr>
          <w:p>
            <w:r>
              <w:rPr>
                <w:rFonts w:hint="eastAsia"/>
              </w:rPr>
              <w:t>上市企业投资并购基金出资</w:t>
            </w:r>
          </w:p>
        </w:tc>
        <w:tc>
          <w:tcPr>
            <w:tcW w:w="4710" w:type="dxa"/>
            <w:vAlign w:val="center"/>
          </w:tcPr>
          <w:p>
            <w:pPr>
              <w:rPr>
                <w:rFonts w:ascii="宋体" w:hAnsi="宋体"/>
                <w:szCs w:val="21"/>
              </w:rPr>
            </w:pPr>
            <w:r>
              <w:rPr>
                <w:rFonts w:hint="eastAsia" w:ascii="宋体" w:hAnsi="宋体"/>
                <w:szCs w:val="21"/>
              </w:rPr>
              <w:t>不高于上市企业的出资比例，不高于子基金总规模的40%且不超过2亿元</w:t>
            </w:r>
          </w:p>
        </w:tc>
        <w:tc>
          <w:tcPr>
            <w:tcW w:w="1089" w:type="dxa"/>
            <w:vAlign w:val="center"/>
          </w:tcPr>
          <w:p>
            <w:pPr>
              <w:rPr>
                <w:rFonts w:cs="Arial"/>
                <w:b/>
                <w:color w:val="000000"/>
                <w:szCs w:val="21"/>
              </w:rPr>
            </w:pPr>
          </w:p>
        </w:tc>
        <w:tc>
          <w:tcPr>
            <w:tcW w:w="2801"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highlight w:val="none"/>
              </w:rPr>
            </w:pPr>
            <w:r>
              <w:rPr>
                <w:rFonts w:hint="eastAsia"/>
                <w:highlight w:val="none"/>
              </w:rPr>
              <w:t>存续期限</w:t>
            </w:r>
          </w:p>
        </w:tc>
        <w:tc>
          <w:tcPr>
            <w:tcW w:w="4710" w:type="dxa"/>
            <w:vAlign w:val="center"/>
          </w:tcPr>
          <w:p>
            <w:pPr>
              <w:rPr>
                <w:rFonts w:ascii="宋体" w:hAnsi="宋体"/>
                <w:szCs w:val="21"/>
                <w:highlight w:val="none"/>
              </w:rPr>
            </w:pPr>
            <w:r>
              <w:rPr>
                <w:rFonts w:hint="eastAsia" w:ascii="宋体" w:hAnsi="宋体"/>
                <w:szCs w:val="21"/>
                <w:highlight w:val="none"/>
              </w:rPr>
              <w:t>存续期（含延长期）原则上不超过</w:t>
            </w:r>
            <w:r>
              <w:rPr>
                <w:rFonts w:hint="eastAsia" w:ascii="宋体" w:hAnsi="宋体"/>
                <w:szCs w:val="21"/>
                <w:highlight w:val="none"/>
                <w:lang w:val="en-US" w:eastAsia="zh-CN"/>
              </w:rPr>
              <w:t>8</w:t>
            </w:r>
            <w:r>
              <w:rPr>
                <w:rFonts w:hint="eastAsia" w:ascii="宋体" w:hAnsi="宋体"/>
                <w:szCs w:val="21"/>
                <w:highlight w:val="none"/>
              </w:rPr>
              <w:t>年</w:t>
            </w:r>
          </w:p>
        </w:tc>
        <w:tc>
          <w:tcPr>
            <w:tcW w:w="1089" w:type="dxa"/>
            <w:vAlign w:val="center"/>
          </w:tcPr>
          <w:p>
            <w:pPr>
              <w:rPr>
                <w:rFonts w:cs="Arial"/>
                <w:b/>
                <w:color w:val="000000"/>
                <w:szCs w:val="21"/>
              </w:rPr>
            </w:pPr>
          </w:p>
        </w:tc>
        <w:tc>
          <w:tcPr>
            <w:tcW w:w="2801"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restart"/>
            <w:vAlign w:val="center"/>
          </w:tcPr>
          <w:p>
            <w:r>
              <w:rPr>
                <w:rFonts w:hint="eastAsia"/>
              </w:rPr>
              <w:t>基金投向</w:t>
            </w:r>
          </w:p>
        </w:tc>
        <w:tc>
          <w:tcPr>
            <w:tcW w:w="4710" w:type="dxa"/>
            <w:vAlign w:val="center"/>
          </w:tcPr>
          <w:p>
            <w:pPr>
              <w:rPr>
                <w:rFonts w:ascii="宋体" w:hAnsi="宋体"/>
                <w:szCs w:val="21"/>
              </w:rPr>
            </w:pPr>
            <w:r>
              <w:rPr>
                <w:rFonts w:hint="eastAsia" w:ascii="宋体" w:hAnsi="宋体"/>
                <w:szCs w:val="21"/>
              </w:rPr>
              <w:t>主要投向上市企业产业链相关项目。与新区范围内上市企业共同出资设立的 CVC 基金，可以是为收购单个标的企业设立的专项基金</w:t>
            </w:r>
          </w:p>
        </w:tc>
        <w:tc>
          <w:tcPr>
            <w:tcW w:w="1089" w:type="dxa"/>
            <w:vAlign w:val="center"/>
          </w:tcPr>
          <w:p>
            <w:pPr>
              <w:rPr>
                <w:szCs w:val="21"/>
              </w:rPr>
            </w:pPr>
          </w:p>
        </w:tc>
        <w:tc>
          <w:tcPr>
            <w:tcW w:w="2801" w:type="dxa"/>
            <w:vAlign w:val="center"/>
          </w:tcPr>
          <w:p>
            <w:pPr>
              <w:pStyle w:val="8"/>
              <w:spacing w:line="240" w:lineRule="auto"/>
              <w:ind w:left="360"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continue"/>
            <w:vAlign w:val="center"/>
          </w:tcPr>
          <w:p/>
        </w:tc>
        <w:tc>
          <w:tcPr>
            <w:tcW w:w="4710" w:type="dxa"/>
            <w:vAlign w:val="center"/>
          </w:tcPr>
          <w:p>
            <w:pPr>
              <w:rPr>
                <w:rFonts w:hint="eastAsia" w:eastAsia="宋体"/>
                <w:lang w:eastAsia="zh-CN"/>
              </w:rPr>
            </w:pPr>
            <w:r>
              <w:rPr>
                <w:rFonts w:hint="eastAsia"/>
              </w:rPr>
              <w:t>投资于新区企业的投资总额不低于上市企业投资并购基金出资额的1.5倍</w:t>
            </w:r>
            <w:r>
              <w:rPr>
                <w:rFonts w:hint="eastAsia"/>
                <w:lang w:eastAsia="zh-CN"/>
              </w:rPr>
              <w:t>（</w:t>
            </w:r>
            <w:r>
              <w:rPr>
                <w:rFonts w:hint="eastAsia"/>
              </w:rPr>
              <w:t>专项基金的情形除外</w:t>
            </w:r>
            <w:r>
              <w:rPr>
                <w:rFonts w:hint="eastAsia"/>
                <w:lang w:eastAsia="zh-CN"/>
              </w:rPr>
              <w:t>）</w:t>
            </w:r>
            <w:r>
              <w:rPr>
                <w:rFonts w:hint="eastAsia"/>
              </w:rPr>
              <w:t>，</w:t>
            </w:r>
            <w:r>
              <w:rPr>
                <w:rFonts w:hint="eastAsia"/>
                <w:lang w:val="en-US" w:eastAsia="zh-CN"/>
              </w:rPr>
              <w:t>返投认定标准参照新区</w:t>
            </w:r>
            <w:r>
              <w:rPr>
                <w:rFonts w:hint="eastAsia"/>
                <w:lang w:eastAsia="zh-CN"/>
              </w:rPr>
              <w:t>返投认定细则</w:t>
            </w:r>
          </w:p>
        </w:tc>
        <w:tc>
          <w:tcPr>
            <w:tcW w:w="1089" w:type="dxa"/>
            <w:vAlign w:val="center"/>
          </w:tcPr>
          <w:p>
            <w:pPr>
              <w:rPr>
                <w:szCs w:val="21"/>
              </w:rPr>
            </w:pPr>
          </w:p>
        </w:tc>
        <w:tc>
          <w:tcPr>
            <w:tcW w:w="280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highlight w:val="none"/>
              </w:rPr>
            </w:pPr>
            <w:r>
              <w:rPr>
                <w:rFonts w:hint="eastAsia"/>
                <w:highlight w:val="none"/>
              </w:rPr>
              <w:t>出资顺序</w:t>
            </w:r>
          </w:p>
        </w:tc>
        <w:tc>
          <w:tcPr>
            <w:tcW w:w="4710" w:type="dxa"/>
            <w:vAlign w:val="center"/>
          </w:tcPr>
          <w:p>
            <w:pPr>
              <w:rPr>
                <w:highlight w:val="none"/>
              </w:rPr>
            </w:pPr>
            <w:r>
              <w:rPr>
                <w:rFonts w:hint="eastAsia"/>
                <w:highlight w:val="none"/>
              </w:rPr>
              <w:t>上市企业投资并购基金出资款项应在其他出资人（政府引导基金及国资除外）的当期出资款项实际到位后，由上市企业投资并购基金按程序同比例拨付</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1154" w:type="dxa"/>
            <w:vAlign w:val="center"/>
          </w:tcPr>
          <w:p>
            <w:pPr>
              <w:rPr>
                <w:highlight w:val="none"/>
              </w:rPr>
            </w:pPr>
            <w:r>
              <w:rPr>
                <w:rFonts w:hint="eastAsia"/>
                <w:highlight w:val="none"/>
              </w:rPr>
              <w:t>管理费</w:t>
            </w:r>
          </w:p>
        </w:tc>
        <w:tc>
          <w:tcPr>
            <w:tcW w:w="4710" w:type="dxa"/>
            <w:vAlign w:val="center"/>
          </w:tcPr>
          <w:p>
            <w:pPr>
              <w:rPr>
                <w:rFonts w:hint="default" w:ascii="宋体" w:hAnsi="宋体" w:eastAsia="宋体"/>
                <w:szCs w:val="21"/>
                <w:highlight w:val="none"/>
                <w:lang w:val="en-US" w:eastAsia="zh-CN"/>
              </w:rPr>
            </w:pPr>
            <w:r>
              <w:rPr>
                <w:rFonts w:hint="eastAsia" w:ascii="宋体" w:hAnsi="宋体"/>
                <w:szCs w:val="21"/>
                <w:highlight w:val="none"/>
                <w:lang w:val="en-US" w:eastAsia="zh-CN"/>
              </w:rPr>
              <w:t>属于合理水平</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r>
              <w:rPr>
                <w:rFonts w:hint="eastAsia" w:ascii="宋体" w:hAnsi="宋体"/>
                <w:szCs w:val="21"/>
                <w:highlight w:val="none"/>
                <w:lang w:val="en-US" w:eastAsia="zh-CN"/>
              </w:rPr>
              <w:t>具体费率由基金委员会办公室审定确认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收益分配</w:t>
            </w:r>
          </w:p>
        </w:tc>
        <w:tc>
          <w:tcPr>
            <w:tcW w:w="4710" w:type="dxa"/>
            <w:vAlign w:val="center"/>
          </w:tcPr>
          <w:p>
            <w:r>
              <w:rPr>
                <w:rFonts w:hint="eastAsia"/>
              </w:rPr>
              <w:t>按照“先回本后分利”的原则进行分配。子基金取得的收益在保证子基金存续期内全体合伙人的累计实缴出资额和年均</w:t>
            </w:r>
            <w:r>
              <w:t>8</w:t>
            </w:r>
            <w:r>
              <w:rPr>
                <w:rFonts w:hint="eastAsia"/>
              </w:rPr>
              <w:t>%（单利）的收益均已实现的前提下，子基金超额收益按照普通合伙人分配比例不超过20%、其余按各自实缴出资比例分配的原则确定。子基金存续期间取得的投资收益不用于再投资</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投资决策</w:t>
            </w:r>
          </w:p>
        </w:tc>
        <w:tc>
          <w:tcPr>
            <w:tcW w:w="4710" w:type="dxa"/>
            <w:vAlign w:val="center"/>
          </w:tcPr>
          <w:p>
            <w:r>
              <w:rPr>
                <w:rFonts w:hint="eastAsia"/>
              </w:rPr>
              <w:t>上市企业投资并购基金向 CVC 基金原则上只委派 1名观察员，监督 CVC 基金的投资和运作，但不参与 CVC 基金的日常管理</w:t>
            </w:r>
            <w:r>
              <w:rPr>
                <w:rFonts w:hint="eastAsia"/>
                <w:lang w:eastAsia="zh-CN"/>
              </w:rPr>
              <w:t>。</w:t>
            </w:r>
            <w:r>
              <w:rPr>
                <w:rFonts w:hint="eastAsia"/>
              </w:rPr>
              <w:t>观察员由上市企业投资并购基金的受托管理机构委派不对投资项目做商业判断，仅对项目投资行为的合规合约性进行审核，对 CVC 基金违反合伙协议(或公司章程)、《湖南湘江新区产业发展基金管理办法(试行)》或</w:t>
            </w:r>
            <w:r>
              <w:rPr>
                <w:rFonts w:hint="eastAsia"/>
                <w:lang w:val="en-US" w:eastAsia="zh-CN"/>
              </w:rPr>
              <w:t>引导基金</w:t>
            </w:r>
            <w:r>
              <w:rPr>
                <w:rFonts w:hint="eastAsia"/>
              </w:rPr>
              <w:t>实施细则的投资项目( 如累计投资额已突破返投要求临界值时)，有一票否决权</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上市企业投资并购基金投资退出</w:t>
            </w:r>
          </w:p>
        </w:tc>
        <w:tc>
          <w:tcPr>
            <w:tcW w:w="4710" w:type="dxa"/>
            <w:vAlign w:val="center"/>
          </w:tcPr>
          <w:p>
            <w:pPr>
              <w:rPr>
                <w:rFonts w:hint="default"/>
                <w:lang w:val="en-US" w:eastAsia="zh-CN"/>
              </w:rPr>
            </w:pPr>
            <w:r>
              <w:rPr>
                <w:rFonts w:hint="eastAsia"/>
              </w:rPr>
              <w:t>接受《上市企业投资并购基金管理实施细则（试行）》</w:t>
            </w:r>
            <w:r>
              <w:rPr>
                <w:rFonts w:hint="eastAsia"/>
                <w:lang w:val="en-US" w:eastAsia="zh-CN"/>
              </w:rPr>
              <w:t>第八条</w:t>
            </w:r>
            <w:r>
              <w:rPr>
                <w:rFonts w:hint="eastAsia"/>
              </w:rPr>
              <w:t>明确的某些情形下上市企业投资并购基金拥有强制退出权</w:t>
            </w:r>
            <w:r>
              <w:rPr>
                <w:rFonts w:hint="eastAsia"/>
                <w:lang w:eastAsia="zh-CN"/>
              </w:rPr>
              <w:t>；</w:t>
            </w:r>
            <w:r>
              <w:rPr>
                <w:rFonts w:hint="eastAsia"/>
                <w:lang w:val="en-US" w:eastAsia="zh-CN"/>
              </w:rPr>
              <w:t>且新区基金委员会办公室决策后半年内未签署合伙协议(或公司章程)的 CVC 基金，上市企业投资并购基金不予出资</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资金托管</w:t>
            </w:r>
          </w:p>
        </w:tc>
        <w:tc>
          <w:tcPr>
            <w:tcW w:w="4710" w:type="dxa"/>
            <w:vAlign w:val="center"/>
          </w:tcPr>
          <w:p>
            <w:r>
              <w:rPr>
                <w:rFonts w:hint="eastAsia"/>
              </w:rPr>
              <w:t>托管机构为</w:t>
            </w:r>
            <w:r>
              <w:t>具有基金托管业务资质、经验的商业银行，且在</w:t>
            </w:r>
            <w:r>
              <w:rPr>
                <w:rFonts w:hint="eastAsia"/>
              </w:rPr>
              <w:t>新</w:t>
            </w:r>
            <w:r>
              <w:t>区设有分支机构，同时基金托管账户和资金募集结算账户的开户行须在新区</w:t>
            </w:r>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eastAsia"/>
              </w:rPr>
            </w:pPr>
            <w:r>
              <w:rPr>
                <w:rFonts w:hint="eastAsia"/>
                <w:lang w:val="en-US" w:eastAsia="zh-CN"/>
              </w:rPr>
              <w:t>社会资本出资比例</w:t>
            </w:r>
          </w:p>
        </w:tc>
        <w:tc>
          <w:tcPr>
            <w:tcW w:w="4710" w:type="dxa"/>
            <w:vAlign w:val="center"/>
          </w:tcPr>
          <w:p>
            <w:pPr>
              <w:rPr>
                <w:rFonts w:hint="eastAsia"/>
              </w:rPr>
            </w:pPr>
            <w:r>
              <w:rPr>
                <w:rFonts w:hint="eastAsia"/>
              </w:rPr>
              <w:t>上市企业投资并购子基金中非国有资本方的出资比例原则上应不低于新区出资比例</w:t>
            </w:r>
            <w:bookmarkStart w:id="1" w:name="_GoBack"/>
            <w:bookmarkEnd w:id="1"/>
          </w:p>
        </w:tc>
        <w:tc>
          <w:tcPr>
            <w:tcW w:w="1089" w:type="dxa"/>
            <w:vAlign w:val="center"/>
          </w:tcPr>
          <w:p>
            <w:pPr>
              <w:rPr>
                <w:rFonts w:ascii="宋体" w:hAnsi="宋体"/>
                <w:color w:val="000000"/>
                <w:szCs w:val="21"/>
              </w:rPr>
            </w:pPr>
          </w:p>
        </w:tc>
        <w:tc>
          <w:tcPr>
            <w:tcW w:w="280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64" w:type="dxa"/>
            <w:gridSpan w:val="2"/>
            <w:vAlign w:val="center"/>
          </w:tcPr>
          <w:p>
            <w:pPr>
              <w:rPr>
                <w:b/>
              </w:rPr>
            </w:pPr>
            <w:r>
              <w:rPr>
                <w:rFonts w:hint="eastAsia"/>
                <w:b/>
              </w:rPr>
              <w:t>二、子基金投资限制</w:t>
            </w:r>
          </w:p>
        </w:tc>
        <w:tc>
          <w:tcPr>
            <w:tcW w:w="1089" w:type="dxa"/>
            <w:vAlign w:val="center"/>
          </w:tcPr>
          <w:p/>
        </w:tc>
        <w:tc>
          <w:tcPr>
            <w:tcW w:w="28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154" w:type="dxa"/>
            <w:vMerge w:val="restart"/>
            <w:vAlign w:val="center"/>
          </w:tcPr>
          <w:p>
            <w:pPr>
              <w:jc w:val="center"/>
            </w:pPr>
            <w:r>
              <w:rPr>
                <w:rFonts w:hint="eastAsia"/>
              </w:rPr>
              <w:t>子基金不得从事业务</w:t>
            </w:r>
          </w:p>
        </w:tc>
        <w:tc>
          <w:tcPr>
            <w:tcW w:w="4710" w:type="dxa"/>
            <w:vAlign w:val="center"/>
          </w:tcPr>
          <w:p>
            <w:r>
              <w:rPr>
                <w:rFonts w:hint="eastAsia"/>
              </w:rPr>
              <w:t>从事融资担保以外的担保、抵押、委托贷款等业务</w:t>
            </w:r>
          </w:p>
        </w:tc>
        <w:tc>
          <w:tcPr>
            <w:tcW w:w="1089" w:type="dxa"/>
            <w:vMerge w:val="restart"/>
            <w:vAlign w:val="center"/>
          </w:tcPr>
          <w:p/>
        </w:tc>
        <w:tc>
          <w:tcPr>
            <w:tcW w:w="2801"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154" w:type="dxa"/>
            <w:vMerge w:val="continue"/>
            <w:vAlign w:val="center"/>
          </w:tcPr>
          <w:p/>
        </w:tc>
        <w:tc>
          <w:tcPr>
            <w:tcW w:w="4710" w:type="dxa"/>
            <w:vAlign w:val="center"/>
          </w:tcPr>
          <w:p>
            <w:r>
              <w:rPr>
                <w:rFonts w:hint="eastAsia"/>
              </w:rPr>
              <w:t>投资二级市场股票、股票、证券投资基金、评级AAA以下的企业债、信托产品、非保本型理财产品、保险计划及其他金融衍生品</w:t>
            </w:r>
          </w:p>
        </w:tc>
        <w:tc>
          <w:tcPr>
            <w:tcW w:w="1089" w:type="dxa"/>
            <w:vMerge w:val="continue"/>
            <w:vAlign w:val="center"/>
          </w:tcPr>
          <w:p/>
        </w:tc>
        <w:tc>
          <w:tcPr>
            <w:tcW w:w="280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710" w:type="dxa"/>
            <w:vAlign w:val="center"/>
          </w:tcPr>
          <w:p>
            <w:r>
              <w:rPr>
                <w:rFonts w:hint="eastAsia"/>
              </w:rPr>
              <w:t>向任何第三方提供赞助、捐赠（经批准的公益性捐赠除外）</w:t>
            </w:r>
          </w:p>
        </w:tc>
        <w:tc>
          <w:tcPr>
            <w:tcW w:w="1089" w:type="dxa"/>
            <w:vAlign w:val="center"/>
          </w:tcPr>
          <w:p/>
        </w:tc>
        <w:tc>
          <w:tcPr>
            <w:tcW w:w="28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710" w:type="dxa"/>
            <w:vAlign w:val="center"/>
          </w:tcPr>
          <w:p>
            <w:r>
              <w:rPr>
                <w:rFonts w:hint="eastAsia"/>
              </w:rPr>
              <w:t>吸收或变相吸收存款，或向第三方提供贷款和资金拆借</w:t>
            </w:r>
          </w:p>
        </w:tc>
        <w:tc>
          <w:tcPr>
            <w:tcW w:w="1089" w:type="dxa"/>
            <w:vAlign w:val="center"/>
          </w:tcPr>
          <w:p/>
        </w:tc>
        <w:tc>
          <w:tcPr>
            <w:tcW w:w="28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710" w:type="dxa"/>
            <w:vAlign w:val="center"/>
          </w:tcPr>
          <w:p>
            <w:r>
              <w:rPr>
                <w:rFonts w:hint="eastAsia"/>
              </w:rPr>
              <w:t>进行承担无限连带责任的对外投资</w:t>
            </w:r>
          </w:p>
        </w:tc>
        <w:tc>
          <w:tcPr>
            <w:tcW w:w="1089" w:type="dxa"/>
            <w:vMerge w:val="restart"/>
            <w:vAlign w:val="center"/>
          </w:tcPr>
          <w:p/>
        </w:tc>
        <w:tc>
          <w:tcPr>
            <w:tcW w:w="2801"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710" w:type="dxa"/>
            <w:vAlign w:val="center"/>
          </w:tcPr>
          <w:p>
            <w:r>
              <w:rPr>
                <w:rFonts w:hint="eastAsia"/>
              </w:rPr>
              <w:t>发行信托或集合理财产品募集资金</w:t>
            </w:r>
          </w:p>
        </w:tc>
        <w:tc>
          <w:tcPr>
            <w:tcW w:w="1089" w:type="dxa"/>
            <w:vMerge w:val="continue"/>
            <w:vAlign w:val="center"/>
          </w:tcPr>
          <w:p/>
        </w:tc>
        <w:tc>
          <w:tcPr>
            <w:tcW w:w="280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710" w:type="dxa"/>
            <w:vAlign w:val="center"/>
          </w:tcPr>
          <w:p>
            <w:r>
              <w:rPr>
                <w:rFonts w:hint="eastAsia"/>
              </w:rPr>
              <w:t>国家法律法规禁止从事的其他业务</w:t>
            </w:r>
          </w:p>
        </w:tc>
        <w:tc>
          <w:tcPr>
            <w:tcW w:w="1089" w:type="dxa"/>
            <w:vMerge w:val="continue"/>
            <w:vAlign w:val="center"/>
          </w:tcPr>
          <w:p/>
        </w:tc>
        <w:tc>
          <w:tcPr>
            <w:tcW w:w="280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Align w:val="center"/>
          </w:tcPr>
          <w:p>
            <w:pPr>
              <w:jc w:val="center"/>
            </w:pPr>
            <w:r>
              <w:rPr>
                <w:rFonts w:hint="eastAsia"/>
              </w:rPr>
              <w:t>再投资禁止</w:t>
            </w:r>
          </w:p>
        </w:tc>
        <w:tc>
          <w:tcPr>
            <w:tcW w:w="4710" w:type="dxa"/>
            <w:vAlign w:val="center"/>
          </w:tcPr>
          <w:p>
            <w:pPr>
              <w:rPr>
                <w:rFonts w:ascii="宋体" w:hAnsi="宋体"/>
                <w:szCs w:val="21"/>
              </w:rPr>
            </w:pPr>
            <w:r>
              <w:rPr>
                <w:rFonts w:hint="eastAsia" w:ascii="宋体" w:hAnsi="宋体"/>
                <w:szCs w:val="21"/>
              </w:rPr>
              <w:t>子基金存续期内，投资回收资金不得再用于对外投资，且应及时分配</w:t>
            </w:r>
          </w:p>
        </w:tc>
        <w:tc>
          <w:tcPr>
            <w:tcW w:w="1089" w:type="dxa"/>
            <w:vAlign w:val="center"/>
          </w:tcPr>
          <w:p/>
        </w:tc>
        <w:tc>
          <w:tcPr>
            <w:tcW w:w="28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9754" w:type="dxa"/>
            <w:gridSpan w:val="4"/>
            <w:vAlign w:val="center"/>
          </w:tcPr>
          <w:p>
            <w:r>
              <w:rPr>
                <w:rFonts w:hint="eastAsia" w:cs="Arial"/>
                <w:b/>
                <w:color w:val="000000"/>
                <w:szCs w:val="21"/>
                <w:lang w:val="en-US" w:eastAsia="zh-CN"/>
              </w:rPr>
              <w:t>三</w:t>
            </w:r>
            <w:r>
              <w:rPr>
                <w:rFonts w:hint="eastAsia" w:cs="Arial"/>
                <w:b/>
                <w:color w:val="000000"/>
                <w:szCs w:val="21"/>
              </w:rPr>
              <w:t>、上市企业投资并购</w:t>
            </w:r>
            <w:r>
              <w:rPr>
                <w:rFonts w:cs="Arial"/>
                <w:b/>
                <w:color w:val="000000"/>
                <w:szCs w:val="21"/>
              </w:rPr>
              <w:t>子基金</w:t>
            </w:r>
            <w:r>
              <w:rPr>
                <w:rFonts w:hint="eastAsia" w:cs="Arial"/>
                <w:b/>
                <w:color w:val="000000"/>
                <w:szCs w:val="21"/>
                <w:lang w:val="en-US" w:eastAsia="zh-CN"/>
              </w:rPr>
              <w:t>管理机构</w:t>
            </w:r>
            <w:r>
              <w:rPr>
                <w:rFonts w:cs="Arial"/>
                <w:b/>
                <w:color w:val="000000"/>
                <w:szCs w:val="21"/>
              </w:rPr>
              <w:t>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0" w:type="auto"/>
            <w:vAlign w:val="center"/>
          </w:tcPr>
          <w:p>
            <w:pPr>
              <w:rPr>
                <w:rFonts w:hint="eastAsia" w:eastAsia="宋体" w:asciiTheme="minorHAnsi" w:hAnsiTheme="minorHAnsi" w:cstheme="minorBidi"/>
                <w:kern w:val="2"/>
                <w:sz w:val="21"/>
                <w:szCs w:val="24"/>
                <w:lang w:val="en-US" w:eastAsia="zh-CN" w:bidi="ar-SA"/>
              </w:rPr>
            </w:pPr>
            <w:r>
              <w:rPr>
                <w:rFonts w:hint="eastAsia"/>
                <w:lang w:val="en-US" w:eastAsia="zh-CN"/>
              </w:rPr>
              <w:t>管理资质</w:t>
            </w:r>
          </w:p>
        </w:tc>
        <w:tc>
          <w:tcPr>
            <w:tcW w:w="0" w:type="auto"/>
            <w:vAlign w:val="center"/>
          </w:tcPr>
          <w:p>
            <w:pPr>
              <w:rPr>
                <w:rFonts w:hint="eastAsia" w:asciiTheme="minorHAnsi" w:hAnsiTheme="minorHAnsi" w:eastAsiaTheme="minorEastAsia" w:cstheme="minorBidi"/>
                <w:kern w:val="2"/>
                <w:sz w:val="21"/>
                <w:szCs w:val="24"/>
                <w:lang w:val="en-US" w:eastAsia="zh-CN" w:bidi="ar-SA"/>
              </w:rPr>
            </w:pPr>
            <w:r>
              <w:rPr>
                <w:rFonts w:hint="eastAsia" w:eastAsiaTheme="minorEastAsia"/>
                <w:lang w:eastAsia="zh-CN"/>
              </w:rPr>
              <w:t>取得私募股权投资基金管理人相关登记备案资质;实缴注册资本不低于1000万元。</w:t>
            </w:r>
          </w:p>
        </w:tc>
        <w:tc>
          <w:tcPr>
            <w:tcW w:w="0" w:type="auto"/>
            <w:vAlign w:val="center"/>
          </w:tcPr>
          <w:p>
            <w:pPr>
              <w:jc w:val="center"/>
              <w:rPr>
                <w:rFonts w:hint="eastAsia" w:eastAsia="宋体" w:cs="Arial" w:asciiTheme="minorHAnsi" w:hAnsiTheme="minorHAnsi"/>
                <w:b/>
                <w:color w:val="000000"/>
                <w:kern w:val="2"/>
                <w:sz w:val="21"/>
                <w:szCs w:val="21"/>
                <w:lang w:val="en-US" w:eastAsia="zh-CN" w:bidi="ar-SA"/>
              </w:rPr>
            </w:pPr>
          </w:p>
        </w:tc>
        <w:tc>
          <w:tcPr>
            <w:tcW w:w="0" w:type="auto"/>
            <w:vAlign w:val="center"/>
          </w:tcPr>
          <w:p>
            <w:pPr>
              <w:rPr>
                <w:rFonts w:hint="default" w:eastAsia="宋体" w:cs="Arial" w:asciiTheme="minorHAnsi" w:hAnsiTheme="minorHAnsi"/>
                <w:b/>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0" w:type="auto"/>
            <w:vAlign w:val="center"/>
          </w:tcPr>
          <w:p>
            <w:pPr>
              <w:rPr>
                <w:rFonts w:hint="eastAsia" w:eastAsia="宋体" w:asciiTheme="minorHAnsi" w:hAnsiTheme="minorHAnsi" w:cstheme="minorBidi"/>
                <w:kern w:val="2"/>
                <w:sz w:val="21"/>
                <w:szCs w:val="24"/>
                <w:lang w:val="en-US" w:eastAsia="zh-CN" w:bidi="ar-SA"/>
              </w:rPr>
            </w:pPr>
            <w:r>
              <w:rPr>
                <w:rFonts w:hint="eastAsia"/>
                <w:lang w:val="en-US" w:eastAsia="zh-CN"/>
              </w:rPr>
              <w:t>管理团队</w:t>
            </w:r>
          </w:p>
        </w:tc>
        <w:tc>
          <w:tcPr>
            <w:tcW w:w="0" w:type="auto"/>
            <w:vAlign w:val="center"/>
          </w:tcPr>
          <w:p>
            <w:pPr>
              <w:tabs>
                <w:tab w:val="left" w:pos="1275"/>
              </w:tabs>
              <w:rPr>
                <w:rFonts w:hint="eastAsia" w:eastAsia="宋体" w:asciiTheme="minorHAnsi" w:hAnsiTheme="minorHAnsi" w:cstheme="minorBidi"/>
                <w:kern w:val="2"/>
                <w:sz w:val="21"/>
                <w:szCs w:val="24"/>
                <w:lang w:val="en-US" w:eastAsia="zh-CN" w:bidi="ar-SA"/>
              </w:rPr>
            </w:pPr>
            <w:r>
              <w:rPr>
                <w:rFonts w:hint="eastAsia"/>
                <w:lang w:eastAsia="zh-CN"/>
              </w:rPr>
              <w:t>至少有3名具备5年以上投资基金管理工作经验的专职高级管理人员,且在管理机构共同全职工作1年(含)以上。管理团队主要成员未有受过行政主管机关或司法机关处罚的不良记录。</w:t>
            </w:r>
          </w:p>
        </w:tc>
        <w:tc>
          <w:tcPr>
            <w:tcW w:w="0" w:type="auto"/>
            <w:vAlign w:val="center"/>
          </w:tcPr>
          <w:p>
            <w:pPr>
              <w:jc w:val="center"/>
              <w:rPr>
                <w:rFonts w:cs="Arial" w:asciiTheme="minorHAnsi" w:hAnsiTheme="minorHAnsi" w:eastAsiaTheme="minorEastAsia"/>
                <w:b/>
                <w:color w:val="000000"/>
                <w:kern w:val="2"/>
                <w:sz w:val="21"/>
                <w:szCs w:val="21"/>
                <w:lang w:val="en-US" w:eastAsia="zh-CN" w:bidi="ar-SA"/>
              </w:rPr>
            </w:pPr>
          </w:p>
        </w:tc>
        <w:tc>
          <w:tcPr>
            <w:tcW w:w="0" w:type="auto"/>
            <w:vAlign w:val="center"/>
          </w:tcPr>
          <w:p>
            <w:pPr>
              <w:rPr>
                <w:rFonts w:cs="Arial" w:asciiTheme="minorHAnsi" w:hAnsiTheme="minorHAnsi" w:eastAsiaTheme="minorEastAsia"/>
                <w:b/>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0" w:type="auto"/>
            <w:vAlign w:val="center"/>
          </w:tcPr>
          <w:p>
            <w:pPr>
              <w:rPr>
                <w:rFonts w:hint="eastAsia" w:eastAsia="宋体" w:asciiTheme="minorHAnsi" w:hAnsiTheme="minorHAnsi" w:cstheme="minorBidi"/>
                <w:kern w:val="2"/>
                <w:sz w:val="21"/>
                <w:szCs w:val="24"/>
                <w:lang w:val="en-US" w:eastAsia="zh-CN" w:bidi="ar-SA"/>
              </w:rPr>
            </w:pPr>
            <w:r>
              <w:rPr>
                <w:rFonts w:hint="eastAsia"/>
                <w:lang w:val="en-US" w:eastAsia="zh-CN"/>
              </w:rPr>
              <w:t>投资能力</w:t>
            </w:r>
          </w:p>
        </w:tc>
        <w:tc>
          <w:tcPr>
            <w:tcW w:w="0" w:type="auto"/>
            <w:vAlign w:val="center"/>
          </w:tcPr>
          <w:p>
            <w:pPr>
              <w:rPr>
                <w:rFonts w:hint="eastAsia" w:asciiTheme="minorHAnsi" w:hAnsiTheme="minorHAnsi" w:eastAsiaTheme="minorEastAsia" w:cstheme="minorBidi"/>
                <w:kern w:val="2"/>
                <w:sz w:val="21"/>
                <w:szCs w:val="24"/>
                <w:lang w:val="en-US" w:eastAsia="zh-CN" w:bidi="ar-SA"/>
              </w:rPr>
            </w:pPr>
            <w:r>
              <w:rPr>
                <w:rFonts w:hint="eastAsia"/>
              </w:rPr>
              <w:t>管理机构或其管理团队主要成员共同累计管理过1支(含)以上股权类投资基金且具备良好的管理业绩</w:t>
            </w:r>
            <w:r>
              <w:rPr>
                <w:rFonts w:hint="eastAsia"/>
                <w:lang w:eastAsia="zh-CN"/>
              </w:rPr>
              <w:t>，</w:t>
            </w:r>
            <w:r>
              <w:rPr>
                <w:rFonts w:hint="eastAsia"/>
              </w:rPr>
              <w:t>至少有3个股权投资成功案例(含未退出案例)且其中至少有1个与上市企业产业发展方向相关。</w:t>
            </w:r>
          </w:p>
        </w:tc>
        <w:tc>
          <w:tcPr>
            <w:tcW w:w="0" w:type="auto"/>
            <w:vAlign w:val="center"/>
          </w:tcPr>
          <w:p>
            <w:pPr>
              <w:jc w:val="center"/>
              <w:rPr>
                <w:rFonts w:hint="eastAsia" w:eastAsia="宋体" w:cs="Arial" w:asciiTheme="minorHAnsi" w:hAnsiTheme="minorHAnsi"/>
                <w:b/>
                <w:color w:val="000000"/>
                <w:kern w:val="2"/>
                <w:sz w:val="21"/>
                <w:szCs w:val="21"/>
                <w:lang w:val="en-US" w:eastAsia="zh-CN" w:bidi="ar-SA"/>
              </w:rPr>
            </w:pPr>
          </w:p>
        </w:tc>
        <w:tc>
          <w:tcPr>
            <w:tcW w:w="0" w:type="auto"/>
            <w:vAlign w:val="center"/>
          </w:tcPr>
          <w:p>
            <w:pPr>
              <w:rPr>
                <w:rFonts w:hint="default" w:eastAsia="宋体" w:cs="Arial" w:asciiTheme="minorHAnsi" w:hAnsiTheme="minorHAnsi"/>
                <w:b/>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0" w:type="auto"/>
            <w:vAlign w:val="center"/>
          </w:tcPr>
          <w:p>
            <w:pPr>
              <w:rPr>
                <w:rFonts w:hint="eastAsia" w:eastAsia="宋体" w:asciiTheme="minorHAnsi" w:hAnsiTheme="minorHAnsi" w:cstheme="minorBidi"/>
                <w:kern w:val="2"/>
                <w:sz w:val="21"/>
                <w:szCs w:val="24"/>
                <w:lang w:val="en-US" w:eastAsia="zh-CN" w:bidi="ar-SA"/>
              </w:rPr>
            </w:pPr>
            <w:r>
              <w:rPr>
                <w:rFonts w:hint="eastAsia"/>
                <w:lang w:val="en-US" w:eastAsia="zh-CN"/>
              </w:rPr>
              <w:t>风险控制</w:t>
            </w:r>
          </w:p>
        </w:tc>
        <w:tc>
          <w:tcPr>
            <w:tcW w:w="0" w:type="auto"/>
            <w:vAlign w:val="center"/>
          </w:tcPr>
          <w:p>
            <w:pPr>
              <w:rPr>
                <w:rFonts w:hint="eastAsia" w:ascii="宋体" w:hAnsi="宋体"/>
                <w:szCs w:val="21"/>
              </w:rPr>
            </w:pPr>
            <w:r>
              <w:rPr>
                <w:rFonts w:hint="eastAsia" w:ascii="宋体" w:hAnsi="宋体"/>
                <w:szCs w:val="21"/>
              </w:rPr>
              <w:t>管理和投资运作规范</w:t>
            </w:r>
            <w:r>
              <w:rPr>
                <w:rFonts w:hint="eastAsia" w:ascii="宋体" w:hAnsi="宋体"/>
                <w:szCs w:val="21"/>
                <w:lang w:eastAsia="zh-CN"/>
              </w:rPr>
              <w:t>，</w:t>
            </w:r>
            <w:r>
              <w:rPr>
                <w:rFonts w:hint="eastAsia" w:ascii="宋体" w:hAnsi="宋体"/>
                <w:szCs w:val="21"/>
              </w:rPr>
              <w:t>具有完整的投资决策程序、全面的风险控制机制和健全的财务管理制度。未被中国证券投资基金业协会列为异常机构且不存</w:t>
            </w:r>
          </w:p>
          <w:p>
            <w:pPr>
              <w:rPr>
                <w:rFonts w:hint="eastAsia" w:ascii="宋体" w:hAnsi="宋体" w:eastAsiaTheme="minorEastAsia" w:cstheme="minorBidi"/>
                <w:kern w:val="2"/>
                <w:sz w:val="21"/>
                <w:szCs w:val="21"/>
                <w:lang w:val="en-US" w:eastAsia="zh-CN" w:bidi="ar-SA"/>
              </w:rPr>
            </w:pPr>
            <w:r>
              <w:rPr>
                <w:rFonts w:hint="eastAsia" w:ascii="宋体" w:hAnsi="宋体"/>
                <w:szCs w:val="21"/>
              </w:rPr>
              <w:t>在不良诚信记录等情形。最近三年不存在重大违法违规行为。</w:t>
            </w:r>
          </w:p>
        </w:tc>
        <w:tc>
          <w:tcPr>
            <w:tcW w:w="0" w:type="auto"/>
            <w:vAlign w:val="center"/>
          </w:tcPr>
          <w:p>
            <w:pPr>
              <w:jc w:val="center"/>
              <w:rPr>
                <w:rFonts w:cs="Arial" w:asciiTheme="minorHAnsi" w:hAnsiTheme="minorHAnsi" w:eastAsiaTheme="minorEastAsia"/>
                <w:b/>
                <w:color w:val="000000"/>
                <w:kern w:val="2"/>
                <w:sz w:val="21"/>
                <w:szCs w:val="21"/>
                <w:lang w:val="en-US" w:eastAsia="zh-CN" w:bidi="ar-SA"/>
              </w:rPr>
            </w:pPr>
          </w:p>
        </w:tc>
        <w:tc>
          <w:tcPr>
            <w:tcW w:w="0" w:type="auto"/>
            <w:vAlign w:val="center"/>
          </w:tcPr>
          <w:p>
            <w:pPr>
              <w:rPr>
                <w:rFonts w:cs="Arial" w:asciiTheme="minorHAnsi" w:hAnsiTheme="minorHAnsi" w:eastAsiaTheme="minorEastAsia"/>
                <w:b/>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0" w:type="auto"/>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其他条件</w:t>
            </w:r>
          </w:p>
        </w:tc>
        <w:tc>
          <w:tcPr>
            <w:tcW w:w="0" w:type="auto"/>
            <w:vAlign w:val="center"/>
          </w:tcPr>
          <w:p>
            <w:pPr>
              <w:rPr>
                <w:rFonts w:hint="eastAsia" w:ascii="宋体" w:hAnsi="宋体"/>
                <w:szCs w:val="21"/>
              </w:rPr>
            </w:pPr>
            <w:r>
              <w:rPr>
                <w:rFonts w:hint="eastAsia" w:ascii="宋体" w:hAnsi="宋体"/>
                <w:szCs w:val="21"/>
                <w:lang w:val="en-US" w:eastAsia="zh-CN"/>
              </w:rPr>
              <w:t>提供上市企业出具的基金管理机构推荐函；</w:t>
            </w:r>
            <w:r>
              <w:rPr>
                <w:rFonts w:hint="eastAsia" w:ascii="宋体" w:hAnsi="宋体"/>
                <w:szCs w:val="21"/>
              </w:rPr>
              <w:t>基金管理机构与新区有过合作的,过往合作应有较好成效(对于较好成效的理解:可以包括返投业绩、</w:t>
            </w:r>
          </w:p>
          <w:p>
            <w:pPr>
              <w:rPr>
                <w:rFonts w:hint="eastAsia" w:ascii="宋体" w:hAnsi="宋体" w:eastAsiaTheme="minorEastAsia" w:cstheme="minorBidi"/>
                <w:kern w:val="2"/>
                <w:sz w:val="21"/>
                <w:szCs w:val="21"/>
                <w:lang w:val="en-US" w:eastAsia="zh-CN" w:bidi="ar-SA"/>
              </w:rPr>
            </w:pPr>
            <w:r>
              <w:rPr>
                <w:rFonts w:hint="eastAsia" w:ascii="宋体" w:hAnsi="宋体"/>
                <w:szCs w:val="21"/>
              </w:rPr>
              <w:t>经济效益,相对宽口径,具体再制定执行标准)。</w:t>
            </w:r>
          </w:p>
        </w:tc>
        <w:tc>
          <w:tcPr>
            <w:tcW w:w="0" w:type="auto"/>
            <w:vAlign w:val="center"/>
          </w:tcPr>
          <w:p>
            <w:pPr>
              <w:jc w:val="center"/>
              <w:rPr>
                <w:rFonts w:hint="eastAsia" w:cs="Arial" w:asciiTheme="minorHAnsi" w:hAnsiTheme="minorHAnsi" w:eastAsiaTheme="minorEastAsia"/>
                <w:b/>
                <w:color w:val="000000"/>
                <w:kern w:val="2"/>
                <w:sz w:val="21"/>
                <w:szCs w:val="21"/>
                <w:lang w:val="en-US" w:eastAsia="zh-CN" w:bidi="ar-SA"/>
              </w:rPr>
            </w:pPr>
          </w:p>
        </w:tc>
        <w:tc>
          <w:tcPr>
            <w:tcW w:w="0" w:type="auto"/>
            <w:vAlign w:val="center"/>
          </w:tcPr>
          <w:p>
            <w:pPr>
              <w:rPr>
                <w:rFonts w:hint="default" w:eastAsia="宋体" w:cs="Arial" w:asciiTheme="minorHAnsi" w:hAnsiTheme="minorHAnsi"/>
                <w:b/>
                <w:color w:val="000000"/>
                <w:kern w:val="2"/>
                <w:sz w:val="21"/>
                <w:szCs w:val="21"/>
                <w:lang w:val="en-US" w:eastAsia="zh-CN" w:bidi="ar-SA"/>
              </w:rPr>
            </w:pPr>
          </w:p>
        </w:tc>
      </w:tr>
    </w:tbl>
    <w:p>
      <w:pPr>
        <w:spacing w:line="560" w:lineRule="exact"/>
        <w:rPr>
          <w:b/>
        </w:rPr>
      </w:pPr>
      <w:r>
        <w:rPr>
          <w:b/>
        </w:rPr>
        <w:t>注</w:t>
      </w:r>
      <w:r>
        <w:rPr>
          <w:rFonts w:hint="eastAsia"/>
          <w:b/>
        </w:rPr>
        <w:t>：</w:t>
      </w:r>
      <w:r>
        <w:rPr>
          <w:b/>
        </w:rPr>
        <w:t>拟申请</w:t>
      </w:r>
      <w:r>
        <w:rPr>
          <w:rFonts w:hint="eastAsia"/>
          <w:b/>
        </w:rPr>
        <w:t>湖南湘江新区上市企业投资并购</w:t>
      </w:r>
      <w:r>
        <w:rPr>
          <w:b/>
        </w:rPr>
        <w:t>基金</w:t>
      </w:r>
      <w:r>
        <w:rPr>
          <w:rFonts w:hint="eastAsia"/>
          <w:b/>
        </w:rPr>
        <w:t>出资</w:t>
      </w:r>
      <w:r>
        <w:rPr>
          <w:b/>
        </w:rPr>
        <w:t>的子基金应开展</w:t>
      </w:r>
      <w:r>
        <w:rPr>
          <w:rFonts w:hint="eastAsia"/>
          <w:b/>
          <w:lang w:val="en-US" w:eastAsia="zh-CN"/>
        </w:rPr>
        <w:t>申报条件</w:t>
      </w:r>
      <w:r>
        <w:rPr>
          <w:b/>
        </w:rPr>
        <w:t>自查</w:t>
      </w:r>
      <w:r>
        <w:rPr>
          <w:rFonts w:hint="eastAsia"/>
          <w:b/>
        </w:rPr>
        <w:t>，</w:t>
      </w:r>
      <w:r>
        <w:rPr>
          <w:b/>
        </w:rPr>
        <w:t>并在是否符合一栏填写</w:t>
      </w:r>
      <w:r>
        <w:rPr>
          <w:rFonts w:hint="eastAsia"/>
          <w:b/>
        </w:rPr>
        <w:t>“</w:t>
      </w:r>
      <w:r>
        <w:rPr>
          <w:rFonts w:hint="eastAsia" w:ascii="宋体" w:hAnsi="宋体"/>
          <w:b/>
        </w:rPr>
        <w:t>√</w:t>
      </w:r>
      <w:r>
        <w:rPr>
          <w:rFonts w:hint="eastAsia"/>
          <w:b/>
        </w:rPr>
        <w:t>”或“</w:t>
      </w:r>
      <w:r>
        <w:rPr>
          <w:rFonts w:hint="eastAsia" w:ascii="宋体" w:hAnsi="宋体"/>
          <w:b/>
        </w:rPr>
        <w:t>х</w:t>
      </w:r>
      <w:r>
        <w:rPr>
          <w:rFonts w:hint="eastAsia"/>
          <w:b/>
        </w:rPr>
        <w:t>”，需要进一步说明的事项请填写在备注栏。原则上，表中所列条件，子基金应全部符合或接受。</w:t>
      </w:r>
    </w:p>
    <w:p>
      <w:pPr>
        <w:spacing w:line="560" w:lineRule="exact"/>
        <w:rPr>
          <w:b/>
        </w:rPr>
      </w:pPr>
    </w:p>
    <w:p>
      <w:pPr>
        <w:spacing w:line="560" w:lineRule="exact"/>
        <w:rPr>
          <w:rFonts w:ascii="仿宋_GB2312" w:eastAsia="仿宋_GB2312"/>
          <w:b/>
          <w:sz w:val="32"/>
          <w:szCs w:val="32"/>
        </w:rPr>
      </w:pPr>
      <w:r>
        <w:rPr>
          <w:rFonts w:hint="eastAsia"/>
          <w:b/>
        </w:rPr>
        <w:t xml:space="preserve">                                 </w:t>
      </w:r>
      <w:r>
        <w:rPr>
          <w:rFonts w:hint="eastAsia" w:ascii="仿宋_GB2312" w:eastAsia="仿宋_GB2312"/>
          <w:b/>
          <w:sz w:val="32"/>
          <w:szCs w:val="32"/>
        </w:rPr>
        <w:t xml:space="preserve">  申请机构盖章：</w:t>
      </w:r>
    </w:p>
    <w:p>
      <w:pPr>
        <w:spacing w:line="560" w:lineRule="exact"/>
        <w:rPr>
          <w:rFonts w:ascii="仿宋_GB2312" w:eastAsia="仿宋_GB2312"/>
          <w:b/>
          <w:sz w:val="32"/>
          <w:szCs w:val="32"/>
        </w:rPr>
      </w:pPr>
      <w:r>
        <w:rPr>
          <w:rFonts w:hint="eastAsia" w:ascii="仿宋_GB2312" w:eastAsia="仿宋_GB2312"/>
          <w:b/>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1606"/>
    </w:sdtPr>
    <w:sdtContent>
      <w:p>
        <w:pPr>
          <w:pStyle w:val="3"/>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15</w:t>
        </w:r>
        <w:r>
          <w:rPr>
            <w:rFonts w:asciiTheme="minorEastAsia" w:hAnsiTheme="minorEastAsia" w:eastAsiaTheme="min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zc3YTExMjEwOTA3YWY4NzA3YjcxNDIwOTVjMTUifQ=="/>
  </w:docVars>
  <w:rsids>
    <w:rsidRoot w:val="00000000"/>
    <w:rsid w:val="04287043"/>
    <w:rsid w:val="049711E0"/>
    <w:rsid w:val="11483A7B"/>
    <w:rsid w:val="18C003A7"/>
    <w:rsid w:val="1E495C8E"/>
    <w:rsid w:val="21E012E7"/>
    <w:rsid w:val="33AD7C80"/>
    <w:rsid w:val="34B83002"/>
    <w:rsid w:val="54E63168"/>
    <w:rsid w:val="55AE4473"/>
    <w:rsid w:val="679F4002"/>
    <w:rsid w:val="721B697B"/>
    <w:rsid w:val="72BD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unhideWhenUsed/>
    <w:qFormat/>
    <w:uiPriority w:val="99"/>
    <w:pPr>
      <w:spacing w:after="120"/>
      <w:ind w:left="1440" w:leftChars="700" w:right="1440" w:rightChars="7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7">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8">
    <w:name w:val="彩色列表 - 着色 11"/>
    <w:basedOn w:val="1"/>
    <w:autoRedefine/>
    <w:qFormat/>
    <w:uiPriority w:val="34"/>
    <w:pPr>
      <w:spacing w:line="44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2023-06-18T03:01:00Z</dcterms:created>
  <dc:creator>liang'xiang</dc:creator>
  <cp:lastModifiedBy>郭家珩</cp:lastModifiedBy>
  <dcterms:modified xsi:type="dcterms:W3CDTF">2024-04-09T08:40:26Z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D716F2F0D52F4EE7A97F241F431D6705</vt:lpwstr>
  </property>
</Properties>
</file>