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6A84" w14:textId="77777777" w:rsidR="009167F4" w:rsidRDefault="00000000">
      <w:pPr>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6</w:t>
      </w:r>
    </w:p>
    <w:p w14:paraId="302B43DD" w14:textId="77777777" w:rsidR="009167F4" w:rsidRDefault="00000000">
      <w:pPr>
        <w:jc w:val="center"/>
        <w:rPr>
          <w:b/>
          <w:sz w:val="32"/>
        </w:rPr>
      </w:pPr>
      <w:r>
        <w:rPr>
          <w:rFonts w:hint="eastAsia"/>
          <w:b/>
          <w:sz w:val="32"/>
        </w:rPr>
        <w:t>市场化</w:t>
      </w:r>
      <w:proofErr w:type="gramStart"/>
      <w:r>
        <w:rPr>
          <w:b/>
          <w:sz w:val="32"/>
        </w:rPr>
        <w:t>子</w:t>
      </w:r>
      <w:r>
        <w:rPr>
          <w:rFonts w:hint="eastAsia"/>
          <w:b/>
          <w:sz w:val="32"/>
        </w:rPr>
        <w:t>基金合规</w:t>
      </w:r>
      <w:proofErr w:type="gramEnd"/>
      <w:r>
        <w:rPr>
          <w:rFonts w:hint="eastAsia"/>
          <w:b/>
          <w:sz w:val="32"/>
        </w:rPr>
        <w:t>性自查表</w:t>
      </w:r>
    </w:p>
    <w:p w14:paraId="06D73D25" w14:textId="77777777" w:rsidR="009167F4" w:rsidRDefault="00000000">
      <w:pPr>
        <w:jc w:val="left"/>
        <w:rPr>
          <w:b/>
          <w:sz w:val="24"/>
          <w:u w:val="single"/>
        </w:rPr>
      </w:pPr>
      <w:r>
        <w:rPr>
          <w:b/>
          <w:sz w:val="24"/>
          <w:u w:val="single"/>
        </w:rPr>
        <w:t>拟申报</w:t>
      </w:r>
      <w:proofErr w:type="gramStart"/>
      <w:r>
        <w:rPr>
          <w:b/>
          <w:sz w:val="24"/>
          <w:u w:val="single"/>
        </w:rPr>
        <w:t>子基金</w:t>
      </w:r>
      <w:proofErr w:type="gramEnd"/>
      <w:r>
        <w:rPr>
          <w:b/>
          <w:sz w:val="24"/>
          <w:u w:val="single"/>
        </w:rPr>
        <w:t>名称</w:t>
      </w:r>
      <w:r>
        <w:rPr>
          <w:rFonts w:hint="eastAsia"/>
          <w:b/>
          <w:sz w:val="24"/>
          <w:u w:val="single"/>
        </w:rPr>
        <w:t>：</w:t>
      </w:r>
      <w:r>
        <w:rPr>
          <w:rFonts w:hint="eastAsia"/>
          <w:b/>
          <w:sz w:val="24"/>
          <w:u w:val="single"/>
        </w:rPr>
        <w:t xml:space="preserve"> </w:t>
      </w:r>
    </w:p>
    <w:p w14:paraId="0A516F57" w14:textId="77777777" w:rsidR="009167F4" w:rsidRDefault="009167F4">
      <w:pPr>
        <w:jc w:val="left"/>
        <w:rPr>
          <w:b/>
          <w:sz w:val="24"/>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5089"/>
        <w:gridCol w:w="1024"/>
        <w:gridCol w:w="1670"/>
      </w:tblGrid>
      <w:tr w:rsidR="009167F4" w14:paraId="58ACFC15" w14:textId="77777777">
        <w:trPr>
          <w:trHeight w:val="992"/>
          <w:jc w:val="center"/>
        </w:trPr>
        <w:tc>
          <w:tcPr>
            <w:tcW w:w="6232" w:type="dxa"/>
            <w:gridSpan w:val="2"/>
            <w:shd w:val="clear" w:color="auto" w:fill="auto"/>
            <w:vAlign w:val="center"/>
          </w:tcPr>
          <w:p w14:paraId="7129073D" w14:textId="77777777" w:rsidR="009167F4" w:rsidRDefault="00000000">
            <w:pPr>
              <w:spacing w:line="276" w:lineRule="auto"/>
              <w:jc w:val="center"/>
              <w:rPr>
                <w:rFonts w:asciiTheme="minorEastAsia" w:eastAsiaTheme="minorEastAsia" w:hAnsiTheme="minorEastAsia"/>
                <w:b/>
              </w:rPr>
            </w:pPr>
            <w:r>
              <w:rPr>
                <w:rFonts w:asciiTheme="minorEastAsia" w:eastAsiaTheme="minorEastAsia" w:hAnsiTheme="minorEastAsia" w:hint="eastAsia"/>
                <w:b/>
              </w:rPr>
              <w:t>项目</w:t>
            </w:r>
          </w:p>
        </w:tc>
        <w:tc>
          <w:tcPr>
            <w:tcW w:w="1024" w:type="dxa"/>
            <w:shd w:val="clear" w:color="auto" w:fill="auto"/>
            <w:vAlign w:val="center"/>
          </w:tcPr>
          <w:p w14:paraId="4E079690" w14:textId="77777777" w:rsidR="009167F4" w:rsidRDefault="00000000">
            <w:pPr>
              <w:spacing w:line="276" w:lineRule="auto"/>
              <w:jc w:val="center"/>
              <w:rPr>
                <w:b/>
                <w:color w:val="000000"/>
              </w:rPr>
            </w:pPr>
            <w:r>
              <w:rPr>
                <w:b/>
                <w:color w:val="000000"/>
              </w:rPr>
              <w:t>是否符合</w:t>
            </w:r>
          </w:p>
        </w:tc>
        <w:tc>
          <w:tcPr>
            <w:tcW w:w="1670" w:type="dxa"/>
            <w:shd w:val="clear" w:color="auto" w:fill="auto"/>
            <w:vAlign w:val="center"/>
          </w:tcPr>
          <w:p w14:paraId="1427DF44" w14:textId="77777777" w:rsidR="009167F4" w:rsidRDefault="00000000">
            <w:pPr>
              <w:spacing w:line="276" w:lineRule="auto"/>
              <w:jc w:val="center"/>
              <w:rPr>
                <w:b/>
                <w:color w:val="000000"/>
              </w:rPr>
            </w:pPr>
            <w:r>
              <w:rPr>
                <w:b/>
                <w:color w:val="000000"/>
              </w:rPr>
              <w:t>备注</w:t>
            </w:r>
          </w:p>
        </w:tc>
      </w:tr>
      <w:tr w:rsidR="009167F4" w14:paraId="2C526D7D" w14:textId="77777777">
        <w:trPr>
          <w:trHeight w:val="168"/>
          <w:jc w:val="center"/>
        </w:trPr>
        <w:tc>
          <w:tcPr>
            <w:tcW w:w="8926" w:type="dxa"/>
            <w:gridSpan w:val="4"/>
            <w:shd w:val="clear" w:color="auto" w:fill="auto"/>
            <w:vAlign w:val="center"/>
          </w:tcPr>
          <w:p w14:paraId="7F4F9D4C" w14:textId="77777777" w:rsidR="009167F4" w:rsidRDefault="00000000">
            <w:pPr>
              <w:rPr>
                <w:rFonts w:asciiTheme="minorEastAsia" w:eastAsiaTheme="minorEastAsia" w:hAnsiTheme="minorEastAsia" w:cs="Arial"/>
                <w:b/>
                <w:color w:val="000000"/>
                <w:szCs w:val="21"/>
              </w:rPr>
            </w:pPr>
            <w:r>
              <w:rPr>
                <w:rFonts w:asciiTheme="minorEastAsia" w:eastAsiaTheme="minorEastAsia" w:hAnsiTheme="minorEastAsia" w:cs="Arial"/>
                <w:b/>
                <w:color w:val="000000"/>
                <w:szCs w:val="21"/>
              </w:rPr>
              <w:t>一</w:t>
            </w:r>
            <w:r>
              <w:rPr>
                <w:rFonts w:asciiTheme="minorEastAsia" w:eastAsiaTheme="minorEastAsia" w:hAnsiTheme="minorEastAsia" w:cs="Arial" w:hint="eastAsia"/>
                <w:b/>
                <w:color w:val="000000"/>
                <w:szCs w:val="21"/>
              </w:rPr>
              <w:t>、</w:t>
            </w:r>
            <w:r>
              <w:rPr>
                <w:rFonts w:asciiTheme="minorEastAsia" w:eastAsiaTheme="minorEastAsia" w:hAnsiTheme="minorEastAsia" w:cs="Arial"/>
                <w:b/>
                <w:color w:val="000000"/>
                <w:szCs w:val="21"/>
              </w:rPr>
              <w:t>子基金应符合以下条件</w:t>
            </w:r>
            <w:r>
              <w:rPr>
                <w:rFonts w:asciiTheme="minorEastAsia" w:eastAsiaTheme="minorEastAsia" w:hAnsiTheme="minorEastAsia" w:cs="Arial" w:hint="eastAsia"/>
                <w:b/>
                <w:color w:val="000000"/>
                <w:szCs w:val="21"/>
              </w:rPr>
              <w:t>：</w:t>
            </w:r>
          </w:p>
        </w:tc>
      </w:tr>
      <w:tr w:rsidR="009167F4" w14:paraId="1B189F82" w14:textId="77777777">
        <w:trPr>
          <w:trHeight w:val="273"/>
          <w:jc w:val="center"/>
        </w:trPr>
        <w:tc>
          <w:tcPr>
            <w:tcW w:w="1143" w:type="dxa"/>
            <w:shd w:val="clear" w:color="auto" w:fill="auto"/>
            <w:vAlign w:val="center"/>
          </w:tcPr>
          <w:p w14:paraId="713F1811"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注册地</w:t>
            </w:r>
          </w:p>
        </w:tc>
        <w:tc>
          <w:tcPr>
            <w:tcW w:w="5089" w:type="dxa"/>
            <w:shd w:val="clear" w:color="auto" w:fill="auto"/>
            <w:vAlign w:val="center"/>
          </w:tcPr>
          <w:p w14:paraId="1C8B4534"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宝安区</w:t>
            </w:r>
          </w:p>
        </w:tc>
        <w:tc>
          <w:tcPr>
            <w:tcW w:w="1024" w:type="dxa"/>
            <w:shd w:val="clear" w:color="auto" w:fill="auto"/>
            <w:vAlign w:val="center"/>
          </w:tcPr>
          <w:p w14:paraId="25EAADA4" w14:textId="77777777" w:rsidR="009167F4" w:rsidRDefault="009167F4">
            <w:pPr>
              <w:jc w:val="center"/>
              <w:rPr>
                <w:rFonts w:cs="Arial"/>
                <w:b/>
                <w:color w:val="000000"/>
                <w:szCs w:val="21"/>
              </w:rPr>
            </w:pPr>
          </w:p>
        </w:tc>
        <w:tc>
          <w:tcPr>
            <w:tcW w:w="1670" w:type="dxa"/>
            <w:shd w:val="clear" w:color="auto" w:fill="auto"/>
            <w:vAlign w:val="center"/>
          </w:tcPr>
          <w:p w14:paraId="37142693" w14:textId="77777777" w:rsidR="009167F4" w:rsidRDefault="009167F4">
            <w:pPr>
              <w:rPr>
                <w:rFonts w:cs="Arial"/>
                <w:b/>
                <w:color w:val="000000"/>
                <w:szCs w:val="21"/>
              </w:rPr>
            </w:pPr>
          </w:p>
        </w:tc>
      </w:tr>
      <w:tr w:rsidR="009167F4" w14:paraId="0A28D70E" w14:textId="77777777">
        <w:trPr>
          <w:trHeight w:val="273"/>
          <w:jc w:val="center"/>
        </w:trPr>
        <w:tc>
          <w:tcPr>
            <w:tcW w:w="1143" w:type="dxa"/>
            <w:shd w:val="clear" w:color="auto" w:fill="auto"/>
            <w:vAlign w:val="center"/>
          </w:tcPr>
          <w:p w14:paraId="1AAC0A5B"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基金类型</w:t>
            </w:r>
          </w:p>
        </w:tc>
        <w:tc>
          <w:tcPr>
            <w:tcW w:w="5089" w:type="dxa"/>
            <w:shd w:val="clear" w:color="auto" w:fill="auto"/>
            <w:vAlign w:val="center"/>
          </w:tcPr>
          <w:p w14:paraId="55160D83"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产业类/母基金</w:t>
            </w:r>
          </w:p>
        </w:tc>
        <w:tc>
          <w:tcPr>
            <w:tcW w:w="1024" w:type="dxa"/>
            <w:shd w:val="clear" w:color="auto" w:fill="auto"/>
            <w:vAlign w:val="center"/>
          </w:tcPr>
          <w:p w14:paraId="4A114D3B" w14:textId="77777777" w:rsidR="009167F4" w:rsidRDefault="009167F4">
            <w:pPr>
              <w:jc w:val="center"/>
              <w:rPr>
                <w:rFonts w:cs="Arial"/>
                <w:b/>
                <w:color w:val="000000"/>
                <w:szCs w:val="21"/>
              </w:rPr>
            </w:pPr>
          </w:p>
        </w:tc>
        <w:tc>
          <w:tcPr>
            <w:tcW w:w="1670" w:type="dxa"/>
            <w:shd w:val="clear" w:color="auto" w:fill="auto"/>
            <w:vAlign w:val="center"/>
          </w:tcPr>
          <w:p w14:paraId="14CCA6D4" w14:textId="77777777" w:rsidR="009167F4" w:rsidRDefault="009167F4">
            <w:pPr>
              <w:rPr>
                <w:rFonts w:cs="Arial"/>
                <w:b/>
                <w:color w:val="000000"/>
                <w:szCs w:val="21"/>
              </w:rPr>
            </w:pPr>
          </w:p>
        </w:tc>
      </w:tr>
      <w:tr w:rsidR="009167F4" w14:paraId="1ECC01FB" w14:textId="77777777">
        <w:trPr>
          <w:trHeight w:val="168"/>
          <w:jc w:val="center"/>
        </w:trPr>
        <w:tc>
          <w:tcPr>
            <w:tcW w:w="1143" w:type="dxa"/>
            <w:shd w:val="clear" w:color="auto" w:fill="auto"/>
            <w:vAlign w:val="center"/>
          </w:tcPr>
          <w:p w14:paraId="5BCEE4DD"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基金规模</w:t>
            </w:r>
          </w:p>
        </w:tc>
        <w:tc>
          <w:tcPr>
            <w:tcW w:w="5089" w:type="dxa"/>
            <w:shd w:val="clear" w:color="auto" w:fill="auto"/>
            <w:vAlign w:val="center"/>
          </w:tcPr>
          <w:p w14:paraId="2B2ED5A4" w14:textId="591B68EB" w:rsidR="009167F4" w:rsidRDefault="00000000">
            <w:pPr>
              <w:spacing w:line="276" w:lineRule="auto"/>
              <w:rPr>
                <w:rFonts w:asciiTheme="minorEastAsia" w:eastAsiaTheme="minorEastAsia" w:hAnsiTheme="minorEastAsia"/>
                <w:szCs w:val="21"/>
              </w:rPr>
            </w:pPr>
            <w:r>
              <w:rPr>
                <w:rFonts w:asciiTheme="minorEastAsia" w:eastAsiaTheme="minorEastAsia" w:hAnsiTheme="minorEastAsia" w:hint="eastAsia"/>
              </w:rPr>
              <w:t>产业类基金</w:t>
            </w:r>
            <w:r>
              <w:rPr>
                <w:rFonts w:asciiTheme="minorEastAsia" w:eastAsiaTheme="minorEastAsia" w:hAnsiTheme="minorEastAsia" w:hint="eastAsia"/>
                <w:szCs w:val="21"/>
              </w:rPr>
              <w:t>规模原则上不</w:t>
            </w:r>
            <w:r w:rsidR="004F61BE">
              <w:rPr>
                <w:rFonts w:asciiTheme="minorEastAsia" w:eastAsiaTheme="minorEastAsia" w:hAnsiTheme="minorEastAsia" w:hint="eastAsia"/>
                <w:szCs w:val="21"/>
              </w:rPr>
              <w:t>少于</w:t>
            </w:r>
            <w:r>
              <w:rPr>
                <w:rFonts w:asciiTheme="minorEastAsia" w:eastAsiaTheme="minorEastAsia" w:hAnsiTheme="minorEastAsia" w:hint="eastAsia"/>
                <w:szCs w:val="21"/>
              </w:rPr>
              <w:t>5000万元人民币，母基金规模原则上不</w:t>
            </w:r>
            <w:r w:rsidR="004F61BE">
              <w:rPr>
                <w:rFonts w:asciiTheme="minorEastAsia" w:eastAsiaTheme="minorEastAsia" w:hAnsiTheme="minorEastAsia" w:hint="eastAsia"/>
                <w:szCs w:val="21"/>
              </w:rPr>
              <w:t>少于</w:t>
            </w:r>
            <w:r>
              <w:rPr>
                <w:rFonts w:asciiTheme="minorEastAsia" w:eastAsiaTheme="minorEastAsia" w:hAnsiTheme="minorEastAsia" w:hint="eastAsia"/>
                <w:szCs w:val="21"/>
              </w:rPr>
              <w:t>30亿元人民币。</w:t>
            </w:r>
          </w:p>
        </w:tc>
        <w:tc>
          <w:tcPr>
            <w:tcW w:w="1024" w:type="dxa"/>
            <w:shd w:val="clear" w:color="auto" w:fill="auto"/>
            <w:vAlign w:val="center"/>
          </w:tcPr>
          <w:p w14:paraId="3EC6C8DF" w14:textId="77777777" w:rsidR="009167F4" w:rsidRDefault="009167F4">
            <w:pPr>
              <w:jc w:val="center"/>
              <w:rPr>
                <w:rFonts w:cs="Arial"/>
                <w:b/>
                <w:color w:val="000000"/>
                <w:szCs w:val="21"/>
              </w:rPr>
            </w:pPr>
          </w:p>
        </w:tc>
        <w:tc>
          <w:tcPr>
            <w:tcW w:w="1670" w:type="dxa"/>
            <w:shd w:val="clear" w:color="auto" w:fill="auto"/>
            <w:vAlign w:val="center"/>
          </w:tcPr>
          <w:p w14:paraId="6B14FA1C" w14:textId="77777777" w:rsidR="009167F4" w:rsidRDefault="009167F4">
            <w:pPr>
              <w:rPr>
                <w:rFonts w:cs="Arial"/>
                <w:b/>
                <w:color w:val="000000"/>
                <w:szCs w:val="21"/>
              </w:rPr>
            </w:pPr>
          </w:p>
        </w:tc>
      </w:tr>
      <w:tr w:rsidR="009167F4" w14:paraId="068DDC31" w14:textId="77777777">
        <w:trPr>
          <w:trHeight w:val="168"/>
          <w:jc w:val="center"/>
        </w:trPr>
        <w:tc>
          <w:tcPr>
            <w:tcW w:w="1143" w:type="dxa"/>
            <w:shd w:val="clear" w:color="auto" w:fill="auto"/>
            <w:vAlign w:val="center"/>
          </w:tcPr>
          <w:p w14:paraId="1374ACC3"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存续期限</w:t>
            </w:r>
          </w:p>
        </w:tc>
        <w:tc>
          <w:tcPr>
            <w:tcW w:w="5089" w:type="dxa"/>
            <w:shd w:val="clear" w:color="auto" w:fill="auto"/>
            <w:vAlign w:val="center"/>
          </w:tcPr>
          <w:p w14:paraId="7E147F9D" w14:textId="77777777" w:rsidR="009167F4" w:rsidRDefault="00000000">
            <w:pPr>
              <w:spacing w:line="276" w:lineRule="auto"/>
              <w:rPr>
                <w:rFonts w:asciiTheme="minorEastAsia" w:eastAsiaTheme="minorEastAsia" w:hAnsiTheme="minorEastAsia"/>
                <w:szCs w:val="21"/>
              </w:rPr>
            </w:pPr>
            <w:r>
              <w:rPr>
                <w:rFonts w:asciiTheme="minorEastAsia" w:eastAsiaTheme="minorEastAsia" w:hAnsiTheme="minorEastAsia" w:hint="eastAsia"/>
              </w:rPr>
              <w:t>产业类基金</w:t>
            </w:r>
            <w:r>
              <w:rPr>
                <w:rFonts w:asciiTheme="minorEastAsia" w:eastAsiaTheme="minorEastAsia" w:hAnsiTheme="minorEastAsia" w:hint="eastAsia"/>
                <w:szCs w:val="21"/>
              </w:rPr>
              <w:t>存续期限原则上不超过10年，</w:t>
            </w:r>
            <w:proofErr w:type="gramStart"/>
            <w:r>
              <w:rPr>
                <w:rFonts w:asciiTheme="minorEastAsia" w:eastAsiaTheme="minorEastAsia" w:hAnsiTheme="minorEastAsia" w:hint="eastAsia"/>
                <w:szCs w:val="21"/>
              </w:rPr>
              <w:t>母基金</w:t>
            </w:r>
            <w:proofErr w:type="gramEnd"/>
            <w:r>
              <w:rPr>
                <w:rFonts w:asciiTheme="minorEastAsia" w:eastAsiaTheme="minorEastAsia" w:hAnsiTheme="minorEastAsia" w:hint="eastAsia"/>
                <w:szCs w:val="21"/>
              </w:rPr>
              <w:t>存续期不超过15年。</w:t>
            </w:r>
          </w:p>
        </w:tc>
        <w:tc>
          <w:tcPr>
            <w:tcW w:w="1024" w:type="dxa"/>
            <w:shd w:val="clear" w:color="auto" w:fill="auto"/>
            <w:vAlign w:val="center"/>
          </w:tcPr>
          <w:p w14:paraId="7370B4E0" w14:textId="77777777" w:rsidR="009167F4" w:rsidRDefault="009167F4">
            <w:pPr>
              <w:jc w:val="center"/>
              <w:rPr>
                <w:rFonts w:cs="Arial"/>
                <w:b/>
                <w:color w:val="000000"/>
                <w:szCs w:val="21"/>
              </w:rPr>
            </w:pPr>
          </w:p>
        </w:tc>
        <w:tc>
          <w:tcPr>
            <w:tcW w:w="1670" w:type="dxa"/>
            <w:shd w:val="clear" w:color="auto" w:fill="auto"/>
            <w:vAlign w:val="center"/>
          </w:tcPr>
          <w:p w14:paraId="45D7E58B" w14:textId="77777777" w:rsidR="009167F4" w:rsidRDefault="009167F4">
            <w:pPr>
              <w:rPr>
                <w:rFonts w:cs="Arial"/>
                <w:b/>
                <w:color w:val="000000"/>
                <w:szCs w:val="21"/>
              </w:rPr>
            </w:pPr>
          </w:p>
        </w:tc>
      </w:tr>
      <w:tr w:rsidR="009167F4" w14:paraId="6069A54A" w14:textId="77777777">
        <w:trPr>
          <w:trHeight w:val="168"/>
          <w:jc w:val="center"/>
        </w:trPr>
        <w:tc>
          <w:tcPr>
            <w:tcW w:w="1143" w:type="dxa"/>
            <w:shd w:val="clear" w:color="auto" w:fill="auto"/>
            <w:vAlign w:val="center"/>
          </w:tcPr>
          <w:p w14:paraId="0B44FD59"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管理费用</w:t>
            </w:r>
          </w:p>
        </w:tc>
        <w:tc>
          <w:tcPr>
            <w:tcW w:w="5089" w:type="dxa"/>
            <w:shd w:val="clear" w:color="auto" w:fill="auto"/>
            <w:vAlign w:val="center"/>
          </w:tcPr>
          <w:p w14:paraId="70B805FD" w14:textId="77777777" w:rsidR="009167F4" w:rsidRDefault="00000000">
            <w:pPr>
              <w:spacing w:line="276" w:lineRule="auto"/>
              <w:rPr>
                <w:rFonts w:asciiTheme="minorEastAsia" w:eastAsiaTheme="minorEastAsia" w:hAnsiTheme="minorEastAsia"/>
              </w:rPr>
            </w:pPr>
            <w:bookmarkStart w:id="0" w:name="_Hlk853921"/>
            <w:r>
              <w:rPr>
                <w:rFonts w:asciiTheme="minorEastAsia" w:eastAsiaTheme="minorEastAsia" w:hAnsiTheme="minorEastAsia" w:hint="eastAsia"/>
              </w:rPr>
              <w:t>参照市场惯例，产业类基金实际费率每年最高不超过3%，</w:t>
            </w:r>
            <w:proofErr w:type="gramStart"/>
            <w:r>
              <w:rPr>
                <w:rFonts w:asciiTheme="minorEastAsia" w:eastAsiaTheme="minorEastAsia" w:hAnsiTheme="minorEastAsia" w:hint="eastAsia"/>
              </w:rPr>
              <w:t>母基金</w:t>
            </w:r>
            <w:proofErr w:type="gramEnd"/>
            <w:r>
              <w:rPr>
                <w:rFonts w:asciiTheme="minorEastAsia" w:eastAsiaTheme="minorEastAsia" w:hAnsiTheme="minorEastAsia" w:hint="eastAsia"/>
              </w:rPr>
              <w:t>实际费率每年最高不超过2.5%，且对宝安区引导基金征收管理费的标准不得高于其他出资人。</w:t>
            </w:r>
            <w:bookmarkEnd w:id="0"/>
          </w:p>
        </w:tc>
        <w:tc>
          <w:tcPr>
            <w:tcW w:w="1024" w:type="dxa"/>
            <w:shd w:val="clear" w:color="auto" w:fill="auto"/>
            <w:vAlign w:val="center"/>
          </w:tcPr>
          <w:p w14:paraId="5ECA9FC3" w14:textId="77777777" w:rsidR="009167F4" w:rsidRDefault="009167F4">
            <w:pPr>
              <w:jc w:val="center"/>
              <w:rPr>
                <w:rFonts w:cs="Arial"/>
                <w:b/>
                <w:color w:val="000000"/>
                <w:szCs w:val="21"/>
              </w:rPr>
            </w:pPr>
          </w:p>
        </w:tc>
        <w:tc>
          <w:tcPr>
            <w:tcW w:w="1670" w:type="dxa"/>
            <w:shd w:val="clear" w:color="auto" w:fill="auto"/>
            <w:vAlign w:val="center"/>
          </w:tcPr>
          <w:p w14:paraId="1E5FE890" w14:textId="77777777" w:rsidR="009167F4" w:rsidRDefault="009167F4">
            <w:pPr>
              <w:rPr>
                <w:rFonts w:cs="Arial"/>
                <w:b/>
                <w:color w:val="000000"/>
                <w:szCs w:val="21"/>
              </w:rPr>
            </w:pPr>
          </w:p>
        </w:tc>
      </w:tr>
      <w:tr w:rsidR="009167F4" w14:paraId="549F6D29" w14:textId="77777777">
        <w:trPr>
          <w:trHeight w:val="1794"/>
          <w:jc w:val="center"/>
        </w:trPr>
        <w:tc>
          <w:tcPr>
            <w:tcW w:w="1143" w:type="dxa"/>
            <w:vMerge w:val="restart"/>
            <w:shd w:val="clear" w:color="auto" w:fill="auto"/>
            <w:vAlign w:val="center"/>
          </w:tcPr>
          <w:p w14:paraId="4FF704F0"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投资比例</w:t>
            </w:r>
          </w:p>
        </w:tc>
        <w:tc>
          <w:tcPr>
            <w:tcW w:w="5089" w:type="dxa"/>
            <w:shd w:val="clear" w:color="auto" w:fill="auto"/>
            <w:vAlign w:val="center"/>
          </w:tcPr>
          <w:p w14:paraId="52854B18" w14:textId="77777777" w:rsidR="009167F4" w:rsidRDefault="000000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产业类基金投资于宝安区注册登记企业的投资金额不低于宝安区引导基金出资额的1.5倍，</w:t>
            </w:r>
            <w:proofErr w:type="gramStart"/>
            <w:r>
              <w:rPr>
                <w:rFonts w:asciiTheme="minorEastAsia" w:eastAsiaTheme="minorEastAsia" w:hAnsiTheme="minorEastAsia" w:hint="eastAsia"/>
                <w:szCs w:val="21"/>
              </w:rPr>
              <w:t>母基金</w:t>
            </w:r>
            <w:proofErr w:type="gramEnd"/>
            <w:r>
              <w:rPr>
                <w:rFonts w:asciiTheme="minorEastAsia" w:eastAsiaTheme="minorEastAsia" w:hAnsiTheme="minorEastAsia" w:hint="eastAsia"/>
                <w:szCs w:val="21"/>
              </w:rPr>
              <w:t>直接和通过其所投资的</w:t>
            </w:r>
            <w:proofErr w:type="gramStart"/>
            <w:r>
              <w:rPr>
                <w:rFonts w:asciiTheme="minorEastAsia" w:eastAsiaTheme="minorEastAsia" w:hAnsiTheme="minorEastAsia" w:hint="eastAsia"/>
                <w:szCs w:val="21"/>
              </w:rPr>
              <w:t>子基金</w:t>
            </w:r>
            <w:proofErr w:type="gramEnd"/>
            <w:r>
              <w:rPr>
                <w:rFonts w:asciiTheme="minorEastAsia" w:eastAsiaTheme="minorEastAsia" w:hAnsiTheme="minorEastAsia" w:hint="eastAsia"/>
                <w:szCs w:val="21"/>
              </w:rPr>
              <w:t>间接投资于宝安区注册登记企业的投资金额不低于宝安区引导基金出资额的1.5倍。</w:t>
            </w:r>
          </w:p>
        </w:tc>
        <w:tc>
          <w:tcPr>
            <w:tcW w:w="1024" w:type="dxa"/>
            <w:shd w:val="clear" w:color="auto" w:fill="auto"/>
            <w:vAlign w:val="center"/>
          </w:tcPr>
          <w:p w14:paraId="5E9EC4BD" w14:textId="77777777" w:rsidR="009167F4" w:rsidRDefault="009167F4">
            <w:pPr>
              <w:spacing w:line="276" w:lineRule="auto"/>
              <w:jc w:val="center"/>
              <w:rPr>
                <w:szCs w:val="21"/>
              </w:rPr>
            </w:pPr>
          </w:p>
        </w:tc>
        <w:tc>
          <w:tcPr>
            <w:tcW w:w="1670" w:type="dxa"/>
            <w:shd w:val="clear" w:color="auto" w:fill="auto"/>
            <w:vAlign w:val="center"/>
          </w:tcPr>
          <w:p w14:paraId="0BEE6B84" w14:textId="77777777" w:rsidR="009167F4" w:rsidRDefault="009167F4">
            <w:pPr>
              <w:pStyle w:val="a9"/>
              <w:spacing w:line="276" w:lineRule="auto"/>
              <w:ind w:left="360" w:firstLineChars="0" w:firstLine="0"/>
              <w:rPr>
                <w:szCs w:val="21"/>
              </w:rPr>
            </w:pPr>
          </w:p>
        </w:tc>
      </w:tr>
      <w:tr w:rsidR="009167F4" w14:paraId="575F43BF" w14:textId="77777777">
        <w:trPr>
          <w:trHeight w:val="168"/>
          <w:jc w:val="center"/>
        </w:trPr>
        <w:tc>
          <w:tcPr>
            <w:tcW w:w="1143" w:type="dxa"/>
            <w:vMerge/>
            <w:shd w:val="clear" w:color="auto" w:fill="auto"/>
            <w:vAlign w:val="center"/>
          </w:tcPr>
          <w:p w14:paraId="032B9F4E"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3B8B2BE8"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除为投资单一项目而设立的基金外，产业类基金及</w:t>
            </w:r>
            <w:proofErr w:type="gramStart"/>
            <w:r>
              <w:rPr>
                <w:rFonts w:asciiTheme="minorEastAsia" w:eastAsiaTheme="minorEastAsia" w:hAnsiTheme="minorEastAsia" w:hint="eastAsia"/>
              </w:rPr>
              <w:t>母基金</w:t>
            </w:r>
            <w:proofErr w:type="gramEnd"/>
            <w:r>
              <w:rPr>
                <w:rFonts w:asciiTheme="minorEastAsia" w:eastAsiaTheme="minorEastAsia" w:hAnsiTheme="minorEastAsia" w:hint="eastAsia"/>
              </w:rPr>
              <w:t>对单个项目的投资额不超过</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总规模的20%。</w:t>
            </w:r>
          </w:p>
        </w:tc>
        <w:tc>
          <w:tcPr>
            <w:tcW w:w="1024" w:type="dxa"/>
            <w:shd w:val="clear" w:color="auto" w:fill="auto"/>
            <w:vAlign w:val="center"/>
          </w:tcPr>
          <w:p w14:paraId="65204271" w14:textId="77777777" w:rsidR="009167F4" w:rsidRDefault="009167F4">
            <w:pPr>
              <w:spacing w:line="276" w:lineRule="auto"/>
              <w:jc w:val="center"/>
              <w:rPr>
                <w:szCs w:val="21"/>
              </w:rPr>
            </w:pPr>
          </w:p>
        </w:tc>
        <w:tc>
          <w:tcPr>
            <w:tcW w:w="1670" w:type="dxa"/>
            <w:shd w:val="clear" w:color="auto" w:fill="auto"/>
            <w:vAlign w:val="center"/>
          </w:tcPr>
          <w:p w14:paraId="21A1CDC2" w14:textId="77777777" w:rsidR="009167F4" w:rsidRDefault="009167F4">
            <w:pPr>
              <w:spacing w:line="276" w:lineRule="auto"/>
              <w:rPr>
                <w:szCs w:val="21"/>
              </w:rPr>
            </w:pPr>
          </w:p>
        </w:tc>
      </w:tr>
      <w:tr w:rsidR="009167F4" w14:paraId="787390CC" w14:textId="77777777">
        <w:trPr>
          <w:trHeight w:val="168"/>
          <w:jc w:val="center"/>
        </w:trPr>
        <w:tc>
          <w:tcPr>
            <w:tcW w:w="1143" w:type="dxa"/>
            <w:shd w:val="clear" w:color="auto" w:fill="auto"/>
            <w:vAlign w:val="center"/>
          </w:tcPr>
          <w:p w14:paraId="7CB6E008"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出资比例</w:t>
            </w:r>
          </w:p>
        </w:tc>
        <w:tc>
          <w:tcPr>
            <w:tcW w:w="5089" w:type="dxa"/>
            <w:shd w:val="clear" w:color="auto" w:fill="auto"/>
            <w:vAlign w:val="center"/>
          </w:tcPr>
          <w:p w14:paraId="0EBD9775" w14:textId="77777777" w:rsidR="009167F4" w:rsidRDefault="0000000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产业类基金向宝安区引导基金申请的出资比例原则上不超过该基金实缴出资总额的30%，</w:t>
            </w:r>
            <w:proofErr w:type="gramStart"/>
            <w:r>
              <w:rPr>
                <w:rFonts w:asciiTheme="minorEastAsia" w:eastAsiaTheme="minorEastAsia" w:hAnsiTheme="minorEastAsia" w:hint="eastAsia"/>
                <w:szCs w:val="21"/>
              </w:rPr>
              <w:t>母基金</w:t>
            </w:r>
            <w:proofErr w:type="gramEnd"/>
            <w:r>
              <w:rPr>
                <w:rFonts w:asciiTheme="minorEastAsia" w:eastAsiaTheme="minorEastAsia" w:hAnsiTheme="minorEastAsia" w:hint="eastAsia"/>
                <w:szCs w:val="21"/>
              </w:rPr>
              <w:t>向宝安区引导基金申请的出资比例不超过</w:t>
            </w:r>
            <w:proofErr w:type="gramStart"/>
            <w:r>
              <w:rPr>
                <w:rFonts w:asciiTheme="minorEastAsia" w:eastAsiaTheme="minorEastAsia" w:hAnsiTheme="minorEastAsia" w:hint="eastAsia"/>
                <w:szCs w:val="21"/>
              </w:rPr>
              <w:t>该母基金</w:t>
            </w:r>
            <w:proofErr w:type="gramEnd"/>
            <w:r>
              <w:rPr>
                <w:rFonts w:asciiTheme="minorEastAsia" w:eastAsiaTheme="minorEastAsia" w:hAnsiTheme="minorEastAsia" w:hint="eastAsia"/>
                <w:szCs w:val="21"/>
              </w:rPr>
              <w:t>认缴出资总额的10%。</w:t>
            </w:r>
          </w:p>
        </w:tc>
        <w:tc>
          <w:tcPr>
            <w:tcW w:w="1024" w:type="dxa"/>
            <w:shd w:val="clear" w:color="auto" w:fill="auto"/>
            <w:vAlign w:val="center"/>
          </w:tcPr>
          <w:p w14:paraId="1A68236C" w14:textId="77777777" w:rsidR="009167F4" w:rsidRDefault="009167F4">
            <w:pPr>
              <w:spacing w:line="276" w:lineRule="auto"/>
              <w:jc w:val="center"/>
              <w:rPr>
                <w:rFonts w:ascii="宋体" w:hAnsi="宋体"/>
                <w:color w:val="000000"/>
                <w:szCs w:val="21"/>
              </w:rPr>
            </w:pPr>
          </w:p>
        </w:tc>
        <w:tc>
          <w:tcPr>
            <w:tcW w:w="1670" w:type="dxa"/>
            <w:shd w:val="clear" w:color="auto" w:fill="auto"/>
            <w:vAlign w:val="center"/>
          </w:tcPr>
          <w:p w14:paraId="28239764" w14:textId="77777777" w:rsidR="009167F4" w:rsidRDefault="009167F4">
            <w:pPr>
              <w:spacing w:line="276" w:lineRule="auto"/>
              <w:rPr>
                <w:rFonts w:ascii="宋体" w:hAnsi="宋体"/>
                <w:color w:val="000000"/>
                <w:szCs w:val="21"/>
              </w:rPr>
            </w:pPr>
          </w:p>
        </w:tc>
      </w:tr>
      <w:tr w:rsidR="009167F4" w14:paraId="06D446A4" w14:textId="77777777">
        <w:trPr>
          <w:trHeight w:val="168"/>
          <w:jc w:val="center"/>
        </w:trPr>
        <w:tc>
          <w:tcPr>
            <w:tcW w:w="1143" w:type="dxa"/>
            <w:shd w:val="clear" w:color="auto" w:fill="auto"/>
            <w:vAlign w:val="center"/>
          </w:tcPr>
          <w:p w14:paraId="0486C82A"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出资条件</w:t>
            </w:r>
          </w:p>
        </w:tc>
        <w:tc>
          <w:tcPr>
            <w:tcW w:w="5089" w:type="dxa"/>
            <w:shd w:val="clear" w:color="auto" w:fill="auto"/>
            <w:vAlign w:val="center"/>
          </w:tcPr>
          <w:p w14:paraId="41B9B605"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当期出资款总额的60%到位后，宝安区引导基金可按基金合同、合伙协议约定或公司章程规定出资。</w:t>
            </w:r>
          </w:p>
        </w:tc>
        <w:tc>
          <w:tcPr>
            <w:tcW w:w="1024" w:type="dxa"/>
            <w:shd w:val="clear" w:color="auto" w:fill="auto"/>
            <w:vAlign w:val="center"/>
          </w:tcPr>
          <w:p w14:paraId="0C88B197" w14:textId="77777777" w:rsidR="009167F4" w:rsidRDefault="009167F4">
            <w:pPr>
              <w:spacing w:line="276" w:lineRule="auto"/>
              <w:jc w:val="center"/>
              <w:rPr>
                <w:rFonts w:ascii="宋体" w:hAnsi="宋体"/>
                <w:color w:val="000000"/>
                <w:szCs w:val="21"/>
              </w:rPr>
            </w:pPr>
          </w:p>
        </w:tc>
        <w:tc>
          <w:tcPr>
            <w:tcW w:w="1670" w:type="dxa"/>
            <w:shd w:val="clear" w:color="auto" w:fill="auto"/>
            <w:vAlign w:val="center"/>
          </w:tcPr>
          <w:p w14:paraId="7311A42D" w14:textId="77777777" w:rsidR="009167F4" w:rsidRDefault="009167F4">
            <w:pPr>
              <w:spacing w:line="276" w:lineRule="auto"/>
              <w:rPr>
                <w:rFonts w:ascii="宋体" w:hAnsi="宋体"/>
                <w:color w:val="000000"/>
                <w:szCs w:val="21"/>
              </w:rPr>
            </w:pPr>
          </w:p>
        </w:tc>
      </w:tr>
      <w:tr w:rsidR="009167F4" w14:paraId="0DDE5F6B" w14:textId="77777777">
        <w:trPr>
          <w:trHeight w:val="168"/>
          <w:jc w:val="center"/>
        </w:trPr>
        <w:tc>
          <w:tcPr>
            <w:tcW w:w="1143" w:type="dxa"/>
            <w:shd w:val="clear" w:color="auto" w:fill="auto"/>
            <w:vAlign w:val="center"/>
          </w:tcPr>
          <w:p w14:paraId="18A6B176"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收益分配</w:t>
            </w:r>
          </w:p>
        </w:tc>
        <w:tc>
          <w:tcPr>
            <w:tcW w:w="5089" w:type="dxa"/>
            <w:shd w:val="clear" w:color="auto" w:fill="auto"/>
            <w:vAlign w:val="center"/>
          </w:tcPr>
          <w:p w14:paraId="4DF2B1F7" w14:textId="77777777" w:rsidR="009167F4" w:rsidRDefault="00000000">
            <w:pPr>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子基金</w:t>
            </w:r>
            <w:proofErr w:type="gramEnd"/>
            <w:r>
              <w:rPr>
                <w:rFonts w:asciiTheme="minorEastAsia" w:eastAsiaTheme="minorEastAsia" w:hAnsiTheme="minorEastAsia" w:hint="eastAsia"/>
                <w:szCs w:val="21"/>
              </w:rPr>
              <w:t>退出期内，投资回收资金不得再用于对外投资，并在约定条件及时间内分配、收回资金。收益分配优先采用“整体先回本后分利”方式，按具体项目进行收益分配时，</w:t>
            </w:r>
            <w:proofErr w:type="gramStart"/>
            <w:r>
              <w:rPr>
                <w:rFonts w:asciiTheme="minorEastAsia" w:eastAsiaTheme="minorEastAsia" w:hAnsiTheme="minorEastAsia" w:hint="eastAsia"/>
                <w:szCs w:val="21"/>
              </w:rPr>
              <w:t>子基金</w:t>
            </w:r>
            <w:proofErr w:type="gramEnd"/>
            <w:r>
              <w:rPr>
                <w:rFonts w:asciiTheme="minorEastAsia" w:eastAsiaTheme="minorEastAsia" w:hAnsiTheme="minorEastAsia" w:hint="eastAsia"/>
                <w:szCs w:val="21"/>
              </w:rPr>
              <w:t>管理机构收取的收益分成应当设置相应的“钩回机制”。</w:t>
            </w:r>
          </w:p>
        </w:tc>
        <w:tc>
          <w:tcPr>
            <w:tcW w:w="1024" w:type="dxa"/>
            <w:shd w:val="clear" w:color="auto" w:fill="auto"/>
            <w:vAlign w:val="center"/>
          </w:tcPr>
          <w:p w14:paraId="72A2301D" w14:textId="77777777" w:rsidR="009167F4" w:rsidRDefault="009167F4">
            <w:pPr>
              <w:spacing w:line="276" w:lineRule="auto"/>
              <w:jc w:val="center"/>
              <w:rPr>
                <w:rFonts w:ascii="宋体" w:hAnsi="宋体"/>
                <w:color w:val="000000"/>
                <w:szCs w:val="21"/>
              </w:rPr>
            </w:pPr>
          </w:p>
        </w:tc>
        <w:tc>
          <w:tcPr>
            <w:tcW w:w="1670" w:type="dxa"/>
            <w:shd w:val="clear" w:color="auto" w:fill="auto"/>
            <w:vAlign w:val="center"/>
          </w:tcPr>
          <w:p w14:paraId="531CAB24" w14:textId="77777777" w:rsidR="009167F4" w:rsidRDefault="009167F4">
            <w:pPr>
              <w:spacing w:line="276" w:lineRule="auto"/>
              <w:rPr>
                <w:rFonts w:ascii="宋体" w:hAnsi="宋体"/>
                <w:color w:val="000000"/>
                <w:szCs w:val="21"/>
              </w:rPr>
            </w:pPr>
          </w:p>
        </w:tc>
      </w:tr>
      <w:tr w:rsidR="009167F4" w14:paraId="29E8B5B2" w14:textId="77777777">
        <w:trPr>
          <w:trHeight w:val="168"/>
          <w:jc w:val="center"/>
        </w:trPr>
        <w:tc>
          <w:tcPr>
            <w:tcW w:w="1143" w:type="dxa"/>
            <w:shd w:val="clear" w:color="auto" w:fill="auto"/>
            <w:vAlign w:val="center"/>
          </w:tcPr>
          <w:p w14:paraId="26FF4F75"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亏损承担</w:t>
            </w:r>
          </w:p>
        </w:tc>
        <w:tc>
          <w:tcPr>
            <w:tcW w:w="5089" w:type="dxa"/>
            <w:shd w:val="clear" w:color="auto" w:fill="auto"/>
            <w:vAlign w:val="center"/>
          </w:tcPr>
          <w:p w14:paraId="2B980F33" w14:textId="77777777" w:rsidR="009167F4" w:rsidRDefault="00000000">
            <w:pPr>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子基金</w:t>
            </w:r>
            <w:proofErr w:type="gramEnd"/>
            <w:r>
              <w:rPr>
                <w:rFonts w:asciiTheme="minorEastAsia" w:eastAsiaTheme="minorEastAsia" w:hAnsiTheme="minorEastAsia" w:hint="eastAsia"/>
                <w:szCs w:val="21"/>
              </w:rPr>
              <w:t>清算出现亏损时，应按基金合同、合伙协议约定或公司章程规定的比例由子基金管理机构和各出资</w:t>
            </w:r>
            <w:r>
              <w:rPr>
                <w:rFonts w:asciiTheme="minorEastAsia" w:eastAsiaTheme="minorEastAsia" w:hAnsiTheme="minorEastAsia" w:hint="eastAsia"/>
                <w:szCs w:val="21"/>
              </w:rPr>
              <w:lastRenderedPageBreak/>
              <w:t>人分别承担，宝安区引导基金以出资额为限承担有限责任。</w:t>
            </w:r>
          </w:p>
        </w:tc>
        <w:tc>
          <w:tcPr>
            <w:tcW w:w="1024" w:type="dxa"/>
            <w:shd w:val="clear" w:color="auto" w:fill="auto"/>
            <w:vAlign w:val="center"/>
          </w:tcPr>
          <w:p w14:paraId="038BED40" w14:textId="77777777" w:rsidR="009167F4" w:rsidRDefault="009167F4">
            <w:pPr>
              <w:spacing w:line="276" w:lineRule="auto"/>
              <w:jc w:val="center"/>
              <w:rPr>
                <w:rFonts w:ascii="宋体" w:hAnsi="宋体"/>
                <w:color w:val="000000"/>
                <w:szCs w:val="21"/>
              </w:rPr>
            </w:pPr>
          </w:p>
        </w:tc>
        <w:tc>
          <w:tcPr>
            <w:tcW w:w="1670" w:type="dxa"/>
            <w:shd w:val="clear" w:color="auto" w:fill="auto"/>
            <w:vAlign w:val="center"/>
          </w:tcPr>
          <w:p w14:paraId="2A195BEF" w14:textId="77777777" w:rsidR="009167F4" w:rsidRDefault="009167F4">
            <w:pPr>
              <w:spacing w:line="276" w:lineRule="auto"/>
              <w:rPr>
                <w:rFonts w:ascii="宋体" w:hAnsi="宋体"/>
                <w:color w:val="000000"/>
                <w:szCs w:val="21"/>
              </w:rPr>
            </w:pPr>
          </w:p>
        </w:tc>
      </w:tr>
      <w:tr w:rsidR="009167F4" w14:paraId="11E2E926" w14:textId="77777777">
        <w:trPr>
          <w:trHeight w:val="168"/>
          <w:jc w:val="center"/>
        </w:trPr>
        <w:tc>
          <w:tcPr>
            <w:tcW w:w="8926" w:type="dxa"/>
            <w:gridSpan w:val="4"/>
            <w:shd w:val="clear" w:color="auto" w:fill="auto"/>
            <w:vAlign w:val="center"/>
          </w:tcPr>
          <w:p w14:paraId="5F8F2748" w14:textId="77777777" w:rsidR="009167F4" w:rsidRDefault="00000000">
            <w:pPr>
              <w:spacing w:line="276" w:lineRule="auto"/>
              <w:jc w:val="lef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二、</w:t>
            </w:r>
            <w:proofErr w:type="gramStart"/>
            <w:r>
              <w:rPr>
                <w:rFonts w:asciiTheme="minorEastAsia" w:eastAsiaTheme="minorEastAsia" w:hAnsiTheme="minorEastAsia"/>
                <w:b/>
                <w:color w:val="000000"/>
                <w:szCs w:val="21"/>
              </w:rPr>
              <w:t>子基金</w:t>
            </w:r>
            <w:proofErr w:type="gramEnd"/>
            <w:r>
              <w:rPr>
                <w:rFonts w:asciiTheme="minorEastAsia" w:eastAsiaTheme="minorEastAsia" w:hAnsiTheme="minorEastAsia" w:hint="eastAsia"/>
                <w:b/>
                <w:color w:val="000000"/>
                <w:szCs w:val="21"/>
              </w:rPr>
              <w:t>申请机构及管理机构</w:t>
            </w:r>
            <w:r>
              <w:rPr>
                <w:rFonts w:asciiTheme="minorEastAsia" w:eastAsiaTheme="minorEastAsia" w:hAnsiTheme="minorEastAsia"/>
                <w:b/>
                <w:color w:val="000000"/>
                <w:szCs w:val="21"/>
              </w:rPr>
              <w:t>应符合以下条件</w:t>
            </w:r>
            <w:r>
              <w:rPr>
                <w:rFonts w:asciiTheme="minorEastAsia" w:eastAsiaTheme="minorEastAsia" w:hAnsiTheme="minorEastAsia" w:hint="eastAsia"/>
                <w:b/>
                <w:color w:val="000000"/>
                <w:szCs w:val="21"/>
              </w:rPr>
              <w:t>：</w:t>
            </w:r>
          </w:p>
        </w:tc>
      </w:tr>
      <w:tr w:rsidR="009167F4" w14:paraId="3CED650E" w14:textId="77777777">
        <w:trPr>
          <w:trHeight w:val="150"/>
          <w:jc w:val="center"/>
        </w:trPr>
        <w:tc>
          <w:tcPr>
            <w:tcW w:w="1143" w:type="dxa"/>
            <w:shd w:val="clear" w:color="auto" w:fill="auto"/>
            <w:vAlign w:val="center"/>
          </w:tcPr>
          <w:p w14:paraId="4917112C"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合法合</w:t>
            </w:r>
            <w:proofErr w:type="gramStart"/>
            <w:r>
              <w:rPr>
                <w:rFonts w:asciiTheme="minorEastAsia" w:eastAsiaTheme="minorEastAsia" w:hAnsiTheme="minorEastAsia" w:hint="eastAsia"/>
              </w:rPr>
              <w:t>规</w:t>
            </w:r>
            <w:proofErr w:type="gramEnd"/>
          </w:p>
        </w:tc>
        <w:tc>
          <w:tcPr>
            <w:tcW w:w="5089" w:type="dxa"/>
            <w:shd w:val="clear" w:color="auto" w:fill="auto"/>
          </w:tcPr>
          <w:p w14:paraId="14FAB1EF"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（一）申请机构：依法设立，实缴资本不低于1000万元人民币，最近三年不存在重大违法违规行为（成立未满三年的机构自成立以来不存在重大违法违规行为）；</w:t>
            </w:r>
          </w:p>
          <w:p w14:paraId="7088D558"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二）管理机构：可由申请机构、基金普通合伙人或其他机构担任，实缴资本不低于1000万元人民币且不低于其在基金中认缴出资总额，且已依法设立并按法律法规或监管规定完成登记备案（如为新设机构，必须在引导基金实际出资前取得私募投资基金相关登记备案资质）。</w:t>
            </w:r>
          </w:p>
        </w:tc>
        <w:tc>
          <w:tcPr>
            <w:tcW w:w="1024" w:type="dxa"/>
            <w:shd w:val="clear" w:color="auto" w:fill="auto"/>
            <w:vAlign w:val="center"/>
          </w:tcPr>
          <w:p w14:paraId="4C6D81A9" w14:textId="77777777" w:rsidR="009167F4" w:rsidRDefault="009167F4">
            <w:pPr>
              <w:spacing w:line="276" w:lineRule="auto"/>
              <w:jc w:val="center"/>
              <w:rPr>
                <w:szCs w:val="21"/>
              </w:rPr>
            </w:pPr>
          </w:p>
        </w:tc>
        <w:tc>
          <w:tcPr>
            <w:tcW w:w="1670" w:type="dxa"/>
            <w:shd w:val="clear" w:color="auto" w:fill="auto"/>
            <w:vAlign w:val="center"/>
          </w:tcPr>
          <w:p w14:paraId="2014116E" w14:textId="77777777" w:rsidR="009167F4" w:rsidRDefault="009167F4">
            <w:pPr>
              <w:spacing w:line="276" w:lineRule="auto"/>
              <w:rPr>
                <w:szCs w:val="21"/>
              </w:rPr>
            </w:pPr>
          </w:p>
        </w:tc>
      </w:tr>
      <w:tr w:rsidR="009167F4" w14:paraId="5F0CD6EE" w14:textId="77777777">
        <w:trPr>
          <w:trHeight w:val="1076"/>
          <w:jc w:val="center"/>
        </w:trPr>
        <w:tc>
          <w:tcPr>
            <w:tcW w:w="1143" w:type="dxa"/>
            <w:vMerge w:val="restart"/>
            <w:shd w:val="clear" w:color="auto" w:fill="auto"/>
            <w:vAlign w:val="center"/>
          </w:tcPr>
          <w:p w14:paraId="7A4A977C"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运营</w:t>
            </w:r>
            <w:r>
              <w:rPr>
                <w:rFonts w:asciiTheme="minorEastAsia" w:eastAsiaTheme="minorEastAsia" w:hAnsiTheme="minorEastAsia"/>
              </w:rPr>
              <w:t>资质</w:t>
            </w:r>
          </w:p>
        </w:tc>
        <w:tc>
          <w:tcPr>
            <w:tcW w:w="5089" w:type="dxa"/>
            <w:shd w:val="clear" w:color="auto" w:fill="auto"/>
          </w:tcPr>
          <w:p w14:paraId="1AA2623D"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依法</w:t>
            </w:r>
            <w:r>
              <w:rPr>
                <w:rFonts w:asciiTheme="minorEastAsia" w:eastAsiaTheme="minorEastAsia" w:hAnsiTheme="minorEastAsia"/>
              </w:rPr>
              <w:t>设立，</w:t>
            </w:r>
            <w:r>
              <w:rPr>
                <w:rFonts w:asciiTheme="minorEastAsia" w:eastAsiaTheme="minorEastAsia" w:hAnsiTheme="minorEastAsia" w:hint="eastAsia"/>
              </w:rPr>
              <w:t>在基金业协会登记（如为新设机构，必须在宝安区引导基金实际出资前取得私募投资基金相关登记备案资质）</w:t>
            </w:r>
          </w:p>
        </w:tc>
        <w:tc>
          <w:tcPr>
            <w:tcW w:w="1024" w:type="dxa"/>
            <w:shd w:val="clear" w:color="auto" w:fill="auto"/>
            <w:vAlign w:val="center"/>
          </w:tcPr>
          <w:p w14:paraId="629F911B" w14:textId="77777777" w:rsidR="009167F4" w:rsidRDefault="009167F4">
            <w:pPr>
              <w:spacing w:line="276" w:lineRule="auto"/>
              <w:jc w:val="center"/>
              <w:rPr>
                <w:szCs w:val="21"/>
              </w:rPr>
            </w:pPr>
          </w:p>
        </w:tc>
        <w:tc>
          <w:tcPr>
            <w:tcW w:w="1670" w:type="dxa"/>
            <w:shd w:val="clear" w:color="auto" w:fill="auto"/>
            <w:vAlign w:val="center"/>
          </w:tcPr>
          <w:p w14:paraId="1E8E9592" w14:textId="77777777" w:rsidR="009167F4" w:rsidRDefault="009167F4">
            <w:pPr>
              <w:spacing w:line="276" w:lineRule="auto"/>
              <w:rPr>
                <w:szCs w:val="21"/>
              </w:rPr>
            </w:pPr>
          </w:p>
        </w:tc>
      </w:tr>
      <w:tr w:rsidR="009167F4" w14:paraId="37534039" w14:textId="77777777">
        <w:trPr>
          <w:trHeight w:val="150"/>
          <w:jc w:val="center"/>
        </w:trPr>
        <w:tc>
          <w:tcPr>
            <w:tcW w:w="1143" w:type="dxa"/>
            <w:vMerge/>
            <w:shd w:val="clear" w:color="auto" w:fill="auto"/>
            <w:vAlign w:val="center"/>
          </w:tcPr>
          <w:p w14:paraId="0A9E60F3"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78FA00BF" w14:textId="77777777" w:rsidR="009167F4" w:rsidRDefault="00000000">
            <w:pPr>
              <w:spacing w:line="276" w:lineRule="auto"/>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管理机构或其主要股东（公司制）、普通合伙人（合伙制）或3名以上管理团队主要成员以骨干身份累计管理股权投资基金规模不低于5亿元，至少有3个成功投资案例（成功投资案例是指</w:t>
            </w:r>
            <w:proofErr w:type="gramStart"/>
            <w:r>
              <w:rPr>
                <w:rFonts w:asciiTheme="minorEastAsia" w:eastAsiaTheme="minorEastAsia" w:hAnsiTheme="minorEastAsia" w:hint="eastAsia"/>
              </w:rPr>
              <w:t>项目年化回报率</w:t>
            </w:r>
            <w:proofErr w:type="gramEnd"/>
            <w:r>
              <w:rPr>
                <w:rFonts w:asciiTheme="minorEastAsia" w:eastAsiaTheme="minorEastAsia" w:hAnsiTheme="minorEastAsia" w:hint="eastAsia"/>
              </w:rPr>
              <w:t>不低于20%，且投资的回收金额不低于投资额的50%）。</w:t>
            </w:r>
          </w:p>
        </w:tc>
        <w:tc>
          <w:tcPr>
            <w:tcW w:w="1024" w:type="dxa"/>
            <w:shd w:val="clear" w:color="auto" w:fill="auto"/>
            <w:vAlign w:val="center"/>
          </w:tcPr>
          <w:p w14:paraId="29FBA19D" w14:textId="77777777" w:rsidR="009167F4" w:rsidRDefault="009167F4">
            <w:pPr>
              <w:spacing w:line="276" w:lineRule="auto"/>
              <w:jc w:val="center"/>
              <w:rPr>
                <w:szCs w:val="21"/>
              </w:rPr>
            </w:pPr>
          </w:p>
        </w:tc>
        <w:tc>
          <w:tcPr>
            <w:tcW w:w="1670" w:type="dxa"/>
            <w:shd w:val="clear" w:color="auto" w:fill="auto"/>
            <w:vAlign w:val="center"/>
          </w:tcPr>
          <w:p w14:paraId="3573D230" w14:textId="77777777" w:rsidR="009167F4" w:rsidRDefault="009167F4">
            <w:pPr>
              <w:spacing w:line="276" w:lineRule="auto"/>
              <w:rPr>
                <w:szCs w:val="21"/>
              </w:rPr>
            </w:pPr>
          </w:p>
        </w:tc>
      </w:tr>
      <w:tr w:rsidR="009167F4" w14:paraId="4D249B06" w14:textId="77777777">
        <w:trPr>
          <w:trHeight w:val="150"/>
          <w:jc w:val="center"/>
        </w:trPr>
        <w:tc>
          <w:tcPr>
            <w:tcW w:w="1143" w:type="dxa"/>
            <w:vMerge/>
            <w:shd w:val="clear" w:color="auto" w:fill="auto"/>
            <w:vAlign w:val="center"/>
          </w:tcPr>
          <w:p w14:paraId="0FD39ACF"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43E6B158"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基金申报方案由子基金申请机构负责提交。申请新设</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的，</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申请机构在提交基金申报方案时，应提供拟出资人的出资承诺/意向函、出资能力证明等材料。</w:t>
            </w:r>
          </w:p>
        </w:tc>
        <w:tc>
          <w:tcPr>
            <w:tcW w:w="1024" w:type="dxa"/>
            <w:shd w:val="clear" w:color="auto" w:fill="auto"/>
            <w:vAlign w:val="center"/>
          </w:tcPr>
          <w:p w14:paraId="042E5503" w14:textId="77777777" w:rsidR="009167F4" w:rsidRDefault="009167F4">
            <w:pPr>
              <w:spacing w:line="276" w:lineRule="auto"/>
              <w:jc w:val="center"/>
              <w:rPr>
                <w:szCs w:val="21"/>
              </w:rPr>
            </w:pPr>
          </w:p>
        </w:tc>
        <w:tc>
          <w:tcPr>
            <w:tcW w:w="1670" w:type="dxa"/>
            <w:shd w:val="clear" w:color="auto" w:fill="auto"/>
            <w:vAlign w:val="center"/>
          </w:tcPr>
          <w:p w14:paraId="008017FB" w14:textId="77777777" w:rsidR="009167F4" w:rsidRDefault="009167F4">
            <w:pPr>
              <w:spacing w:line="276" w:lineRule="auto"/>
              <w:rPr>
                <w:szCs w:val="21"/>
              </w:rPr>
            </w:pPr>
          </w:p>
        </w:tc>
      </w:tr>
      <w:tr w:rsidR="009167F4" w14:paraId="7C2AE640" w14:textId="77777777">
        <w:trPr>
          <w:trHeight w:val="150"/>
          <w:jc w:val="center"/>
        </w:trPr>
        <w:tc>
          <w:tcPr>
            <w:tcW w:w="1143" w:type="dxa"/>
            <w:vMerge/>
            <w:shd w:val="clear" w:color="auto" w:fill="auto"/>
            <w:vAlign w:val="center"/>
          </w:tcPr>
          <w:p w14:paraId="105C20C8"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3962514E"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按</w:t>
            </w:r>
            <w:proofErr w:type="gramStart"/>
            <w:r>
              <w:rPr>
                <w:rFonts w:asciiTheme="minorEastAsia" w:eastAsiaTheme="minorEastAsia" w:hAnsiTheme="minorEastAsia" w:hint="eastAsia"/>
              </w:rPr>
              <w:t>中基协要求</w:t>
            </w:r>
            <w:proofErr w:type="gramEnd"/>
            <w:r>
              <w:rPr>
                <w:rFonts w:asciiTheme="minorEastAsia" w:eastAsiaTheme="minorEastAsia" w:hAnsiTheme="minorEastAsia" w:hint="eastAsia"/>
              </w:rPr>
              <w:t>管理和投资运作规范，具有完整的投资决策程序、风险控制机制和健全的财务管理制度。</w:t>
            </w:r>
          </w:p>
        </w:tc>
        <w:tc>
          <w:tcPr>
            <w:tcW w:w="1024" w:type="dxa"/>
            <w:shd w:val="clear" w:color="auto" w:fill="auto"/>
            <w:vAlign w:val="center"/>
          </w:tcPr>
          <w:p w14:paraId="0BD5DD1A" w14:textId="77777777" w:rsidR="009167F4" w:rsidRDefault="009167F4">
            <w:pPr>
              <w:spacing w:line="276" w:lineRule="auto"/>
              <w:jc w:val="center"/>
              <w:rPr>
                <w:szCs w:val="21"/>
              </w:rPr>
            </w:pPr>
          </w:p>
        </w:tc>
        <w:tc>
          <w:tcPr>
            <w:tcW w:w="1670" w:type="dxa"/>
            <w:shd w:val="clear" w:color="auto" w:fill="auto"/>
            <w:vAlign w:val="center"/>
          </w:tcPr>
          <w:p w14:paraId="268FF807" w14:textId="77777777" w:rsidR="009167F4" w:rsidRDefault="009167F4">
            <w:pPr>
              <w:spacing w:line="276" w:lineRule="auto"/>
              <w:rPr>
                <w:szCs w:val="21"/>
              </w:rPr>
            </w:pPr>
          </w:p>
        </w:tc>
      </w:tr>
      <w:tr w:rsidR="009167F4" w14:paraId="1BF545EF" w14:textId="77777777">
        <w:trPr>
          <w:trHeight w:val="150"/>
          <w:jc w:val="center"/>
        </w:trPr>
        <w:tc>
          <w:tcPr>
            <w:tcW w:w="1143" w:type="dxa"/>
            <w:vMerge/>
            <w:shd w:val="clear" w:color="auto" w:fill="auto"/>
            <w:vAlign w:val="center"/>
          </w:tcPr>
          <w:p w14:paraId="14D030EB"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11F17107"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有健全的激励约束机制、跟进投资机制、资产托管机制和风险隔离机制。</w:t>
            </w:r>
          </w:p>
        </w:tc>
        <w:tc>
          <w:tcPr>
            <w:tcW w:w="1024" w:type="dxa"/>
            <w:shd w:val="clear" w:color="auto" w:fill="auto"/>
            <w:vAlign w:val="center"/>
          </w:tcPr>
          <w:p w14:paraId="7689E238" w14:textId="77777777" w:rsidR="009167F4" w:rsidRDefault="009167F4">
            <w:pPr>
              <w:spacing w:line="276" w:lineRule="auto"/>
              <w:jc w:val="center"/>
              <w:rPr>
                <w:szCs w:val="21"/>
              </w:rPr>
            </w:pPr>
          </w:p>
        </w:tc>
        <w:tc>
          <w:tcPr>
            <w:tcW w:w="1670" w:type="dxa"/>
            <w:shd w:val="clear" w:color="auto" w:fill="auto"/>
            <w:vAlign w:val="center"/>
          </w:tcPr>
          <w:p w14:paraId="22B885E4" w14:textId="77777777" w:rsidR="009167F4" w:rsidRDefault="009167F4">
            <w:pPr>
              <w:spacing w:line="276" w:lineRule="auto"/>
              <w:rPr>
                <w:szCs w:val="21"/>
              </w:rPr>
            </w:pPr>
          </w:p>
        </w:tc>
      </w:tr>
      <w:tr w:rsidR="009167F4" w14:paraId="2BBCF60A" w14:textId="77777777">
        <w:trPr>
          <w:trHeight w:val="150"/>
          <w:jc w:val="center"/>
        </w:trPr>
        <w:tc>
          <w:tcPr>
            <w:tcW w:w="1143" w:type="dxa"/>
            <w:vMerge w:val="restart"/>
            <w:shd w:val="clear" w:color="auto" w:fill="auto"/>
            <w:vAlign w:val="center"/>
          </w:tcPr>
          <w:p w14:paraId="2B88ADF4"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管理</w:t>
            </w:r>
            <w:r>
              <w:rPr>
                <w:rFonts w:asciiTheme="minorEastAsia" w:eastAsiaTheme="minorEastAsia" w:hAnsiTheme="minorEastAsia"/>
              </w:rPr>
              <w:t>团队</w:t>
            </w:r>
          </w:p>
        </w:tc>
        <w:tc>
          <w:tcPr>
            <w:tcW w:w="5089" w:type="dxa"/>
            <w:shd w:val="clear" w:color="auto" w:fill="auto"/>
          </w:tcPr>
          <w:p w14:paraId="35863219"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配备</w:t>
            </w:r>
            <w:proofErr w:type="gramStart"/>
            <w:r>
              <w:rPr>
                <w:rFonts w:asciiTheme="minorEastAsia" w:eastAsiaTheme="minorEastAsia" w:hAnsiTheme="minorEastAsia" w:hint="eastAsia"/>
              </w:rPr>
              <w:t>专属且稳定</w:t>
            </w:r>
            <w:proofErr w:type="gramEnd"/>
            <w:r>
              <w:rPr>
                <w:rFonts w:asciiTheme="minorEastAsia" w:eastAsiaTheme="minorEastAsia" w:hAnsiTheme="minorEastAsia" w:hint="eastAsia"/>
              </w:rPr>
              <w:t>的管理团队，应同时拥有不少于5名专业投资人员，其中具有3年以上相关经验的不少于3名；管理团队承诺团队关键人员在锁定期间非经</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 xml:space="preserve">权力机构同意不得中途退出。 </w:t>
            </w:r>
          </w:p>
        </w:tc>
        <w:tc>
          <w:tcPr>
            <w:tcW w:w="1024" w:type="dxa"/>
            <w:shd w:val="clear" w:color="auto" w:fill="auto"/>
            <w:vAlign w:val="center"/>
          </w:tcPr>
          <w:p w14:paraId="783CB55B" w14:textId="77777777" w:rsidR="009167F4" w:rsidRDefault="009167F4">
            <w:pPr>
              <w:spacing w:line="276" w:lineRule="auto"/>
              <w:jc w:val="center"/>
              <w:rPr>
                <w:szCs w:val="21"/>
              </w:rPr>
            </w:pPr>
          </w:p>
        </w:tc>
        <w:tc>
          <w:tcPr>
            <w:tcW w:w="1670" w:type="dxa"/>
            <w:shd w:val="clear" w:color="auto" w:fill="auto"/>
            <w:vAlign w:val="center"/>
          </w:tcPr>
          <w:p w14:paraId="4C0660D0" w14:textId="77777777" w:rsidR="009167F4" w:rsidRDefault="009167F4">
            <w:pPr>
              <w:spacing w:line="276" w:lineRule="auto"/>
              <w:rPr>
                <w:szCs w:val="21"/>
              </w:rPr>
            </w:pPr>
          </w:p>
        </w:tc>
      </w:tr>
      <w:tr w:rsidR="009167F4" w14:paraId="6F69BE54" w14:textId="77777777">
        <w:trPr>
          <w:trHeight w:val="728"/>
          <w:jc w:val="center"/>
        </w:trPr>
        <w:tc>
          <w:tcPr>
            <w:tcW w:w="1143" w:type="dxa"/>
            <w:vMerge/>
            <w:shd w:val="clear" w:color="auto" w:fill="auto"/>
            <w:vAlign w:val="center"/>
          </w:tcPr>
          <w:p w14:paraId="0B379562"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6E6A8978"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管理团队主要成员无受过行政主管机关或司法机关处罚的不良记录</w:t>
            </w:r>
          </w:p>
        </w:tc>
        <w:tc>
          <w:tcPr>
            <w:tcW w:w="1024" w:type="dxa"/>
            <w:shd w:val="clear" w:color="auto" w:fill="auto"/>
            <w:vAlign w:val="center"/>
          </w:tcPr>
          <w:p w14:paraId="0828BBA1" w14:textId="77777777" w:rsidR="009167F4" w:rsidRDefault="009167F4">
            <w:pPr>
              <w:spacing w:line="276" w:lineRule="auto"/>
              <w:jc w:val="center"/>
              <w:rPr>
                <w:szCs w:val="21"/>
              </w:rPr>
            </w:pPr>
          </w:p>
        </w:tc>
        <w:tc>
          <w:tcPr>
            <w:tcW w:w="1670" w:type="dxa"/>
            <w:shd w:val="clear" w:color="auto" w:fill="auto"/>
            <w:vAlign w:val="center"/>
          </w:tcPr>
          <w:p w14:paraId="1DB2CCDB" w14:textId="77777777" w:rsidR="009167F4" w:rsidRDefault="009167F4">
            <w:pPr>
              <w:spacing w:line="276" w:lineRule="auto"/>
              <w:rPr>
                <w:szCs w:val="21"/>
              </w:rPr>
            </w:pPr>
          </w:p>
        </w:tc>
      </w:tr>
      <w:tr w:rsidR="009167F4" w14:paraId="690326F5" w14:textId="77777777">
        <w:trPr>
          <w:trHeight w:val="70"/>
          <w:jc w:val="center"/>
        </w:trPr>
        <w:tc>
          <w:tcPr>
            <w:tcW w:w="1143" w:type="dxa"/>
            <w:vMerge w:val="restart"/>
            <w:shd w:val="clear" w:color="auto" w:fill="auto"/>
            <w:vAlign w:val="center"/>
          </w:tcPr>
          <w:p w14:paraId="46B79560"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风险控制</w:t>
            </w:r>
          </w:p>
        </w:tc>
        <w:tc>
          <w:tcPr>
            <w:tcW w:w="5089" w:type="dxa"/>
            <w:shd w:val="clear" w:color="auto" w:fill="auto"/>
          </w:tcPr>
          <w:p w14:paraId="0BEA5D45"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接受宝安区引导基金向</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委派代表并对子基金违反相关规定的项目行使一票否决权</w:t>
            </w:r>
          </w:p>
        </w:tc>
        <w:tc>
          <w:tcPr>
            <w:tcW w:w="1024" w:type="dxa"/>
            <w:shd w:val="clear" w:color="auto" w:fill="auto"/>
            <w:vAlign w:val="center"/>
          </w:tcPr>
          <w:p w14:paraId="3908C7EE" w14:textId="77777777" w:rsidR="009167F4" w:rsidRDefault="009167F4">
            <w:pPr>
              <w:spacing w:line="276" w:lineRule="auto"/>
              <w:jc w:val="center"/>
              <w:rPr>
                <w:szCs w:val="21"/>
              </w:rPr>
            </w:pPr>
          </w:p>
        </w:tc>
        <w:tc>
          <w:tcPr>
            <w:tcW w:w="1670" w:type="dxa"/>
            <w:shd w:val="clear" w:color="auto" w:fill="auto"/>
            <w:vAlign w:val="center"/>
          </w:tcPr>
          <w:p w14:paraId="20EAC137" w14:textId="77777777" w:rsidR="009167F4" w:rsidRDefault="009167F4">
            <w:pPr>
              <w:spacing w:line="276" w:lineRule="auto"/>
              <w:rPr>
                <w:szCs w:val="21"/>
              </w:rPr>
            </w:pPr>
          </w:p>
        </w:tc>
      </w:tr>
      <w:tr w:rsidR="009167F4" w14:paraId="56F69999" w14:textId="77777777">
        <w:trPr>
          <w:trHeight w:val="70"/>
          <w:jc w:val="center"/>
        </w:trPr>
        <w:tc>
          <w:tcPr>
            <w:tcW w:w="1143" w:type="dxa"/>
            <w:vMerge/>
            <w:shd w:val="clear" w:color="auto" w:fill="auto"/>
            <w:vAlign w:val="center"/>
          </w:tcPr>
          <w:p w14:paraId="38FA65E3"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792389FB" w14:textId="77777777" w:rsidR="009167F4" w:rsidRDefault="00000000">
            <w:pPr>
              <w:spacing w:line="276" w:lineRule="auto"/>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管理机构及其关联方对子基金合计出资比例不</w:t>
            </w:r>
            <w:r>
              <w:rPr>
                <w:rFonts w:asciiTheme="minorEastAsia" w:eastAsiaTheme="minorEastAsia" w:hAnsiTheme="minorEastAsia" w:hint="eastAsia"/>
              </w:rPr>
              <w:lastRenderedPageBreak/>
              <w:t>低于1%</w:t>
            </w:r>
          </w:p>
        </w:tc>
        <w:tc>
          <w:tcPr>
            <w:tcW w:w="1024" w:type="dxa"/>
            <w:shd w:val="clear" w:color="auto" w:fill="auto"/>
            <w:vAlign w:val="center"/>
          </w:tcPr>
          <w:p w14:paraId="63715E30" w14:textId="77777777" w:rsidR="009167F4" w:rsidRDefault="009167F4">
            <w:pPr>
              <w:spacing w:line="276" w:lineRule="auto"/>
              <w:jc w:val="center"/>
              <w:rPr>
                <w:szCs w:val="21"/>
              </w:rPr>
            </w:pPr>
          </w:p>
        </w:tc>
        <w:tc>
          <w:tcPr>
            <w:tcW w:w="1670" w:type="dxa"/>
            <w:shd w:val="clear" w:color="auto" w:fill="auto"/>
            <w:vAlign w:val="center"/>
          </w:tcPr>
          <w:p w14:paraId="0F3748F5" w14:textId="77777777" w:rsidR="009167F4" w:rsidRDefault="009167F4">
            <w:pPr>
              <w:spacing w:line="276" w:lineRule="auto"/>
              <w:rPr>
                <w:szCs w:val="21"/>
              </w:rPr>
            </w:pPr>
          </w:p>
        </w:tc>
      </w:tr>
      <w:tr w:rsidR="009167F4" w14:paraId="1BC0B8FD" w14:textId="77777777">
        <w:trPr>
          <w:trHeight w:val="70"/>
          <w:jc w:val="center"/>
        </w:trPr>
        <w:tc>
          <w:tcPr>
            <w:tcW w:w="1143" w:type="dxa"/>
            <w:vMerge/>
            <w:shd w:val="clear" w:color="auto" w:fill="auto"/>
            <w:vAlign w:val="center"/>
          </w:tcPr>
          <w:p w14:paraId="4D6F5E12"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4478AA10"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在</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完成70%的投资进度之前，子</w:t>
            </w:r>
            <w:proofErr w:type="gramStart"/>
            <w:r>
              <w:rPr>
                <w:rFonts w:asciiTheme="minorEastAsia" w:eastAsiaTheme="minorEastAsia" w:hAnsiTheme="minorEastAsia" w:hint="eastAsia"/>
              </w:rPr>
              <w:t>基金基金</w:t>
            </w:r>
            <w:proofErr w:type="gramEnd"/>
            <w:r>
              <w:rPr>
                <w:rFonts w:asciiTheme="minorEastAsia" w:eastAsiaTheme="minorEastAsia" w:hAnsiTheme="minorEastAsia" w:hint="eastAsia"/>
              </w:rPr>
              <w:t>合同、合伙协议或公司章程应当约定对子</w:t>
            </w:r>
            <w:proofErr w:type="gramStart"/>
            <w:r>
              <w:rPr>
                <w:rFonts w:asciiTheme="minorEastAsia" w:eastAsiaTheme="minorEastAsia" w:hAnsiTheme="minorEastAsia" w:hint="eastAsia"/>
              </w:rPr>
              <w:t>基金投委会</w:t>
            </w:r>
            <w:proofErr w:type="gramEnd"/>
            <w:r>
              <w:rPr>
                <w:rFonts w:asciiTheme="minorEastAsia" w:eastAsiaTheme="minorEastAsia" w:hAnsiTheme="minorEastAsia" w:hint="eastAsia"/>
              </w:rPr>
              <w:t>委员和管理团队核心成员进行锁定，管理团队核心成员原则上不得变更，不得发起、设立或管理同领域和同类型投资策略的基金，不得作为前述基金的关键人，锁定人员如发生变动应当经</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相关权力机构表决通过。</w:t>
            </w:r>
          </w:p>
        </w:tc>
        <w:tc>
          <w:tcPr>
            <w:tcW w:w="1024" w:type="dxa"/>
            <w:shd w:val="clear" w:color="auto" w:fill="auto"/>
            <w:vAlign w:val="center"/>
          </w:tcPr>
          <w:p w14:paraId="6420F343" w14:textId="77777777" w:rsidR="009167F4" w:rsidRDefault="009167F4">
            <w:pPr>
              <w:spacing w:line="276" w:lineRule="auto"/>
              <w:jc w:val="center"/>
              <w:rPr>
                <w:szCs w:val="21"/>
              </w:rPr>
            </w:pPr>
          </w:p>
        </w:tc>
        <w:tc>
          <w:tcPr>
            <w:tcW w:w="1670" w:type="dxa"/>
            <w:shd w:val="clear" w:color="auto" w:fill="auto"/>
            <w:vAlign w:val="center"/>
          </w:tcPr>
          <w:p w14:paraId="5F214E2B" w14:textId="77777777" w:rsidR="009167F4" w:rsidRDefault="009167F4">
            <w:pPr>
              <w:spacing w:line="276" w:lineRule="auto"/>
              <w:rPr>
                <w:szCs w:val="21"/>
              </w:rPr>
            </w:pPr>
          </w:p>
        </w:tc>
      </w:tr>
      <w:tr w:rsidR="009167F4" w14:paraId="06E627DF" w14:textId="77777777">
        <w:trPr>
          <w:trHeight w:val="70"/>
          <w:jc w:val="center"/>
        </w:trPr>
        <w:tc>
          <w:tcPr>
            <w:tcW w:w="1143" w:type="dxa"/>
            <w:vMerge/>
            <w:shd w:val="clear" w:color="auto" w:fill="auto"/>
            <w:vAlign w:val="center"/>
          </w:tcPr>
          <w:p w14:paraId="4B8594EE"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5EAF5230" w14:textId="77777777" w:rsidR="009167F4" w:rsidRDefault="00000000">
            <w:pPr>
              <w:spacing w:line="276" w:lineRule="auto"/>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资产应委托在中国境内设立的具有合法资质且具有基金托管经验的商业银行进行托管；</w:t>
            </w:r>
            <w:bookmarkStart w:id="1" w:name="_Hlk119424047"/>
            <w:r>
              <w:rPr>
                <w:rFonts w:asciiTheme="minorEastAsia" w:eastAsiaTheme="minorEastAsia" w:hAnsiTheme="minorEastAsia" w:hint="eastAsia"/>
              </w:rPr>
              <w:t>优先选择入驻宝安区金融超市的银行作为托管银行</w:t>
            </w:r>
            <w:bookmarkEnd w:id="1"/>
            <w:r>
              <w:rPr>
                <w:rFonts w:asciiTheme="minorEastAsia" w:eastAsiaTheme="minorEastAsia" w:hAnsiTheme="minorEastAsia" w:hint="eastAsia"/>
              </w:rPr>
              <w:t>。</w:t>
            </w:r>
          </w:p>
        </w:tc>
        <w:tc>
          <w:tcPr>
            <w:tcW w:w="1024" w:type="dxa"/>
            <w:shd w:val="clear" w:color="auto" w:fill="auto"/>
            <w:vAlign w:val="center"/>
          </w:tcPr>
          <w:p w14:paraId="06F0F294" w14:textId="77777777" w:rsidR="009167F4" w:rsidRDefault="009167F4">
            <w:pPr>
              <w:spacing w:line="276" w:lineRule="auto"/>
              <w:jc w:val="center"/>
              <w:rPr>
                <w:szCs w:val="21"/>
              </w:rPr>
            </w:pPr>
          </w:p>
        </w:tc>
        <w:tc>
          <w:tcPr>
            <w:tcW w:w="1670" w:type="dxa"/>
            <w:shd w:val="clear" w:color="auto" w:fill="auto"/>
            <w:vAlign w:val="center"/>
          </w:tcPr>
          <w:p w14:paraId="6496C3E6" w14:textId="77777777" w:rsidR="009167F4" w:rsidRDefault="009167F4">
            <w:pPr>
              <w:spacing w:line="276" w:lineRule="auto"/>
              <w:rPr>
                <w:szCs w:val="21"/>
              </w:rPr>
            </w:pPr>
          </w:p>
        </w:tc>
      </w:tr>
      <w:tr w:rsidR="009167F4" w14:paraId="64F3B229" w14:textId="77777777">
        <w:trPr>
          <w:trHeight w:val="70"/>
          <w:jc w:val="center"/>
        </w:trPr>
        <w:tc>
          <w:tcPr>
            <w:tcW w:w="1143" w:type="dxa"/>
            <w:vMerge/>
            <w:shd w:val="clear" w:color="auto" w:fill="auto"/>
            <w:vAlign w:val="center"/>
          </w:tcPr>
          <w:p w14:paraId="46945D45"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44CAEFF1" w14:textId="77777777" w:rsidR="009167F4" w:rsidRDefault="00000000">
            <w:pPr>
              <w:spacing w:line="276" w:lineRule="auto"/>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管理机构应当建立基金重大事项披露制度。</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应当在每个季度结束后1个半月内，向宝安区引导基金提交上季度基金业务运作报告及资金托管报告；于每个会计年度结束后4个月内提交经会计师事务所审计的基金年度审计报告、基金年度运营报告及基金年度银行托管报告，宝安区引导基金视工作需要可委托专业机构对子基金进行审计。</w:t>
            </w:r>
          </w:p>
        </w:tc>
        <w:tc>
          <w:tcPr>
            <w:tcW w:w="1024" w:type="dxa"/>
            <w:shd w:val="clear" w:color="auto" w:fill="auto"/>
            <w:vAlign w:val="center"/>
          </w:tcPr>
          <w:p w14:paraId="3863BC27" w14:textId="77777777" w:rsidR="009167F4" w:rsidRDefault="009167F4">
            <w:pPr>
              <w:spacing w:line="276" w:lineRule="auto"/>
              <w:jc w:val="center"/>
              <w:rPr>
                <w:szCs w:val="21"/>
              </w:rPr>
            </w:pPr>
          </w:p>
        </w:tc>
        <w:tc>
          <w:tcPr>
            <w:tcW w:w="1670" w:type="dxa"/>
            <w:shd w:val="clear" w:color="auto" w:fill="auto"/>
            <w:vAlign w:val="center"/>
          </w:tcPr>
          <w:p w14:paraId="65360892" w14:textId="77777777" w:rsidR="009167F4" w:rsidRDefault="009167F4">
            <w:pPr>
              <w:spacing w:line="276" w:lineRule="auto"/>
              <w:rPr>
                <w:szCs w:val="21"/>
              </w:rPr>
            </w:pPr>
          </w:p>
        </w:tc>
      </w:tr>
      <w:tr w:rsidR="009167F4" w14:paraId="744503AA" w14:textId="77777777">
        <w:trPr>
          <w:trHeight w:val="70"/>
          <w:jc w:val="center"/>
        </w:trPr>
        <w:tc>
          <w:tcPr>
            <w:tcW w:w="1143" w:type="dxa"/>
            <w:vMerge/>
            <w:shd w:val="clear" w:color="auto" w:fill="auto"/>
            <w:vAlign w:val="center"/>
          </w:tcPr>
          <w:p w14:paraId="7406C906"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tcPr>
          <w:p w14:paraId="435AEE3B" w14:textId="77777777" w:rsidR="009167F4" w:rsidRDefault="00000000">
            <w:pPr>
              <w:spacing w:line="276" w:lineRule="auto"/>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出现以下情况之一的，宝安区引导基金有权提前退出：</w:t>
            </w:r>
          </w:p>
          <w:p w14:paraId="12721B70"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1、</w:t>
            </w:r>
            <w:proofErr w:type="gramStart"/>
            <w:r>
              <w:rPr>
                <w:rFonts w:asciiTheme="minorEastAsia" w:eastAsiaTheme="minorEastAsia" w:hAnsiTheme="minorEastAsia" w:hint="eastAsia"/>
              </w:rPr>
              <w:t>子基金未</w:t>
            </w:r>
            <w:proofErr w:type="gramEnd"/>
            <w:r>
              <w:rPr>
                <w:rFonts w:asciiTheme="minorEastAsia" w:eastAsiaTheme="minorEastAsia" w:hAnsiTheme="minorEastAsia" w:hint="eastAsia"/>
              </w:rPr>
              <w:t>按基金合同、合伙协议或公司章程投资且未能有效整改的；</w:t>
            </w:r>
          </w:p>
          <w:p w14:paraId="3E934E89"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2、宝安区引导基金与</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管理机构签订基金合同、合伙协议或公司章程后，</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管理机构未按规定程序完成设立手续超过一年的；</w:t>
            </w:r>
          </w:p>
          <w:p w14:paraId="3438B61C"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3、宝安区引导基金出资资金拨付至</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账户后，</w:t>
            </w:r>
            <w:proofErr w:type="gramStart"/>
            <w:r>
              <w:rPr>
                <w:rFonts w:asciiTheme="minorEastAsia" w:eastAsiaTheme="minorEastAsia" w:hAnsiTheme="minorEastAsia" w:hint="eastAsia"/>
              </w:rPr>
              <w:t>子基金未</w:t>
            </w:r>
            <w:proofErr w:type="gramEnd"/>
            <w:r>
              <w:rPr>
                <w:rFonts w:asciiTheme="minorEastAsia" w:eastAsiaTheme="minorEastAsia" w:hAnsiTheme="minorEastAsia" w:hint="eastAsia"/>
              </w:rPr>
              <w:t>开展投资业务超过一年的；</w:t>
            </w:r>
          </w:p>
          <w:p w14:paraId="7EAF2FED"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4、</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投资项目不符合宝安区或《管理办法》规定的政策导向的；</w:t>
            </w:r>
          </w:p>
          <w:p w14:paraId="21CE9C8C"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5、</w:t>
            </w: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管理机构发生实质性变化的。</w:t>
            </w:r>
          </w:p>
          <w:p w14:paraId="0E586DAC" w14:textId="77777777" w:rsidR="009167F4" w:rsidRDefault="00000000">
            <w:pPr>
              <w:spacing w:line="276" w:lineRule="auto"/>
              <w:rPr>
                <w:rFonts w:asciiTheme="minorEastAsia" w:eastAsiaTheme="minorEastAsia" w:hAnsiTheme="minorEastAsia"/>
              </w:rPr>
            </w:pPr>
            <w:r>
              <w:rPr>
                <w:rFonts w:asciiTheme="minorEastAsia" w:eastAsiaTheme="minorEastAsia" w:hAnsiTheme="minorEastAsia" w:hint="eastAsia"/>
              </w:rPr>
              <w:t>退出价格按照基金合同、合伙协议约定或公司章程规定的方式计算，宝安区引导基金有权要求收回投资本金及同期全国银行间同业拆借中心公布的贷款市场报价利率（LPR）计算之和，如有收益分成部分，按照投资协议约定享有收益分配。</w:t>
            </w:r>
          </w:p>
        </w:tc>
        <w:tc>
          <w:tcPr>
            <w:tcW w:w="1024" w:type="dxa"/>
            <w:shd w:val="clear" w:color="auto" w:fill="auto"/>
            <w:vAlign w:val="center"/>
          </w:tcPr>
          <w:p w14:paraId="7174058C" w14:textId="77777777" w:rsidR="009167F4" w:rsidRDefault="009167F4">
            <w:pPr>
              <w:spacing w:line="276" w:lineRule="auto"/>
              <w:jc w:val="center"/>
              <w:rPr>
                <w:szCs w:val="21"/>
              </w:rPr>
            </w:pPr>
          </w:p>
        </w:tc>
        <w:tc>
          <w:tcPr>
            <w:tcW w:w="1670" w:type="dxa"/>
            <w:shd w:val="clear" w:color="auto" w:fill="auto"/>
            <w:vAlign w:val="center"/>
          </w:tcPr>
          <w:p w14:paraId="0B05B031" w14:textId="77777777" w:rsidR="009167F4" w:rsidRDefault="009167F4">
            <w:pPr>
              <w:spacing w:line="276" w:lineRule="auto"/>
              <w:rPr>
                <w:szCs w:val="21"/>
              </w:rPr>
            </w:pPr>
          </w:p>
        </w:tc>
      </w:tr>
      <w:tr w:rsidR="009167F4" w14:paraId="450A11C6" w14:textId="77777777">
        <w:trPr>
          <w:trHeight w:val="150"/>
          <w:jc w:val="center"/>
        </w:trPr>
        <w:tc>
          <w:tcPr>
            <w:tcW w:w="6232" w:type="dxa"/>
            <w:gridSpan w:val="2"/>
            <w:shd w:val="clear" w:color="auto" w:fill="auto"/>
            <w:vAlign w:val="center"/>
          </w:tcPr>
          <w:p w14:paraId="16AA95FC" w14:textId="77777777" w:rsidR="009167F4" w:rsidRDefault="00000000">
            <w:pPr>
              <w:spacing w:line="276" w:lineRule="auto"/>
              <w:rPr>
                <w:rFonts w:asciiTheme="minorEastAsia" w:eastAsiaTheme="minorEastAsia" w:hAnsiTheme="minorEastAsia"/>
                <w:b/>
              </w:rPr>
            </w:pPr>
            <w:r>
              <w:rPr>
                <w:rFonts w:asciiTheme="minorEastAsia" w:eastAsiaTheme="minorEastAsia" w:hAnsiTheme="minorEastAsia" w:hint="eastAsia"/>
                <w:b/>
              </w:rPr>
              <w:t>四、</w:t>
            </w:r>
            <w:proofErr w:type="gramStart"/>
            <w:r>
              <w:rPr>
                <w:rFonts w:asciiTheme="minorEastAsia" w:eastAsiaTheme="minorEastAsia" w:hAnsiTheme="minorEastAsia" w:hint="eastAsia"/>
                <w:b/>
              </w:rPr>
              <w:t>子基金</w:t>
            </w:r>
            <w:proofErr w:type="gramEnd"/>
            <w:r>
              <w:rPr>
                <w:rFonts w:asciiTheme="minorEastAsia" w:eastAsiaTheme="minorEastAsia" w:hAnsiTheme="minorEastAsia" w:hint="eastAsia"/>
                <w:b/>
              </w:rPr>
              <w:t>投资限制</w:t>
            </w:r>
            <w:r>
              <w:rPr>
                <w:rFonts w:asciiTheme="minorEastAsia" w:eastAsiaTheme="minorEastAsia" w:hAnsiTheme="minorEastAsia"/>
                <w:b/>
              </w:rPr>
              <w:t>：</w:t>
            </w:r>
          </w:p>
        </w:tc>
        <w:tc>
          <w:tcPr>
            <w:tcW w:w="1024" w:type="dxa"/>
            <w:shd w:val="clear" w:color="auto" w:fill="auto"/>
            <w:vAlign w:val="center"/>
          </w:tcPr>
          <w:p w14:paraId="29489687" w14:textId="77777777" w:rsidR="009167F4" w:rsidRDefault="009167F4">
            <w:pPr>
              <w:spacing w:line="276" w:lineRule="auto"/>
              <w:jc w:val="center"/>
            </w:pPr>
          </w:p>
        </w:tc>
        <w:tc>
          <w:tcPr>
            <w:tcW w:w="1670" w:type="dxa"/>
            <w:shd w:val="clear" w:color="auto" w:fill="auto"/>
            <w:vAlign w:val="center"/>
          </w:tcPr>
          <w:p w14:paraId="60C37270" w14:textId="77777777" w:rsidR="009167F4" w:rsidRDefault="009167F4">
            <w:pPr>
              <w:spacing w:line="276" w:lineRule="auto"/>
            </w:pPr>
          </w:p>
        </w:tc>
      </w:tr>
      <w:tr w:rsidR="009167F4" w14:paraId="3F94FD70" w14:textId="77777777">
        <w:trPr>
          <w:trHeight w:val="150"/>
          <w:jc w:val="center"/>
        </w:trPr>
        <w:tc>
          <w:tcPr>
            <w:tcW w:w="1143" w:type="dxa"/>
            <w:vMerge w:val="restart"/>
            <w:shd w:val="clear" w:color="auto" w:fill="auto"/>
            <w:vAlign w:val="center"/>
          </w:tcPr>
          <w:p w14:paraId="2E589FAA" w14:textId="77777777" w:rsidR="009167F4" w:rsidRDefault="00000000">
            <w:pPr>
              <w:spacing w:line="276" w:lineRule="auto"/>
              <w:jc w:val="center"/>
              <w:rPr>
                <w:rFonts w:asciiTheme="minorEastAsia" w:eastAsiaTheme="minorEastAsia" w:hAnsiTheme="minorEastAsia"/>
              </w:rPr>
            </w:pPr>
            <w:proofErr w:type="gramStart"/>
            <w:r>
              <w:rPr>
                <w:rFonts w:asciiTheme="minorEastAsia" w:eastAsiaTheme="minorEastAsia" w:hAnsiTheme="minorEastAsia" w:hint="eastAsia"/>
              </w:rPr>
              <w:t>子基金</w:t>
            </w:r>
            <w:proofErr w:type="gramEnd"/>
            <w:r>
              <w:rPr>
                <w:rFonts w:asciiTheme="minorEastAsia" w:eastAsiaTheme="minorEastAsia" w:hAnsiTheme="minorEastAsia" w:hint="eastAsia"/>
              </w:rPr>
              <w:t xml:space="preserve">  </w:t>
            </w:r>
            <w:r>
              <w:rPr>
                <w:rFonts w:asciiTheme="minorEastAsia" w:eastAsiaTheme="minorEastAsia" w:hAnsiTheme="minorEastAsia"/>
              </w:rPr>
              <w:t>不得从</w:t>
            </w:r>
            <w:r>
              <w:rPr>
                <w:rFonts w:asciiTheme="minorEastAsia" w:eastAsiaTheme="minorEastAsia" w:hAnsiTheme="minorEastAsia" w:hint="eastAsia"/>
              </w:rPr>
              <w:t xml:space="preserve">  </w:t>
            </w:r>
            <w:r>
              <w:rPr>
                <w:rFonts w:asciiTheme="minorEastAsia" w:eastAsiaTheme="minorEastAsia" w:hAnsiTheme="minorEastAsia"/>
              </w:rPr>
              <w:lastRenderedPageBreak/>
              <w:t>事业务</w:t>
            </w:r>
          </w:p>
        </w:tc>
        <w:tc>
          <w:tcPr>
            <w:tcW w:w="5089" w:type="dxa"/>
            <w:shd w:val="clear" w:color="auto" w:fill="auto"/>
            <w:vAlign w:val="center"/>
          </w:tcPr>
          <w:p w14:paraId="18F20238" w14:textId="77777777" w:rsidR="009167F4" w:rsidRDefault="00000000">
            <w:pPr>
              <w:rPr>
                <w:rFonts w:asciiTheme="minorEastAsia" w:eastAsiaTheme="minorEastAsia" w:hAnsiTheme="minorEastAsia"/>
              </w:rPr>
            </w:pPr>
            <w:r>
              <w:rPr>
                <w:rFonts w:asciiTheme="minorEastAsia" w:eastAsiaTheme="minorEastAsia" w:hAnsiTheme="minorEastAsia" w:hint="eastAsia"/>
              </w:rPr>
              <w:lastRenderedPageBreak/>
              <w:t>从事融资担保以外的担保、抵押、委托贷款等业务</w:t>
            </w:r>
          </w:p>
        </w:tc>
        <w:tc>
          <w:tcPr>
            <w:tcW w:w="1024" w:type="dxa"/>
            <w:shd w:val="clear" w:color="auto" w:fill="auto"/>
            <w:vAlign w:val="center"/>
          </w:tcPr>
          <w:p w14:paraId="174BE06F" w14:textId="77777777" w:rsidR="009167F4" w:rsidRDefault="009167F4">
            <w:pPr>
              <w:spacing w:line="276" w:lineRule="auto"/>
              <w:jc w:val="center"/>
            </w:pPr>
          </w:p>
        </w:tc>
        <w:tc>
          <w:tcPr>
            <w:tcW w:w="1670" w:type="dxa"/>
            <w:shd w:val="clear" w:color="auto" w:fill="auto"/>
            <w:vAlign w:val="center"/>
          </w:tcPr>
          <w:p w14:paraId="54EDBDBE" w14:textId="77777777" w:rsidR="009167F4" w:rsidRDefault="009167F4">
            <w:pPr>
              <w:spacing w:line="276" w:lineRule="auto"/>
            </w:pPr>
          </w:p>
        </w:tc>
      </w:tr>
      <w:tr w:rsidR="009167F4" w14:paraId="60D8E9A3" w14:textId="77777777">
        <w:trPr>
          <w:trHeight w:val="150"/>
          <w:jc w:val="center"/>
        </w:trPr>
        <w:tc>
          <w:tcPr>
            <w:tcW w:w="1143" w:type="dxa"/>
            <w:vMerge/>
            <w:shd w:val="clear" w:color="auto" w:fill="auto"/>
            <w:vAlign w:val="center"/>
          </w:tcPr>
          <w:p w14:paraId="51CB7C3E"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066A261A" w14:textId="77777777" w:rsidR="009167F4" w:rsidRDefault="00000000">
            <w:pPr>
              <w:rPr>
                <w:rFonts w:asciiTheme="minorEastAsia" w:eastAsiaTheme="minorEastAsia" w:hAnsiTheme="minorEastAsia"/>
              </w:rPr>
            </w:pPr>
            <w:r>
              <w:rPr>
                <w:rFonts w:asciiTheme="minorEastAsia" w:eastAsiaTheme="minorEastAsia" w:hAnsiTheme="minorEastAsia" w:hint="eastAsia"/>
              </w:rPr>
              <w:t>投资二级市场股票、期货、房地产、证券投资基金、评</w:t>
            </w:r>
            <w:r>
              <w:rPr>
                <w:rFonts w:asciiTheme="minorEastAsia" w:eastAsiaTheme="minorEastAsia" w:hAnsiTheme="minorEastAsia" w:hint="eastAsia"/>
              </w:rPr>
              <w:lastRenderedPageBreak/>
              <w:t>级AAA以下的企业债、信托产品、非保本型理财产品、保险计划及其他金融衍生品</w:t>
            </w:r>
          </w:p>
        </w:tc>
        <w:tc>
          <w:tcPr>
            <w:tcW w:w="1024" w:type="dxa"/>
            <w:shd w:val="clear" w:color="auto" w:fill="auto"/>
            <w:vAlign w:val="center"/>
          </w:tcPr>
          <w:p w14:paraId="3144632D" w14:textId="77777777" w:rsidR="009167F4" w:rsidRDefault="009167F4">
            <w:pPr>
              <w:spacing w:line="276" w:lineRule="auto"/>
              <w:jc w:val="center"/>
            </w:pPr>
          </w:p>
        </w:tc>
        <w:tc>
          <w:tcPr>
            <w:tcW w:w="1670" w:type="dxa"/>
            <w:shd w:val="clear" w:color="auto" w:fill="auto"/>
            <w:vAlign w:val="center"/>
          </w:tcPr>
          <w:p w14:paraId="279D83E0" w14:textId="77777777" w:rsidR="009167F4" w:rsidRDefault="009167F4">
            <w:pPr>
              <w:spacing w:line="276" w:lineRule="auto"/>
            </w:pPr>
          </w:p>
        </w:tc>
      </w:tr>
      <w:tr w:rsidR="009167F4" w14:paraId="07861681" w14:textId="77777777">
        <w:trPr>
          <w:trHeight w:val="150"/>
          <w:jc w:val="center"/>
        </w:trPr>
        <w:tc>
          <w:tcPr>
            <w:tcW w:w="1143" w:type="dxa"/>
            <w:vMerge/>
            <w:shd w:val="clear" w:color="auto" w:fill="auto"/>
            <w:vAlign w:val="center"/>
          </w:tcPr>
          <w:p w14:paraId="7C87F411"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06AB38EC" w14:textId="77777777" w:rsidR="009167F4" w:rsidRDefault="00000000">
            <w:pPr>
              <w:rPr>
                <w:rFonts w:asciiTheme="minorEastAsia" w:eastAsiaTheme="minorEastAsia" w:hAnsiTheme="minorEastAsia"/>
              </w:rPr>
            </w:pPr>
            <w:r>
              <w:rPr>
                <w:rFonts w:asciiTheme="minorEastAsia" w:eastAsiaTheme="minorEastAsia" w:hAnsiTheme="minorEastAsia" w:hint="eastAsia"/>
              </w:rPr>
              <w:t>向任何第三方提供赞助、捐赠（经批准的公益性捐赠除外）</w:t>
            </w:r>
          </w:p>
        </w:tc>
        <w:tc>
          <w:tcPr>
            <w:tcW w:w="1024" w:type="dxa"/>
            <w:shd w:val="clear" w:color="auto" w:fill="auto"/>
            <w:vAlign w:val="center"/>
          </w:tcPr>
          <w:p w14:paraId="71B37C3D" w14:textId="77777777" w:rsidR="009167F4" w:rsidRDefault="009167F4">
            <w:pPr>
              <w:spacing w:line="276" w:lineRule="auto"/>
              <w:jc w:val="center"/>
            </w:pPr>
          </w:p>
        </w:tc>
        <w:tc>
          <w:tcPr>
            <w:tcW w:w="1670" w:type="dxa"/>
            <w:shd w:val="clear" w:color="auto" w:fill="auto"/>
            <w:vAlign w:val="center"/>
          </w:tcPr>
          <w:p w14:paraId="0DB22D72" w14:textId="77777777" w:rsidR="009167F4" w:rsidRDefault="009167F4">
            <w:pPr>
              <w:spacing w:line="276" w:lineRule="auto"/>
            </w:pPr>
          </w:p>
        </w:tc>
      </w:tr>
      <w:tr w:rsidR="009167F4" w14:paraId="45AD0B61" w14:textId="77777777">
        <w:trPr>
          <w:trHeight w:val="150"/>
          <w:jc w:val="center"/>
        </w:trPr>
        <w:tc>
          <w:tcPr>
            <w:tcW w:w="1143" w:type="dxa"/>
            <w:vMerge/>
            <w:shd w:val="clear" w:color="auto" w:fill="auto"/>
            <w:vAlign w:val="center"/>
          </w:tcPr>
          <w:p w14:paraId="3E1A0D28"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08779D83" w14:textId="77777777" w:rsidR="009167F4" w:rsidRDefault="00000000">
            <w:pPr>
              <w:rPr>
                <w:rFonts w:asciiTheme="minorEastAsia" w:eastAsiaTheme="minorEastAsia" w:hAnsiTheme="minorEastAsia"/>
              </w:rPr>
            </w:pPr>
            <w:r>
              <w:rPr>
                <w:rFonts w:asciiTheme="minorEastAsia" w:eastAsiaTheme="minorEastAsia" w:hAnsiTheme="minorEastAsia" w:hint="eastAsia"/>
              </w:rPr>
              <w:t>吸收或变相吸收存款，或向第三方提供贷款和资金拆借（以股权投资为目的可转债除外，但不得</w:t>
            </w:r>
            <w:proofErr w:type="gramStart"/>
            <w:r>
              <w:rPr>
                <w:rFonts w:asciiTheme="minorEastAsia" w:eastAsiaTheme="minorEastAsia" w:hAnsiTheme="minorEastAsia" w:hint="eastAsia"/>
              </w:rPr>
              <w:t>从事明股实</w:t>
            </w:r>
            <w:proofErr w:type="gramEnd"/>
            <w:r>
              <w:rPr>
                <w:rFonts w:asciiTheme="minorEastAsia" w:eastAsiaTheme="minorEastAsia" w:hAnsiTheme="minorEastAsia" w:hint="eastAsia"/>
              </w:rPr>
              <w:t>债）</w:t>
            </w:r>
          </w:p>
        </w:tc>
        <w:tc>
          <w:tcPr>
            <w:tcW w:w="1024" w:type="dxa"/>
            <w:shd w:val="clear" w:color="auto" w:fill="auto"/>
            <w:vAlign w:val="center"/>
          </w:tcPr>
          <w:p w14:paraId="6FE2663B" w14:textId="77777777" w:rsidR="009167F4" w:rsidRDefault="009167F4">
            <w:pPr>
              <w:spacing w:line="276" w:lineRule="auto"/>
              <w:jc w:val="center"/>
            </w:pPr>
          </w:p>
        </w:tc>
        <w:tc>
          <w:tcPr>
            <w:tcW w:w="1670" w:type="dxa"/>
            <w:shd w:val="clear" w:color="auto" w:fill="auto"/>
            <w:vAlign w:val="center"/>
          </w:tcPr>
          <w:p w14:paraId="5B78D5C0" w14:textId="77777777" w:rsidR="009167F4" w:rsidRDefault="009167F4">
            <w:pPr>
              <w:spacing w:line="276" w:lineRule="auto"/>
            </w:pPr>
          </w:p>
        </w:tc>
      </w:tr>
      <w:tr w:rsidR="009167F4" w14:paraId="621C0753" w14:textId="77777777">
        <w:trPr>
          <w:trHeight w:val="150"/>
          <w:jc w:val="center"/>
        </w:trPr>
        <w:tc>
          <w:tcPr>
            <w:tcW w:w="1143" w:type="dxa"/>
            <w:vMerge/>
            <w:shd w:val="clear" w:color="auto" w:fill="auto"/>
            <w:vAlign w:val="center"/>
          </w:tcPr>
          <w:p w14:paraId="1A9A5FE8"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2F5E0EB0" w14:textId="77777777" w:rsidR="009167F4" w:rsidRDefault="00000000">
            <w:pPr>
              <w:rPr>
                <w:rFonts w:asciiTheme="minorEastAsia" w:eastAsiaTheme="minorEastAsia" w:hAnsiTheme="minorEastAsia"/>
              </w:rPr>
            </w:pPr>
            <w:r>
              <w:rPr>
                <w:rFonts w:asciiTheme="minorEastAsia" w:eastAsiaTheme="minorEastAsia" w:hAnsiTheme="minorEastAsia" w:hint="eastAsia"/>
              </w:rPr>
              <w:t>进行可能承担无限连带责任的对外投资</w:t>
            </w:r>
          </w:p>
        </w:tc>
        <w:tc>
          <w:tcPr>
            <w:tcW w:w="1024" w:type="dxa"/>
            <w:shd w:val="clear" w:color="auto" w:fill="auto"/>
            <w:vAlign w:val="center"/>
          </w:tcPr>
          <w:p w14:paraId="466653BF" w14:textId="77777777" w:rsidR="009167F4" w:rsidRDefault="009167F4">
            <w:pPr>
              <w:spacing w:line="276" w:lineRule="auto"/>
              <w:jc w:val="center"/>
            </w:pPr>
          </w:p>
        </w:tc>
        <w:tc>
          <w:tcPr>
            <w:tcW w:w="1670" w:type="dxa"/>
            <w:shd w:val="clear" w:color="auto" w:fill="auto"/>
            <w:vAlign w:val="center"/>
          </w:tcPr>
          <w:p w14:paraId="5EA7B01C" w14:textId="77777777" w:rsidR="009167F4" w:rsidRDefault="009167F4">
            <w:pPr>
              <w:spacing w:line="276" w:lineRule="auto"/>
            </w:pPr>
          </w:p>
        </w:tc>
      </w:tr>
      <w:tr w:rsidR="009167F4" w14:paraId="7FB1EEA7" w14:textId="77777777">
        <w:trPr>
          <w:trHeight w:val="150"/>
          <w:jc w:val="center"/>
        </w:trPr>
        <w:tc>
          <w:tcPr>
            <w:tcW w:w="1143" w:type="dxa"/>
            <w:vMerge/>
            <w:shd w:val="clear" w:color="auto" w:fill="auto"/>
            <w:vAlign w:val="center"/>
          </w:tcPr>
          <w:p w14:paraId="6851DD3B"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27A117B9" w14:textId="77777777" w:rsidR="009167F4" w:rsidRDefault="00000000">
            <w:pPr>
              <w:rPr>
                <w:rFonts w:asciiTheme="minorEastAsia" w:eastAsiaTheme="minorEastAsia" w:hAnsiTheme="minorEastAsia"/>
              </w:rPr>
            </w:pPr>
            <w:r>
              <w:rPr>
                <w:rFonts w:asciiTheme="minorEastAsia" w:eastAsiaTheme="minorEastAsia" w:hAnsiTheme="minorEastAsia" w:hint="eastAsia"/>
              </w:rPr>
              <w:t>发行信托或集合理财产品募集资金</w:t>
            </w:r>
          </w:p>
        </w:tc>
        <w:tc>
          <w:tcPr>
            <w:tcW w:w="1024" w:type="dxa"/>
            <w:shd w:val="clear" w:color="auto" w:fill="auto"/>
            <w:vAlign w:val="center"/>
          </w:tcPr>
          <w:p w14:paraId="6A17CE46" w14:textId="77777777" w:rsidR="009167F4" w:rsidRDefault="009167F4">
            <w:pPr>
              <w:spacing w:line="276" w:lineRule="auto"/>
              <w:jc w:val="center"/>
            </w:pPr>
          </w:p>
        </w:tc>
        <w:tc>
          <w:tcPr>
            <w:tcW w:w="1670" w:type="dxa"/>
            <w:shd w:val="clear" w:color="auto" w:fill="auto"/>
            <w:vAlign w:val="center"/>
          </w:tcPr>
          <w:p w14:paraId="2E514ADE" w14:textId="77777777" w:rsidR="009167F4" w:rsidRDefault="009167F4">
            <w:pPr>
              <w:spacing w:line="276" w:lineRule="auto"/>
            </w:pPr>
          </w:p>
        </w:tc>
      </w:tr>
      <w:tr w:rsidR="009167F4" w14:paraId="106600FF" w14:textId="77777777">
        <w:trPr>
          <w:trHeight w:val="150"/>
          <w:jc w:val="center"/>
        </w:trPr>
        <w:tc>
          <w:tcPr>
            <w:tcW w:w="1143" w:type="dxa"/>
            <w:vMerge/>
            <w:shd w:val="clear" w:color="auto" w:fill="auto"/>
            <w:vAlign w:val="center"/>
          </w:tcPr>
          <w:p w14:paraId="681D6BDC" w14:textId="77777777" w:rsidR="009167F4" w:rsidRDefault="009167F4">
            <w:pPr>
              <w:spacing w:line="276" w:lineRule="auto"/>
              <w:jc w:val="center"/>
              <w:rPr>
                <w:rFonts w:asciiTheme="minorEastAsia" w:eastAsiaTheme="minorEastAsia" w:hAnsiTheme="minorEastAsia"/>
              </w:rPr>
            </w:pPr>
          </w:p>
        </w:tc>
        <w:tc>
          <w:tcPr>
            <w:tcW w:w="5089" w:type="dxa"/>
            <w:shd w:val="clear" w:color="auto" w:fill="auto"/>
            <w:vAlign w:val="center"/>
          </w:tcPr>
          <w:p w14:paraId="4BBFC60A" w14:textId="77777777" w:rsidR="009167F4" w:rsidRDefault="00000000">
            <w:pPr>
              <w:rPr>
                <w:rFonts w:asciiTheme="minorEastAsia" w:eastAsiaTheme="minorEastAsia" w:hAnsiTheme="minorEastAsia"/>
              </w:rPr>
            </w:pPr>
            <w:r>
              <w:rPr>
                <w:rFonts w:asciiTheme="minorEastAsia" w:eastAsiaTheme="minorEastAsia" w:hAnsiTheme="minorEastAsia" w:hint="eastAsia"/>
              </w:rPr>
              <w:t>国家法律法规禁止本类基金从事的其他业务</w:t>
            </w:r>
          </w:p>
        </w:tc>
        <w:tc>
          <w:tcPr>
            <w:tcW w:w="1024" w:type="dxa"/>
            <w:shd w:val="clear" w:color="auto" w:fill="auto"/>
            <w:vAlign w:val="center"/>
          </w:tcPr>
          <w:p w14:paraId="171D55C9" w14:textId="77777777" w:rsidR="009167F4" w:rsidRDefault="009167F4">
            <w:pPr>
              <w:spacing w:line="276" w:lineRule="auto"/>
              <w:jc w:val="center"/>
            </w:pPr>
          </w:p>
        </w:tc>
        <w:tc>
          <w:tcPr>
            <w:tcW w:w="1670" w:type="dxa"/>
            <w:shd w:val="clear" w:color="auto" w:fill="auto"/>
            <w:vAlign w:val="center"/>
          </w:tcPr>
          <w:p w14:paraId="5B70C5ED" w14:textId="77777777" w:rsidR="009167F4" w:rsidRDefault="009167F4">
            <w:pPr>
              <w:spacing w:line="276" w:lineRule="auto"/>
            </w:pPr>
          </w:p>
        </w:tc>
      </w:tr>
      <w:tr w:rsidR="009167F4" w14:paraId="669765A4" w14:textId="77777777">
        <w:trPr>
          <w:trHeight w:val="150"/>
          <w:jc w:val="center"/>
        </w:trPr>
        <w:tc>
          <w:tcPr>
            <w:tcW w:w="1143" w:type="dxa"/>
            <w:shd w:val="clear" w:color="auto" w:fill="auto"/>
            <w:vAlign w:val="center"/>
          </w:tcPr>
          <w:p w14:paraId="3440FFB1" w14:textId="77777777" w:rsidR="009167F4" w:rsidRDefault="00000000">
            <w:pPr>
              <w:spacing w:line="276" w:lineRule="auto"/>
              <w:jc w:val="center"/>
              <w:rPr>
                <w:rFonts w:asciiTheme="minorEastAsia" w:eastAsiaTheme="minorEastAsia" w:hAnsiTheme="minorEastAsia"/>
              </w:rPr>
            </w:pPr>
            <w:r>
              <w:rPr>
                <w:rFonts w:asciiTheme="minorEastAsia" w:eastAsiaTheme="minorEastAsia" w:hAnsiTheme="minorEastAsia" w:hint="eastAsia"/>
              </w:rPr>
              <w:t>再投资  禁止</w:t>
            </w:r>
          </w:p>
        </w:tc>
        <w:tc>
          <w:tcPr>
            <w:tcW w:w="5089" w:type="dxa"/>
            <w:shd w:val="clear" w:color="auto" w:fill="auto"/>
            <w:vAlign w:val="center"/>
          </w:tcPr>
          <w:p w14:paraId="3C9E06F6" w14:textId="76862ACE" w:rsidR="009167F4" w:rsidRDefault="00000000">
            <w:pPr>
              <w:rPr>
                <w:rFonts w:asciiTheme="minorEastAsia" w:eastAsiaTheme="minorEastAsia" w:hAnsiTheme="minorEastAsia"/>
                <w:szCs w:val="21"/>
              </w:rPr>
            </w:pPr>
            <w:proofErr w:type="gramStart"/>
            <w:r>
              <w:rPr>
                <w:rFonts w:asciiTheme="minorEastAsia" w:eastAsiaTheme="minorEastAsia" w:hAnsiTheme="minorEastAsia" w:hint="eastAsia"/>
                <w:szCs w:val="21"/>
              </w:rPr>
              <w:t>子基金</w:t>
            </w:r>
            <w:proofErr w:type="gramEnd"/>
            <w:r>
              <w:rPr>
                <w:rFonts w:asciiTheme="minorEastAsia" w:eastAsiaTheme="minorEastAsia" w:hAnsiTheme="minorEastAsia" w:hint="eastAsia"/>
                <w:szCs w:val="21"/>
              </w:rPr>
              <w:t>存续期内，投资回收资金不得再用于对外投资</w:t>
            </w:r>
          </w:p>
        </w:tc>
        <w:tc>
          <w:tcPr>
            <w:tcW w:w="1024" w:type="dxa"/>
            <w:shd w:val="clear" w:color="auto" w:fill="auto"/>
            <w:vAlign w:val="center"/>
          </w:tcPr>
          <w:p w14:paraId="157DE728" w14:textId="77777777" w:rsidR="009167F4" w:rsidRDefault="009167F4">
            <w:pPr>
              <w:spacing w:line="276" w:lineRule="auto"/>
              <w:jc w:val="center"/>
            </w:pPr>
          </w:p>
        </w:tc>
        <w:tc>
          <w:tcPr>
            <w:tcW w:w="1670" w:type="dxa"/>
            <w:shd w:val="clear" w:color="auto" w:fill="auto"/>
            <w:vAlign w:val="center"/>
          </w:tcPr>
          <w:p w14:paraId="1A19B091" w14:textId="77777777" w:rsidR="009167F4" w:rsidRDefault="009167F4">
            <w:pPr>
              <w:spacing w:line="276" w:lineRule="auto"/>
            </w:pPr>
          </w:p>
        </w:tc>
      </w:tr>
    </w:tbl>
    <w:p w14:paraId="592342E8" w14:textId="77777777" w:rsidR="009167F4" w:rsidRDefault="00000000">
      <w:pPr>
        <w:rPr>
          <w:b/>
        </w:rPr>
      </w:pPr>
      <w:r>
        <w:rPr>
          <w:b/>
        </w:rPr>
        <w:t>注</w:t>
      </w:r>
      <w:r>
        <w:rPr>
          <w:rFonts w:hint="eastAsia"/>
          <w:b/>
        </w:rPr>
        <w:t>：</w:t>
      </w:r>
      <w:r>
        <w:rPr>
          <w:b/>
        </w:rPr>
        <w:t>拟申请</w:t>
      </w:r>
      <w:proofErr w:type="gramStart"/>
      <w:r>
        <w:rPr>
          <w:rFonts w:hint="eastAsia"/>
          <w:b/>
        </w:rPr>
        <w:t>区</w:t>
      </w:r>
      <w:r>
        <w:rPr>
          <w:b/>
        </w:rPr>
        <w:t>引导</w:t>
      </w:r>
      <w:proofErr w:type="gramEnd"/>
      <w:r>
        <w:rPr>
          <w:b/>
        </w:rPr>
        <w:t>基金参股的</w:t>
      </w:r>
      <w:proofErr w:type="gramStart"/>
      <w:r>
        <w:rPr>
          <w:b/>
        </w:rPr>
        <w:t>子基金</w:t>
      </w:r>
      <w:proofErr w:type="gramEnd"/>
      <w:r>
        <w:rPr>
          <w:b/>
        </w:rPr>
        <w:t>应开展合</w:t>
      </w:r>
      <w:proofErr w:type="gramStart"/>
      <w:r>
        <w:rPr>
          <w:b/>
        </w:rPr>
        <w:t>规</w:t>
      </w:r>
      <w:proofErr w:type="gramEnd"/>
      <w:r>
        <w:rPr>
          <w:b/>
        </w:rPr>
        <w:t>性自查</w:t>
      </w:r>
      <w:r>
        <w:rPr>
          <w:rFonts w:hint="eastAsia"/>
          <w:b/>
        </w:rPr>
        <w:t>，</w:t>
      </w:r>
      <w:r>
        <w:rPr>
          <w:b/>
        </w:rPr>
        <w:t>并在是否符合一栏填写</w:t>
      </w:r>
      <w:r>
        <w:rPr>
          <w:rFonts w:hint="eastAsia"/>
          <w:b/>
        </w:rPr>
        <w:t>“</w:t>
      </w:r>
      <w:r>
        <w:rPr>
          <w:rFonts w:ascii="宋体" w:hAnsi="宋体" w:hint="eastAsia"/>
          <w:b/>
        </w:rPr>
        <w:t>√</w:t>
      </w:r>
      <w:r>
        <w:rPr>
          <w:rFonts w:hint="eastAsia"/>
          <w:b/>
        </w:rPr>
        <w:t>”或“</w:t>
      </w:r>
      <w:r>
        <w:rPr>
          <w:rFonts w:ascii="宋体" w:hAnsi="宋体" w:hint="eastAsia"/>
          <w:b/>
        </w:rPr>
        <w:t>х</w:t>
      </w:r>
      <w:r>
        <w:rPr>
          <w:rFonts w:hint="eastAsia"/>
          <w:b/>
        </w:rPr>
        <w:t>”，需要进一步说明的事项请填写在备注栏。原则上，表中所列条件，</w:t>
      </w:r>
      <w:proofErr w:type="gramStart"/>
      <w:r>
        <w:rPr>
          <w:rFonts w:hint="eastAsia"/>
          <w:b/>
        </w:rPr>
        <w:t>子基金</w:t>
      </w:r>
      <w:proofErr w:type="gramEnd"/>
      <w:r>
        <w:rPr>
          <w:rFonts w:hint="eastAsia"/>
          <w:b/>
        </w:rPr>
        <w:t>应全部符合或接受。</w:t>
      </w:r>
    </w:p>
    <w:p w14:paraId="38CAA190" w14:textId="77777777" w:rsidR="009167F4" w:rsidRDefault="009167F4">
      <w:pPr>
        <w:rPr>
          <w:b/>
        </w:rPr>
      </w:pPr>
    </w:p>
    <w:p w14:paraId="50A4DEA3" w14:textId="77777777" w:rsidR="009167F4" w:rsidRDefault="009167F4">
      <w:pPr>
        <w:rPr>
          <w:b/>
        </w:rPr>
      </w:pPr>
    </w:p>
    <w:p w14:paraId="5FFDFE70" w14:textId="77777777" w:rsidR="009167F4" w:rsidRDefault="00000000">
      <w:r>
        <w:rPr>
          <w:rFonts w:hint="eastAsia"/>
          <w:b/>
        </w:rPr>
        <w:t xml:space="preserve">                                 </w:t>
      </w:r>
      <w:r>
        <w:rPr>
          <w:rFonts w:ascii="仿宋_GB2312" w:eastAsia="仿宋_GB2312" w:hint="eastAsia"/>
          <w:b/>
          <w:sz w:val="32"/>
          <w:szCs w:val="32"/>
        </w:rPr>
        <w:t xml:space="preserve">  申请机构盖章：</w:t>
      </w:r>
    </w:p>
    <w:sectPr w:rsidR="009167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5F44" w14:textId="77777777" w:rsidR="00C47FED" w:rsidRDefault="00C47FED" w:rsidP="00BD34C1">
      <w:r>
        <w:separator/>
      </w:r>
    </w:p>
  </w:endnote>
  <w:endnote w:type="continuationSeparator" w:id="0">
    <w:p w14:paraId="4DDD1929" w14:textId="77777777" w:rsidR="00C47FED" w:rsidRDefault="00C47FED" w:rsidP="00BD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80B71" w14:textId="77777777" w:rsidR="00C47FED" w:rsidRDefault="00C47FED" w:rsidP="00BD34C1">
      <w:r>
        <w:separator/>
      </w:r>
    </w:p>
  </w:footnote>
  <w:footnote w:type="continuationSeparator" w:id="0">
    <w:p w14:paraId="4BC3F05E" w14:textId="77777777" w:rsidR="00C47FED" w:rsidRDefault="00C47FED" w:rsidP="00BD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9E"/>
    <w:rsid w:val="000A4A5D"/>
    <w:rsid w:val="000B4142"/>
    <w:rsid w:val="000C0974"/>
    <w:rsid w:val="000D3181"/>
    <w:rsid w:val="000D4025"/>
    <w:rsid w:val="000E797F"/>
    <w:rsid w:val="000F7A56"/>
    <w:rsid w:val="00153449"/>
    <w:rsid w:val="0015521A"/>
    <w:rsid w:val="0016588F"/>
    <w:rsid w:val="0019342B"/>
    <w:rsid w:val="001D3A0D"/>
    <w:rsid w:val="001E71A8"/>
    <w:rsid w:val="001F73C8"/>
    <w:rsid w:val="00211E55"/>
    <w:rsid w:val="00241EED"/>
    <w:rsid w:val="00241F74"/>
    <w:rsid w:val="00267E99"/>
    <w:rsid w:val="002B3000"/>
    <w:rsid w:val="002C1301"/>
    <w:rsid w:val="002D726A"/>
    <w:rsid w:val="002E6C9B"/>
    <w:rsid w:val="00381D76"/>
    <w:rsid w:val="0039208E"/>
    <w:rsid w:val="003B7D2B"/>
    <w:rsid w:val="003D0126"/>
    <w:rsid w:val="003D0D4F"/>
    <w:rsid w:val="004172FA"/>
    <w:rsid w:val="00423682"/>
    <w:rsid w:val="0042619E"/>
    <w:rsid w:val="00477A80"/>
    <w:rsid w:val="00497ECB"/>
    <w:rsid w:val="004A7543"/>
    <w:rsid w:val="004D66C5"/>
    <w:rsid w:val="004F61BE"/>
    <w:rsid w:val="004F67E5"/>
    <w:rsid w:val="004F690F"/>
    <w:rsid w:val="00592E6B"/>
    <w:rsid w:val="00611B63"/>
    <w:rsid w:val="00616173"/>
    <w:rsid w:val="00671A92"/>
    <w:rsid w:val="00695410"/>
    <w:rsid w:val="006B5367"/>
    <w:rsid w:val="006E6D27"/>
    <w:rsid w:val="00712A54"/>
    <w:rsid w:val="00726530"/>
    <w:rsid w:val="00733623"/>
    <w:rsid w:val="007A2E0A"/>
    <w:rsid w:val="007B7594"/>
    <w:rsid w:val="007C22E8"/>
    <w:rsid w:val="00804412"/>
    <w:rsid w:val="00836F4F"/>
    <w:rsid w:val="008378BF"/>
    <w:rsid w:val="0085106E"/>
    <w:rsid w:val="0087520F"/>
    <w:rsid w:val="008803A3"/>
    <w:rsid w:val="00885967"/>
    <w:rsid w:val="008D026D"/>
    <w:rsid w:val="008D3686"/>
    <w:rsid w:val="008D637F"/>
    <w:rsid w:val="00903DAA"/>
    <w:rsid w:val="009167F4"/>
    <w:rsid w:val="00953F79"/>
    <w:rsid w:val="00996B56"/>
    <w:rsid w:val="00997181"/>
    <w:rsid w:val="009C15FE"/>
    <w:rsid w:val="009D1B4C"/>
    <w:rsid w:val="009D57E4"/>
    <w:rsid w:val="00A6155F"/>
    <w:rsid w:val="00A7147F"/>
    <w:rsid w:val="00A73D18"/>
    <w:rsid w:val="00A97E94"/>
    <w:rsid w:val="00B42DC1"/>
    <w:rsid w:val="00B76B76"/>
    <w:rsid w:val="00B809D0"/>
    <w:rsid w:val="00B82211"/>
    <w:rsid w:val="00B94FCE"/>
    <w:rsid w:val="00BA5242"/>
    <w:rsid w:val="00BA71FD"/>
    <w:rsid w:val="00BB7983"/>
    <w:rsid w:val="00BC2F95"/>
    <w:rsid w:val="00BD34C1"/>
    <w:rsid w:val="00BE58DD"/>
    <w:rsid w:val="00C17F7A"/>
    <w:rsid w:val="00C47FED"/>
    <w:rsid w:val="00C93504"/>
    <w:rsid w:val="00CB4909"/>
    <w:rsid w:val="00CE2EC9"/>
    <w:rsid w:val="00D47CC3"/>
    <w:rsid w:val="00E167A0"/>
    <w:rsid w:val="00E4571B"/>
    <w:rsid w:val="00E5216D"/>
    <w:rsid w:val="00E74D75"/>
    <w:rsid w:val="00E803DB"/>
    <w:rsid w:val="00E90565"/>
    <w:rsid w:val="00EA296B"/>
    <w:rsid w:val="00EA68DB"/>
    <w:rsid w:val="00EC3C7B"/>
    <w:rsid w:val="00ED4FA5"/>
    <w:rsid w:val="00F77385"/>
    <w:rsid w:val="00F95E44"/>
    <w:rsid w:val="092D26F2"/>
    <w:rsid w:val="1C11693B"/>
    <w:rsid w:val="3EEBB131"/>
    <w:rsid w:val="597F51C4"/>
    <w:rsid w:val="743C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BF18"/>
  <w15:docId w15:val="{5D4D9109-D8EF-47B9-BE5C-044D70B2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spacing w:line="440" w:lineRule="exact"/>
      <w:ind w:firstLineChars="200" w:firstLine="420"/>
    </w:pPr>
    <w:rPr>
      <w:rFonts w:ascii="Arial" w:hAnsi="Arial"/>
      <w:szCs w:val="24"/>
    </w:rPr>
  </w:style>
  <w:style w:type="character" w:customStyle="1" w:styleId="a4">
    <w:name w:val="批注框文本 字符"/>
    <w:basedOn w:val="a0"/>
    <w:link w:val="a3"/>
    <w:uiPriority w:val="99"/>
    <w:semiHidden/>
    <w:rPr>
      <w:rFonts w:ascii="Calibri" w:hAnsi="Calibri"/>
      <w:kern w:val="2"/>
      <w:sz w:val="18"/>
      <w:szCs w:val="18"/>
    </w:rPr>
  </w:style>
  <w:style w:type="paragraph" w:customStyle="1" w:styleId="1">
    <w:name w:val="修订1"/>
    <w:hidden/>
    <w:uiPriority w:val="99"/>
    <w:semiHidden/>
    <w:rPr>
      <w:rFonts w:ascii="Calibri" w:hAnsi="Calibri"/>
      <w:kern w:val="2"/>
      <w:sz w:val="21"/>
      <w:szCs w:val="22"/>
    </w:rPr>
  </w:style>
  <w:style w:type="paragraph" w:styleId="aa">
    <w:name w:val="Revision"/>
    <w:hidden/>
    <w:uiPriority w:val="99"/>
    <w:unhideWhenUsed/>
    <w:rsid w:val="00BD34C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mengsha huang</cp:lastModifiedBy>
  <cp:revision>12</cp:revision>
  <cp:lastPrinted>2022-11-24T01:32:00Z</cp:lastPrinted>
  <dcterms:created xsi:type="dcterms:W3CDTF">2022-11-24T01:20:00Z</dcterms:created>
  <dcterms:modified xsi:type="dcterms:W3CDTF">2024-04-11T07:24:00Z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26C588AD922FFAC3E4F9116666012439_42</vt:lpwstr>
  </property>
</Properties>
</file>