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B1461">
      <w:pPr>
        <w:spacing w:line="560" w:lineRule="exact"/>
        <w:jc w:val="center"/>
        <w:outlineLvl w:val="0"/>
        <w:rPr>
          <w:rFonts w:hint="eastAsia" w:ascii="青鸟华光简小标宋" w:hAnsi="青鸟华光简小标宋" w:eastAsia="青鸟华光简小标宋" w:cs="青鸟华光简小标宋"/>
          <w:b/>
          <w:bCs/>
          <w:sz w:val="44"/>
          <w:szCs w:val="44"/>
          <w:highlight w:val="none"/>
        </w:rPr>
      </w:pPr>
      <w:bookmarkStart w:id="3" w:name="_GoBack"/>
      <w:bookmarkEnd w:id="3"/>
      <w:r>
        <w:rPr>
          <w:rFonts w:ascii="Times New Roman" w:hAnsi="Times New Roman" w:eastAsia="迷你简小标宋" w:cs="Times New Roman"/>
          <w:b/>
          <w:color w:val="000000"/>
          <w:kern w:val="0"/>
          <w:sz w:val="44"/>
          <w:szCs w:val="44"/>
          <w:highlight w:val="none"/>
          <w:shd w:val="clear" w:color="auto" w:fill="FFFFFF"/>
        </w:rPr>
        <w:t>南宁产业高质量发展一期母基金</w:t>
      </w:r>
      <w:r>
        <w:rPr>
          <w:rFonts w:hint="eastAsia" w:ascii="青鸟华光简小标宋" w:hAnsi="青鸟华光简小标宋" w:eastAsia="青鸟华光简小标宋" w:cs="青鸟华光简小标宋"/>
          <w:b/>
          <w:bCs/>
          <w:sz w:val="44"/>
          <w:szCs w:val="44"/>
          <w:highlight w:val="none"/>
        </w:rPr>
        <w:t>合伙企业</w:t>
      </w:r>
    </w:p>
    <w:p w14:paraId="3EA74F6E">
      <w:pPr>
        <w:spacing w:line="560" w:lineRule="exact"/>
        <w:jc w:val="center"/>
        <w:outlineLvl w:val="0"/>
        <w:rPr>
          <w:rFonts w:ascii="Times New Roman" w:hAnsi="Times New Roman" w:eastAsia="迷你简小标宋" w:cs="Times New Roman"/>
          <w:b/>
          <w:color w:val="000000"/>
          <w:kern w:val="0"/>
          <w:sz w:val="44"/>
          <w:szCs w:val="44"/>
          <w:highlight w:val="none"/>
          <w:shd w:val="clear" w:color="auto" w:fill="FFFFFF"/>
        </w:rPr>
      </w:pPr>
      <w:r>
        <w:rPr>
          <w:rFonts w:hint="eastAsia" w:ascii="青鸟华光简小标宋" w:hAnsi="青鸟华光简小标宋" w:eastAsia="青鸟华光简小标宋" w:cs="青鸟华光简小标宋"/>
          <w:b/>
          <w:bCs/>
          <w:sz w:val="44"/>
          <w:szCs w:val="44"/>
          <w:highlight w:val="none"/>
        </w:rPr>
        <w:t>（有限合伙）</w:t>
      </w:r>
      <w:r>
        <w:rPr>
          <w:rFonts w:hint="eastAsia" w:ascii="青鸟华光简小标宋" w:hAnsi="青鸟华光简小标宋" w:eastAsia="青鸟华光简小标宋" w:cs="青鸟华光简小标宋"/>
          <w:b/>
          <w:bCs/>
          <w:sz w:val="44"/>
          <w:szCs w:val="44"/>
          <w:highlight w:val="none"/>
          <w:lang w:val="en-US" w:eastAsia="zh-CN"/>
        </w:rPr>
        <w:t>之</w:t>
      </w:r>
      <w:r>
        <w:rPr>
          <w:rFonts w:ascii="Times New Roman" w:hAnsi="Times New Roman" w:eastAsia="迷你简小标宋" w:cs="Times New Roman"/>
          <w:b/>
          <w:color w:val="000000"/>
          <w:kern w:val="0"/>
          <w:sz w:val="44"/>
          <w:szCs w:val="44"/>
          <w:highlight w:val="none"/>
          <w:shd w:val="clear" w:color="auto" w:fill="FFFFFF"/>
        </w:rPr>
        <w:t>子基金及</w:t>
      </w:r>
      <w:r>
        <w:rPr>
          <w:rFonts w:hint="eastAsia" w:ascii="Times New Roman" w:hAnsi="Times New Roman" w:eastAsia="迷你简小标宋" w:cs="Times New Roman"/>
          <w:b/>
          <w:color w:val="000000"/>
          <w:kern w:val="0"/>
          <w:sz w:val="44"/>
          <w:szCs w:val="44"/>
          <w:highlight w:val="none"/>
          <w:shd w:val="clear" w:color="auto" w:fill="FFFFFF"/>
          <w:lang w:val="en-US" w:eastAsia="zh-CN"/>
        </w:rPr>
        <w:t>子</w:t>
      </w:r>
      <w:r>
        <w:rPr>
          <w:rFonts w:ascii="Times New Roman" w:hAnsi="Times New Roman" w:eastAsia="迷你简小标宋" w:cs="Times New Roman"/>
          <w:b/>
          <w:color w:val="000000"/>
          <w:kern w:val="0"/>
          <w:sz w:val="44"/>
          <w:szCs w:val="44"/>
          <w:highlight w:val="none"/>
          <w:shd w:val="clear" w:color="auto" w:fill="FFFFFF"/>
        </w:rPr>
        <w:t>基金管理人</w:t>
      </w:r>
    </w:p>
    <w:p w14:paraId="5F592DAA">
      <w:pPr>
        <w:spacing w:line="560" w:lineRule="exact"/>
        <w:jc w:val="center"/>
        <w:outlineLvl w:val="0"/>
        <w:rPr>
          <w:rFonts w:ascii="Times New Roman" w:hAnsi="Times New Roman" w:eastAsia="迷你简小标宋" w:cs="Times New Roman"/>
          <w:b/>
          <w:color w:val="000000"/>
          <w:kern w:val="0"/>
          <w:sz w:val="44"/>
          <w:szCs w:val="44"/>
          <w:highlight w:val="none"/>
          <w:shd w:val="clear" w:color="auto" w:fill="FFFFFF"/>
        </w:rPr>
      </w:pPr>
      <w:r>
        <w:rPr>
          <w:rFonts w:ascii="Times New Roman" w:hAnsi="Times New Roman" w:eastAsia="迷你简小标宋" w:cs="Times New Roman"/>
          <w:b/>
          <w:color w:val="000000"/>
          <w:kern w:val="0"/>
          <w:sz w:val="44"/>
          <w:szCs w:val="44"/>
          <w:highlight w:val="none"/>
          <w:shd w:val="clear" w:color="auto" w:fill="FFFFFF"/>
        </w:rPr>
        <w:t>申报条件</w:t>
      </w:r>
    </w:p>
    <w:p w14:paraId="78778F63">
      <w:pPr>
        <w:spacing w:line="560" w:lineRule="exact"/>
        <w:jc w:val="both"/>
        <w:rPr>
          <w:rFonts w:ascii="Times New Roman" w:hAnsi="Times New Roman" w:eastAsia="仿宋_GB2312" w:cs="Times New Roman"/>
          <w:color w:val="000000"/>
          <w:spacing w:val="10"/>
          <w:sz w:val="44"/>
          <w:szCs w:val="44"/>
          <w:highlight w:val="none"/>
        </w:rPr>
      </w:pPr>
    </w:p>
    <w:p w14:paraId="07677C5B">
      <w:pPr>
        <w:pStyle w:val="30"/>
        <w:widowControl/>
        <w:spacing w:line="570" w:lineRule="exact"/>
        <w:ind w:firstLine="640"/>
        <w:outlineLvl w:val="1"/>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一、子基金管理人应具备的条件</w:t>
      </w:r>
    </w:p>
    <w:p w14:paraId="41BA3B49">
      <w:pPr>
        <w:pStyle w:val="30"/>
        <w:numPr>
          <w:ilvl w:val="0"/>
          <w:numId w:val="1"/>
        </w:numPr>
        <w:overflowPunct w:val="0"/>
        <w:adjustRightInd w:val="0"/>
        <w:snapToGrid w:val="0"/>
        <w:spacing w:line="560" w:lineRule="exact"/>
        <w:ind w:firstLineChars="0"/>
        <w:outlineLvl w:val="1"/>
        <w:rPr>
          <w:rFonts w:hint="eastAsia" w:ascii="楷体" w:hAnsi="楷体" w:eastAsia="楷体" w:cs="楷体"/>
          <w:bCs/>
          <w:sz w:val="32"/>
          <w:szCs w:val="32"/>
          <w:highlight w:val="none"/>
        </w:rPr>
      </w:pPr>
      <w:r>
        <w:rPr>
          <w:rFonts w:hint="eastAsia" w:ascii="楷体" w:hAnsi="楷体" w:eastAsia="楷体" w:cs="楷体"/>
          <w:bCs/>
          <w:sz w:val="32"/>
          <w:szCs w:val="32"/>
          <w:highlight w:val="none"/>
        </w:rPr>
        <w:t>管理资质</w:t>
      </w:r>
    </w:p>
    <w:p w14:paraId="6AD39E4A">
      <w:pPr>
        <w:overflowPunct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1.在中国大陆依法设立的公司或合伙企业，已完成中国证券投资基金业协会私募基金管理人登记，实缴注册资本不低于</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000万元人民币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完成首次基金备案不低于5年</w:t>
      </w:r>
      <w:r>
        <w:rPr>
          <w:rFonts w:hint="eastAsia" w:ascii="仿宋_GB2312" w:hAnsi="仿宋_GB2312" w:eastAsia="仿宋_GB2312" w:cs="仿宋_GB2312"/>
          <w:sz w:val="32"/>
          <w:szCs w:val="32"/>
          <w:highlight w:val="none"/>
        </w:rPr>
        <w:t>；</w:t>
      </w:r>
    </w:p>
    <w:p w14:paraId="1BBE1EAE">
      <w:pPr>
        <w:overflowPunct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2.子基金管理机构及其董事、监事、高级管理人员及其他从业人员在最近三年无重大违法违规记录；</w:t>
      </w:r>
    </w:p>
    <w:p w14:paraId="70C78C94">
      <w:pPr>
        <w:overflowPunct w:val="0"/>
        <w:adjustRightInd w:val="0"/>
        <w:snapToGrid w:val="0"/>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3.有符合要求的营业场所、安全防范设施和与基金管理业务有关的其他设施</w:t>
      </w:r>
      <w:r>
        <w:rPr>
          <w:rFonts w:hint="eastAsia" w:ascii="仿宋_GB2312" w:hAnsi="仿宋_GB2312" w:eastAsia="仿宋_GB2312" w:cs="仿宋_GB2312"/>
          <w:sz w:val="32"/>
          <w:szCs w:val="32"/>
          <w:highlight w:val="none"/>
          <w:lang w:eastAsia="zh-CN"/>
        </w:rPr>
        <w:t>；</w:t>
      </w:r>
    </w:p>
    <w:p w14:paraId="0054AB61">
      <w:pPr>
        <w:overflowPunct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4.子基金管理机构获得过具有行业影响力的奖项。</w:t>
      </w:r>
    </w:p>
    <w:p w14:paraId="00BE9EDD">
      <w:pPr>
        <w:pStyle w:val="30"/>
        <w:numPr>
          <w:ilvl w:val="0"/>
          <w:numId w:val="1"/>
        </w:numPr>
        <w:overflowPunct w:val="0"/>
        <w:adjustRightInd w:val="0"/>
        <w:snapToGrid w:val="0"/>
        <w:spacing w:line="560" w:lineRule="exact"/>
        <w:ind w:firstLineChars="0"/>
        <w:outlineLvl w:val="1"/>
        <w:rPr>
          <w:rFonts w:hint="eastAsia" w:ascii="楷体" w:hAnsi="楷体" w:eastAsia="楷体" w:cs="楷体"/>
          <w:bCs/>
          <w:sz w:val="32"/>
          <w:szCs w:val="32"/>
          <w:highlight w:val="none"/>
        </w:rPr>
      </w:pPr>
      <w:r>
        <w:rPr>
          <w:rFonts w:hint="eastAsia" w:ascii="楷体" w:hAnsi="楷体" w:eastAsia="楷体" w:cs="楷体"/>
          <w:bCs/>
          <w:sz w:val="32"/>
          <w:szCs w:val="32"/>
          <w:highlight w:val="none"/>
        </w:rPr>
        <w:t>子基金管理机构</w:t>
      </w:r>
      <w:r>
        <w:rPr>
          <w:rFonts w:hint="eastAsia" w:ascii="楷体" w:hAnsi="楷体" w:eastAsia="楷体" w:cs="楷体"/>
          <w:bCs/>
          <w:sz w:val="32"/>
          <w:szCs w:val="32"/>
          <w:highlight w:val="none"/>
          <w:lang w:val="en-US" w:eastAsia="zh-CN"/>
        </w:rPr>
        <w:t>需同时满足以下条件：</w:t>
      </w:r>
    </w:p>
    <w:p w14:paraId="70047F19">
      <w:pPr>
        <w:numPr>
          <w:ilvl w:val="0"/>
          <w:numId w:val="2"/>
        </w:numPr>
        <w:overflowPunct w:val="0"/>
        <w:adjustRightInd w:val="0"/>
        <w:snapToGrid w:val="0"/>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在基金业协会备案不少于10名从业人员；</w:t>
      </w:r>
    </w:p>
    <w:p w14:paraId="1579FC32">
      <w:pPr>
        <w:numPr>
          <w:ilvl w:val="0"/>
          <w:numId w:val="2"/>
        </w:numPr>
        <w:overflowPunct w:val="0"/>
        <w:adjustRightInd w:val="0"/>
        <w:snapToGrid w:val="0"/>
        <w:spacing w:line="560" w:lineRule="exact"/>
        <w:ind w:left="0" w:lef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备案人员中</w:t>
      </w:r>
      <w:r>
        <w:rPr>
          <w:rFonts w:hint="eastAsia" w:ascii="仿宋_GB2312" w:hAnsi="仿宋_GB2312" w:eastAsia="仿宋_GB2312" w:cs="仿宋_GB2312"/>
          <w:sz w:val="32"/>
          <w:szCs w:val="32"/>
          <w:highlight w:val="none"/>
        </w:rPr>
        <w:t>具备3名以上从事投资或私募股权投资基金管理工作经验（</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年以上）的管理人员</w:t>
      </w:r>
      <w:r>
        <w:rPr>
          <w:rFonts w:hint="eastAsia" w:ascii="仿宋_GB2312" w:hAnsi="仿宋_GB2312" w:eastAsia="仿宋_GB2312" w:cs="仿宋_GB2312"/>
          <w:sz w:val="32"/>
          <w:szCs w:val="32"/>
          <w:highlight w:val="none"/>
          <w:lang w:eastAsia="zh-CN"/>
        </w:rPr>
        <w:t>；</w:t>
      </w:r>
    </w:p>
    <w:p w14:paraId="4CC01632">
      <w:pPr>
        <w:numPr>
          <w:ilvl w:val="0"/>
          <w:numId w:val="2"/>
        </w:numPr>
        <w:overflowPunct w:val="0"/>
        <w:adjustRightInd w:val="0"/>
        <w:snapToGrid w:val="0"/>
        <w:spacing w:line="560" w:lineRule="exact"/>
        <w:ind w:left="0" w:lef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管理人员相互合作年限不低于5年</w:t>
      </w:r>
      <w:r>
        <w:rPr>
          <w:rFonts w:hint="eastAsia" w:ascii="仿宋_GB2312" w:hAnsi="仿宋_GB2312" w:eastAsia="仿宋_GB2312" w:cs="仿宋_GB2312"/>
          <w:sz w:val="32"/>
          <w:szCs w:val="32"/>
          <w:highlight w:val="none"/>
          <w:lang w:eastAsia="zh-CN"/>
        </w:rPr>
        <w:t>；</w:t>
      </w:r>
    </w:p>
    <w:p w14:paraId="4780D9E9">
      <w:pPr>
        <w:numPr>
          <w:ilvl w:val="0"/>
          <w:numId w:val="2"/>
        </w:numPr>
        <w:overflowPunct w:val="0"/>
        <w:adjustRightInd w:val="0"/>
        <w:snapToGrid w:val="0"/>
        <w:spacing w:line="560" w:lineRule="exact"/>
        <w:ind w:left="0" w:lef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管理</w:t>
      </w:r>
      <w:r>
        <w:rPr>
          <w:rFonts w:hint="eastAsia" w:ascii="仿宋_GB2312" w:hAnsi="仿宋_GB2312" w:eastAsia="仿宋_GB2312" w:cs="仿宋_GB2312"/>
          <w:sz w:val="32"/>
          <w:szCs w:val="32"/>
          <w:highlight w:val="none"/>
          <w:lang w:val="en-US" w:eastAsia="zh-CN"/>
        </w:rPr>
        <w:t>机构</w:t>
      </w:r>
      <w:r>
        <w:rPr>
          <w:rFonts w:hint="eastAsia" w:ascii="仿宋_GB2312" w:hAnsi="仿宋_GB2312" w:eastAsia="仿宋_GB2312" w:cs="仿宋_GB2312"/>
          <w:sz w:val="32"/>
          <w:szCs w:val="32"/>
          <w:highlight w:val="none"/>
        </w:rPr>
        <w:t>具备管理</w:t>
      </w:r>
      <w:r>
        <w:rPr>
          <w:rFonts w:hint="eastAsia" w:ascii="仿宋_GB2312" w:hAnsi="仿宋_GB2312" w:eastAsia="仿宋_GB2312" w:cs="仿宋_GB2312"/>
          <w:sz w:val="32"/>
          <w:szCs w:val="32"/>
          <w:highlight w:val="none"/>
          <w:lang w:val="en-US" w:eastAsia="zh-CN"/>
        </w:rPr>
        <w:t>3只</w:t>
      </w:r>
      <w:r>
        <w:rPr>
          <w:rFonts w:hint="eastAsia" w:ascii="仿宋_GB2312" w:hAnsi="仿宋_GB2312" w:eastAsia="仿宋_GB2312" w:cs="仿宋_GB2312"/>
          <w:sz w:val="32"/>
          <w:szCs w:val="32"/>
          <w:highlight w:val="none"/>
        </w:rPr>
        <w:t>规模</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000万元以上</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私募股权投资基金的管理经验或具备5个以上投资规模</w:t>
      </w:r>
      <w:r>
        <w:rPr>
          <w:rFonts w:hint="eastAsia" w:ascii="仿宋_GB2312" w:hAnsi="仿宋_GB2312" w:eastAsia="仿宋_GB2312" w:cs="仿宋_GB2312"/>
          <w:sz w:val="32"/>
          <w:szCs w:val="32"/>
          <w:highlight w:val="none"/>
          <w:lang w:val="en-US"/>
        </w:rPr>
        <w:t>2</w:t>
      </w:r>
      <w:r>
        <w:rPr>
          <w:rFonts w:hint="eastAsia" w:ascii="仿宋_GB2312" w:hAnsi="仿宋_GB2312" w:eastAsia="仿宋_GB2312" w:cs="仿宋_GB2312"/>
          <w:sz w:val="32"/>
          <w:szCs w:val="32"/>
          <w:highlight w:val="none"/>
        </w:rPr>
        <w:t>000万元以上的企业投资案例</w:t>
      </w:r>
      <w:r>
        <w:rPr>
          <w:rFonts w:hint="eastAsia" w:ascii="仿宋_GB2312" w:hAnsi="仿宋_GB2312" w:eastAsia="仿宋_GB2312" w:cs="仿宋_GB2312"/>
          <w:sz w:val="32"/>
          <w:szCs w:val="32"/>
          <w:highlight w:val="none"/>
          <w:lang w:eastAsia="zh-CN"/>
        </w:rPr>
        <w:t>；</w:t>
      </w:r>
    </w:p>
    <w:p w14:paraId="31C494C0">
      <w:pPr>
        <w:numPr>
          <w:ilvl w:val="0"/>
          <w:numId w:val="2"/>
        </w:numPr>
        <w:overflowPunct w:val="0"/>
        <w:adjustRightInd w:val="0"/>
        <w:snapToGrid w:val="0"/>
        <w:spacing w:line="560" w:lineRule="exact"/>
        <w:ind w:left="0" w:lef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管理</w:t>
      </w:r>
      <w:r>
        <w:rPr>
          <w:rFonts w:hint="eastAsia" w:ascii="仿宋_GB2312" w:hAnsi="仿宋_GB2312" w:eastAsia="仿宋_GB2312" w:cs="仿宋_GB2312"/>
          <w:sz w:val="32"/>
          <w:szCs w:val="32"/>
          <w:highlight w:val="none"/>
          <w:lang w:val="en-US" w:eastAsia="zh-CN"/>
        </w:rPr>
        <w:t>机构</w:t>
      </w:r>
      <w:r>
        <w:rPr>
          <w:rFonts w:hint="eastAsia" w:ascii="仿宋_GB2312" w:hAnsi="仿宋_GB2312" w:eastAsia="仿宋_GB2312" w:cs="仿宋_GB2312"/>
          <w:sz w:val="32"/>
          <w:szCs w:val="32"/>
          <w:highlight w:val="none"/>
        </w:rPr>
        <w:t>应具备投资项目或基金退出案例不少于</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val="en-US" w:eastAsia="zh-CN"/>
        </w:rPr>
        <w:t>基金</w:t>
      </w:r>
      <w:r>
        <w:rPr>
          <w:rFonts w:hint="eastAsia" w:ascii="仿宋_GB2312" w:hAnsi="仿宋_GB2312" w:eastAsia="仿宋_GB2312" w:cs="仿宋_GB2312"/>
          <w:sz w:val="32"/>
          <w:szCs w:val="32"/>
          <w:highlight w:val="none"/>
        </w:rPr>
        <w:t>投资收益率</w:t>
      </w:r>
      <w:r>
        <w:rPr>
          <w:rFonts w:hint="eastAsia" w:ascii="仿宋_GB2312" w:hAnsi="仿宋_GB2312" w:eastAsia="仿宋_GB2312" w:cs="仿宋_GB2312"/>
          <w:sz w:val="32"/>
          <w:szCs w:val="32"/>
          <w:highlight w:val="none"/>
          <w:lang w:eastAsia="zh-CN"/>
        </w:rPr>
        <w:t>超过10%</w:t>
      </w:r>
      <w:r>
        <w:rPr>
          <w:rFonts w:hint="eastAsia" w:ascii="仿宋_GB2312" w:hAnsi="仿宋_GB2312" w:eastAsia="仿宋_GB2312" w:cs="仿宋_GB2312"/>
          <w:sz w:val="32"/>
          <w:szCs w:val="32"/>
          <w:highlight w:val="none"/>
          <w:lang w:val="en-US" w:eastAsia="zh-CN"/>
        </w:rPr>
        <w:t>或</w:t>
      </w:r>
      <w:r>
        <w:rPr>
          <w:rFonts w:hint="eastAsia" w:ascii="仿宋_GB2312" w:hAnsi="仿宋_GB2312" w:eastAsia="仿宋_GB2312" w:cs="仿宋_GB2312"/>
          <w:sz w:val="32"/>
          <w:szCs w:val="32"/>
          <w:highlight w:val="none"/>
        </w:rPr>
        <w:t>至少有一个项目投资收益率超过50%）</w:t>
      </w:r>
      <w:r>
        <w:rPr>
          <w:rFonts w:hint="eastAsia" w:ascii="仿宋_GB2312" w:hAnsi="仿宋_GB2312" w:eastAsia="仿宋_GB2312" w:cs="仿宋_GB2312"/>
          <w:sz w:val="32"/>
          <w:szCs w:val="32"/>
          <w:highlight w:val="none"/>
          <w:lang w:eastAsia="zh-CN"/>
        </w:rPr>
        <w:t>；</w:t>
      </w:r>
    </w:p>
    <w:p w14:paraId="755A926F">
      <w:pPr>
        <w:numPr>
          <w:ilvl w:val="0"/>
          <w:numId w:val="2"/>
        </w:numPr>
        <w:overflowPunct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旗下基金投资产业落地项目2个以上或基金管理</w:t>
      </w:r>
      <w:r>
        <w:rPr>
          <w:rFonts w:hint="eastAsia" w:ascii="仿宋_GB2312" w:hAnsi="仿宋_GB2312" w:eastAsia="仿宋_GB2312" w:cs="仿宋_GB2312"/>
          <w:sz w:val="32"/>
          <w:szCs w:val="32"/>
          <w:highlight w:val="none"/>
          <w:lang w:val="en-US" w:eastAsia="zh-CN"/>
        </w:rPr>
        <w:t>机构</w:t>
      </w:r>
      <w:r>
        <w:rPr>
          <w:rFonts w:hint="eastAsia" w:ascii="仿宋_GB2312" w:hAnsi="仿宋_GB2312" w:eastAsia="仿宋_GB2312" w:cs="仿宋_GB2312"/>
          <w:sz w:val="32"/>
          <w:szCs w:val="32"/>
          <w:highlight w:val="none"/>
        </w:rPr>
        <w:t>实现产业落地项目3个以上</w:t>
      </w:r>
      <w:r>
        <w:rPr>
          <w:rFonts w:hint="eastAsia" w:ascii="仿宋_GB2312" w:hAnsi="仿宋_GB2312" w:eastAsia="仿宋_GB2312" w:cs="仿宋_GB2312"/>
          <w:sz w:val="32"/>
          <w:szCs w:val="32"/>
          <w:highlight w:val="none"/>
          <w:lang w:eastAsia="zh-CN"/>
        </w:rPr>
        <w:t>。</w:t>
      </w:r>
    </w:p>
    <w:p w14:paraId="12121667">
      <w:pPr>
        <w:pStyle w:val="30"/>
        <w:numPr>
          <w:ilvl w:val="0"/>
          <w:numId w:val="1"/>
        </w:numPr>
        <w:overflowPunct w:val="0"/>
        <w:adjustRightInd w:val="0"/>
        <w:snapToGrid w:val="0"/>
        <w:spacing w:line="560" w:lineRule="exact"/>
        <w:ind w:firstLineChars="0"/>
        <w:outlineLvl w:val="1"/>
        <w:rPr>
          <w:rFonts w:hint="eastAsia" w:ascii="楷体" w:hAnsi="楷体" w:eastAsia="楷体" w:cs="楷体"/>
          <w:bCs/>
          <w:sz w:val="32"/>
          <w:szCs w:val="32"/>
          <w:highlight w:val="none"/>
        </w:rPr>
      </w:pPr>
      <w:r>
        <w:rPr>
          <w:rFonts w:hint="eastAsia" w:ascii="楷体" w:hAnsi="楷体" w:eastAsia="楷体" w:cs="楷体"/>
          <w:bCs/>
          <w:sz w:val="32"/>
          <w:szCs w:val="32"/>
          <w:highlight w:val="none"/>
        </w:rPr>
        <w:t>募资能力</w:t>
      </w:r>
    </w:p>
    <w:p w14:paraId="6B4E4C92">
      <w:pPr>
        <w:spacing w:line="560" w:lineRule="exact"/>
        <w:ind w:firstLine="640" w:firstLineChars="200"/>
        <w:rPr>
          <w:rFonts w:hint="eastAsia" w:ascii="仿宋_GB2312" w:hAnsi="仿宋_GB2312" w:eastAsia="仿宋_GB2312" w:cs="仿宋_GB2312"/>
          <w:sz w:val="32"/>
          <w:szCs w:val="32"/>
          <w:highlight w:val="none"/>
        </w:rPr>
      </w:pPr>
      <w:bookmarkStart w:id="0" w:name="_Hlk130308157"/>
      <w:r>
        <w:rPr>
          <w:rFonts w:hint="eastAsia" w:ascii="仿宋_GB2312" w:hAnsi="仿宋_GB2312" w:eastAsia="仿宋_GB2312" w:cs="仿宋_GB2312"/>
          <w:sz w:val="32"/>
          <w:szCs w:val="32"/>
          <w:highlight w:val="none"/>
        </w:rPr>
        <w:t>1.子基金管理机构应依法募集，募集对象需符合合格投资者要求，境外出资人应符合国家相关规定；</w:t>
      </w:r>
    </w:p>
    <w:p w14:paraId="685240A2">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2.子基金管理机构有较强资金募集能力，并能提供不低于基金规模的50%（不含母基金出资部分）的募资能力证明材料；</w:t>
      </w:r>
    </w:p>
    <w:p w14:paraId="4DE922D3">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子基金管理机构应承诺自母基金投资决策机构作出有效投资决议之日起3个月内完成子基金的工商注册和中国证券投资基金业协会备案工作。母基金以增资方式进入子基金的，还须同时提供子基金现有全体出资人同意母基金以不高于评估价值增资的相关确认证明文件。</w:t>
      </w:r>
    </w:p>
    <w:bookmarkEnd w:id="0"/>
    <w:p w14:paraId="49F81495">
      <w:pPr>
        <w:pStyle w:val="30"/>
        <w:numPr>
          <w:ilvl w:val="0"/>
          <w:numId w:val="1"/>
        </w:numPr>
        <w:overflowPunct w:val="0"/>
        <w:adjustRightInd w:val="0"/>
        <w:snapToGrid w:val="0"/>
        <w:spacing w:line="560" w:lineRule="exact"/>
        <w:ind w:firstLineChars="0"/>
        <w:outlineLvl w:val="1"/>
        <w:rPr>
          <w:rFonts w:hint="eastAsia" w:ascii="楷体" w:hAnsi="楷体" w:eastAsia="楷体" w:cs="楷体"/>
          <w:bCs/>
          <w:sz w:val="32"/>
          <w:szCs w:val="32"/>
          <w:highlight w:val="none"/>
        </w:rPr>
      </w:pPr>
      <w:r>
        <w:rPr>
          <w:rFonts w:hint="eastAsia" w:ascii="楷体" w:hAnsi="楷体" w:eastAsia="楷体" w:cs="楷体"/>
          <w:bCs/>
          <w:sz w:val="32"/>
          <w:szCs w:val="32"/>
          <w:highlight w:val="none"/>
        </w:rPr>
        <w:t>项目储备</w:t>
      </w:r>
    </w:p>
    <w:p w14:paraId="10C707A1">
      <w:pPr>
        <w:spacing w:line="560" w:lineRule="exact"/>
        <w:ind w:firstLine="640" w:firstLineChars="200"/>
        <w:rPr>
          <w:rFonts w:hint="eastAsia" w:ascii="仿宋_GB2312" w:hAnsi="仿宋_GB2312" w:eastAsia="仿宋_GB2312" w:cs="仿宋_GB2312"/>
          <w:sz w:val="32"/>
          <w:szCs w:val="32"/>
          <w:highlight w:val="none"/>
        </w:rPr>
      </w:pPr>
      <w:bookmarkStart w:id="1" w:name="_Hlk130308171"/>
      <w:r>
        <w:rPr>
          <w:rFonts w:hint="eastAsia" w:ascii="仿宋_GB2312" w:hAnsi="仿宋_GB2312" w:eastAsia="仿宋_GB2312" w:cs="仿宋_GB2312"/>
          <w:sz w:val="32"/>
          <w:szCs w:val="32"/>
          <w:highlight w:val="none"/>
        </w:rPr>
        <w:t>子基金管理机构拥有一定投资规模的储备项目，储备项目的计划投资额加总达到基金总规模的50%（含）以上，原则上储备项目需包含具备返投南宁市意向的相关项目；分期募集的子基金，储备项目的计划投资额应达到该期基金总规模的50%（含）以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原则上储备项目需包含具备返投南宁市意向的相关项目。原则上子基金管理人应提供储备项目清单，并明确项目进度，提供相关的佐证材料包括但不限于与项目方的战略合作协议、尽调协议、初步尽调报告等。</w:t>
      </w:r>
    </w:p>
    <w:bookmarkEnd w:id="1"/>
    <w:p w14:paraId="19381442">
      <w:pPr>
        <w:pStyle w:val="30"/>
        <w:numPr>
          <w:ilvl w:val="0"/>
          <w:numId w:val="1"/>
        </w:numPr>
        <w:overflowPunct w:val="0"/>
        <w:adjustRightInd w:val="0"/>
        <w:snapToGrid w:val="0"/>
        <w:spacing w:line="560" w:lineRule="exact"/>
        <w:ind w:firstLineChars="0"/>
        <w:outlineLvl w:val="1"/>
        <w:rPr>
          <w:rFonts w:hint="eastAsia" w:ascii="楷体" w:hAnsi="楷体" w:eastAsia="楷体" w:cs="楷体"/>
          <w:sz w:val="32"/>
          <w:szCs w:val="32"/>
          <w:highlight w:val="none"/>
        </w:rPr>
      </w:pPr>
      <w:r>
        <w:rPr>
          <w:rFonts w:hint="eastAsia" w:ascii="楷体" w:hAnsi="楷体" w:eastAsia="楷体" w:cs="楷体"/>
          <w:sz w:val="32"/>
          <w:szCs w:val="32"/>
          <w:highlight w:val="none"/>
        </w:rPr>
        <w:t>风险控制</w:t>
      </w:r>
    </w:p>
    <w:p w14:paraId="0CC71667">
      <w:pPr>
        <w:spacing w:line="560" w:lineRule="exact"/>
        <w:ind w:firstLine="6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子基金管理机构的管理和投资运作规范，具有完整的投资决策程序、风险控制机制和健全的财务管理制度。</w:t>
      </w:r>
    </w:p>
    <w:p w14:paraId="1714BA35">
      <w:pPr>
        <w:pStyle w:val="30"/>
        <w:numPr>
          <w:ilvl w:val="0"/>
          <w:numId w:val="1"/>
        </w:numPr>
        <w:overflowPunct w:val="0"/>
        <w:adjustRightInd w:val="0"/>
        <w:snapToGrid w:val="0"/>
        <w:spacing w:line="560" w:lineRule="exact"/>
        <w:ind w:left="0" w:leftChars="0" w:firstLine="640" w:firstLineChars="200"/>
        <w:outlineLvl w:val="1"/>
        <w:rPr>
          <w:rFonts w:hint="eastAsia" w:ascii="楷体" w:hAnsi="楷体" w:eastAsia="楷体" w:cs="楷体"/>
          <w:i w:val="0"/>
          <w:iCs w:val="0"/>
          <w:caps w:val="0"/>
          <w:spacing w:val="0"/>
          <w:sz w:val="32"/>
          <w:szCs w:val="32"/>
          <w:highlight w:val="none"/>
          <w:shd w:val="clear"/>
          <w:lang w:val="en-US" w:eastAsia="zh-CN"/>
        </w:rPr>
      </w:pPr>
      <w:r>
        <w:rPr>
          <w:rFonts w:hint="eastAsia" w:ascii="楷体" w:hAnsi="楷体" w:eastAsia="楷体" w:cs="楷体"/>
          <w:i w:val="0"/>
          <w:iCs w:val="0"/>
          <w:caps w:val="0"/>
          <w:spacing w:val="0"/>
          <w:sz w:val="32"/>
          <w:szCs w:val="32"/>
          <w:highlight w:val="none"/>
          <w:shd w:val="clear"/>
          <w:lang w:val="en-US" w:eastAsia="zh-CN"/>
        </w:rPr>
        <w:t>特别规定：</w:t>
      </w:r>
    </w:p>
    <w:p w14:paraId="49386515">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eastAsia="仿宋_GB2312" w:cs="仿宋_GB2312"/>
          <w:i w:val="0"/>
          <w:iCs w:val="0"/>
          <w:caps w:val="0"/>
          <w:color w:val="222222"/>
          <w:spacing w:val="0"/>
          <w:sz w:val="32"/>
          <w:szCs w:val="32"/>
          <w:shd w:val="clear" w:fill="FFFFFF"/>
          <w:lang w:val="en-US" w:eastAsia="zh-CN"/>
        </w:rPr>
      </w:pPr>
      <w:r>
        <w:rPr>
          <w:rFonts w:hint="default" w:ascii="仿宋_GB2312" w:hAnsi="仿宋_GB2312" w:eastAsia="仿宋_GB2312" w:cs="仿宋_GB2312"/>
          <w:i w:val="0"/>
          <w:iCs w:val="0"/>
          <w:caps w:val="0"/>
          <w:color w:val="222222"/>
          <w:spacing w:val="0"/>
          <w:sz w:val="32"/>
          <w:szCs w:val="32"/>
          <w:shd w:val="clear" w:fill="FFFFFF"/>
          <w:lang w:val="en-US" w:eastAsia="zh-CN"/>
        </w:rPr>
        <w:t>1.为保证本次遴选公正性，管理机构负责人为同一人或者存在控股关系的不同机构，不得同时进行申报，否则将视为无效申报</w:t>
      </w:r>
      <w:r>
        <w:rPr>
          <w:rFonts w:hint="eastAsia" w:ascii="仿宋_GB2312" w:hAnsi="仿宋_GB2312" w:eastAsia="仿宋_GB2312" w:cs="仿宋_GB2312"/>
          <w:i w:val="0"/>
          <w:iCs w:val="0"/>
          <w:caps w:val="0"/>
          <w:color w:val="222222"/>
          <w:spacing w:val="0"/>
          <w:sz w:val="32"/>
          <w:szCs w:val="32"/>
          <w:shd w:val="clear" w:fill="FFFFFF"/>
          <w:lang w:val="en-US" w:eastAsia="zh-CN"/>
        </w:rPr>
        <w:t>；</w:t>
      </w:r>
    </w:p>
    <w:p w14:paraId="26DD58E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eastAsia="仿宋_GB2312" w:cs="仿宋_GB2312"/>
          <w:i w:val="0"/>
          <w:iCs w:val="0"/>
          <w:caps w:val="0"/>
          <w:color w:val="222222"/>
          <w:spacing w:val="0"/>
          <w:sz w:val="32"/>
          <w:szCs w:val="32"/>
          <w:shd w:val="clear" w:fill="FFFFFF"/>
          <w:lang w:val="en-US" w:eastAsia="zh-CN"/>
        </w:rPr>
      </w:pPr>
      <w:r>
        <w:rPr>
          <w:rFonts w:hint="default" w:ascii="仿宋_GB2312" w:hAnsi="仿宋_GB2312" w:eastAsia="仿宋_GB2312" w:cs="仿宋_GB2312"/>
          <w:i w:val="0"/>
          <w:iCs w:val="0"/>
          <w:caps w:val="0"/>
          <w:color w:val="222222"/>
          <w:spacing w:val="0"/>
          <w:sz w:val="32"/>
          <w:szCs w:val="32"/>
          <w:shd w:val="clear" w:fill="FFFFFF"/>
          <w:lang w:val="en-US" w:eastAsia="zh-CN"/>
        </w:rPr>
        <w:t>2.本次遴选采用失信被执行人否决性惩戒方式，申报机构、配备的核心成员不得为失信被执行人</w:t>
      </w:r>
      <w:r>
        <w:rPr>
          <w:rFonts w:hint="eastAsia" w:ascii="仿宋_GB2312" w:hAnsi="仿宋_GB2312" w:eastAsia="仿宋_GB2312" w:cs="仿宋_GB2312"/>
          <w:i w:val="0"/>
          <w:iCs w:val="0"/>
          <w:caps w:val="0"/>
          <w:color w:val="222222"/>
          <w:spacing w:val="0"/>
          <w:sz w:val="32"/>
          <w:szCs w:val="32"/>
          <w:shd w:val="clear" w:fill="FFFFFF"/>
          <w:lang w:val="en-US" w:eastAsia="zh-CN"/>
        </w:rPr>
        <w:t>；</w:t>
      </w:r>
    </w:p>
    <w:p w14:paraId="71AFE0A2">
      <w:pPr>
        <w:spacing w:line="560" w:lineRule="exact"/>
        <w:ind w:firstLine="680"/>
        <w:rPr>
          <w:rFonts w:hint="eastAsia" w:ascii="仿宋_GB2312" w:hAnsi="仿宋_GB2312" w:eastAsia="仿宋_GB2312" w:cs="仿宋_GB2312"/>
          <w:sz w:val="32"/>
          <w:szCs w:val="32"/>
          <w:highlight w:val="none"/>
        </w:rPr>
      </w:pPr>
      <w:r>
        <w:rPr>
          <w:rFonts w:hint="default" w:ascii="仿宋_GB2312" w:hAnsi="仿宋_GB2312" w:eastAsia="仿宋_GB2312" w:cs="仿宋_GB2312"/>
          <w:i w:val="0"/>
          <w:iCs w:val="0"/>
          <w:caps w:val="0"/>
          <w:color w:val="222222"/>
          <w:spacing w:val="0"/>
          <w:sz w:val="32"/>
          <w:szCs w:val="32"/>
          <w:shd w:val="clear" w:fill="FFFFFF"/>
          <w:lang w:val="en-US" w:eastAsia="zh-CN"/>
        </w:rPr>
        <w:t>3.本次遴选原则上对存在重大负面舆情、与政府投资基金配合度较差、以往申报材料不实的机构不予受理。</w:t>
      </w:r>
    </w:p>
    <w:p w14:paraId="76BB7988">
      <w:pPr>
        <w:numPr>
          <w:ilvl w:val="0"/>
          <w:numId w:val="3"/>
        </w:numPr>
        <w:spacing w:line="560" w:lineRule="exact"/>
        <w:ind w:firstLine="68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子基金设立的要求</w:t>
      </w:r>
    </w:p>
    <w:p w14:paraId="5BFB4EEB">
      <w:pPr>
        <w:pStyle w:val="30"/>
        <w:numPr>
          <w:ilvl w:val="0"/>
          <w:numId w:val="4"/>
        </w:numPr>
        <w:spacing w:line="560" w:lineRule="exact"/>
        <w:ind w:firstLineChars="0"/>
        <w:outlineLvl w:val="1"/>
        <w:rPr>
          <w:rFonts w:hint="eastAsia" w:ascii="楷体" w:hAnsi="楷体" w:eastAsia="楷体" w:cs="楷体"/>
          <w:bCs/>
          <w:sz w:val="32"/>
          <w:szCs w:val="32"/>
          <w:highlight w:val="none"/>
        </w:rPr>
      </w:pPr>
      <w:r>
        <w:rPr>
          <w:rFonts w:hint="eastAsia" w:ascii="楷体" w:hAnsi="楷体" w:eastAsia="楷体" w:cs="楷体"/>
          <w:bCs/>
          <w:sz w:val="32"/>
          <w:szCs w:val="32"/>
          <w:highlight w:val="none"/>
        </w:rPr>
        <w:t>组织形式</w:t>
      </w:r>
    </w:p>
    <w:p w14:paraId="10B8CE3D">
      <w:pPr>
        <w:snapToGrid w:val="0"/>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子基金以有限合伙制形式设立，严格遵照《中华人民共和国合伙企业法》《中华人民共和国公司法》和《私募投资基金监督管理条例》等有关</w:t>
      </w:r>
      <w:r>
        <w:rPr>
          <w:rFonts w:hint="eastAsia" w:ascii="仿宋_GB2312" w:hAnsi="仿宋_GB2312" w:eastAsia="仿宋_GB2312" w:cs="仿宋_GB2312"/>
          <w:sz w:val="32"/>
          <w:szCs w:val="32"/>
          <w:highlight w:val="none"/>
          <w:lang w:eastAsia="zh-CN"/>
        </w:rPr>
        <w:t>法律法规</w:t>
      </w:r>
      <w:r>
        <w:rPr>
          <w:rFonts w:hint="eastAsia" w:ascii="仿宋_GB2312" w:hAnsi="仿宋_GB2312" w:eastAsia="仿宋_GB2312" w:cs="仿宋_GB2312"/>
          <w:sz w:val="32"/>
          <w:szCs w:val="32"/>
          <w:highlight w:val="none"/>
        </w:rPr>
        <w:t>运作。</w:t>
      </w:r>
    </w:p>
    <w:p w14:paraId="72F8EAF4">
      <w:pPr>
        <w:pStyle w:val="30"/>
        <w:numPr>
          <w:ilvl w:val="0"/>
          <w:numId w:val="4"/>
        </w:numPr>
        <w:spacing w:line="560" w:lineRule="exact"/>
        <w:ind w:firstLineChars="0"/>
        <w:outlineLvl w:val="1"/>
        <w:rPr>
          <w:rFonts w:hint="eastAsia" w:ascii="楷体" w:hAnsi="楷体" w:eastAsia="楷体" w:cs="楷体"/>
          <w:bCs/>
          <w:sz w:val="32"/>
          <w:szCs w:val="32"/>
          <w:highlight w:val="none"/>
        </w:rPr>
      </w:pPr>
      <w:r>
        <w:rPr>
          <w:rFonts w:hint="eastAsia" w:ascii="楷体" w:hAnsi="楷体" w:eastAsia="楷体" w:cs="楷体"/>
          <w:bCs/>
          <w:sz w:val="32"/>
          <w:szCs w:val="32"/>
          <w:highlight w:val="none"/>
        </w:rPr>
        <w:t>注册区域</w:t>
      </w:r>
    </w:p>
    <w:p w14:paraId="4AD4C572">
      <w:pPr>
        <w:snapToGrid w:val="0"/>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子基金原则上注册在南宁市（出资或参股国家有关部委设立的产业基金并有注册地要求的除外）。</w:t>
      </w:r>
    </w:p>
    <w:p w14:paraId="549CB5A4">
      <w:pPr>
        <w:pStyle w:val="30"/>
        <w:numPr>
          <w:ilvl w:val="0"/>
          <w:numId w:val="4"/>
        </w:numPr>
        <w:spacing w:line="560" w:lineRule="exact"/>
        <w:ind w:firstLineChars="0"/>
        <w:outlineLvl w:val="1"/>
        <w:rPr>
          <w:rFonts w:hint="eastAsia" w:ascii="楷体" w:hAnsi="楷体" w:eastAsia="楷体" w:cs="楷体"/>
          <w:bCs/>
          <w:sz w:val="32"/>
          <w:szCs w:val="32"/>
          <w:highlight w:val="none"/>
        </w:rPr>
      </w:pPr>
      <w:r>
        <w:rPr>
          <w:rFonts w:hint="eastAsia" w:ascii="楷体" w:hAnsi="楷体" w:eastAsia="楷体" w:cs="楷体"/>
          <w:bCs/>
          <w:sz w:val="32"/>
          <w:szCs w:val="32"/>
          <w:highlight w:val="none"/>
        </w:rPr>
        <w:t>基金规模</w:t>
      </w:r>
    </w:p>
    <w:p w14:paraId="53257E64">
      <w:pPr>
        <w:widowControl/>
        <w:snapToGrid/>
        <w:spacing w:line="240" w:lineRule="auto"/>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子基金规模原则上不低于5000万元人民币，按底层项目进度分期缴付，首次缴付出资比例视子基金拟投项目情况而定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
        </w:rPr>
        <w:t>当且仅当上一期实缴资金的80</w:t>
      </w:r>
      <w:r>
        <w:rPr>
          <w:rFonts w:hint="eastAsia" w:ascii="仿宋_GB2312" w:hAnsi="仿宋_GB2312" w:eastAsia="仿宋_GB2312" w:cs="仿宋_GB2312"/>
          <w:kern w:val="2"/>
          <w:sz w:val="32"/>
          <w:szCs w:val="32"/>
          <w:highlight w:val="none"/>
          <w:lang w:val="en-US" w:eastAsia="zh-CN" w:bidi="ar"/>
        </w:rPr>
        <w:t>%已</w:t>
      </w:r>
      <w:r>
        <w:rPr>
          <w:rFonts w:hint="eastAsia" w:ascii="仿宋_GB2312" w:hAnsi="仿宋_GB2312" w:eastAsia="仿宋_GB2312" w:cs="仿宋_GB2312"/>
          <w:color w:val="auto"/>
          <w:kern w:val="2"/>
          <w:sz w:val="32"/>
          <w:szCs w:val="32"/>
          <w:highlight w:val="none"/>
          <w:lang w:val="en-US" w:eastAsia="zh-CN" w:bidi="ar"/>
        </w:rPr>
        <w:t>经用于项目投资</w:t>
      </w:r>
      <w:r>
        <w:rPr>
          <w:rFonts w:hint="eastAsia" w:ascii="仿宋_GB2312" w:hAnsi="仿宋_GB2312" w:eastAsia="仿宋_GB2312" w:cs="仿宋_GB2312"/>
          <w:kern w:val="2"/>
          <w:sz w:val="32"/>
          <w:szCs w:val="32"/>
          <w:highlight w:val="none"/>
          <w:lang w:val="en-US" w:eastAsia="zh-CN" w:bidi="ar"/>
        </w:rPr>
        <w:t>（</w:t>
      </w:r>
      <w:r>
        <w:rPr>
          <w:rFonts w:hint="eastAsia" w:ascii="仿宋_GB2312" w:hAnsi="仿宋_GB2312" w:eastAsia="仿宋_GB2312" w:cs="仿宋_GB2312"/>
          <w:color w:val="auto"/>
          <w:kern w:val="2"/>
          <w:sz w:val="32"/>
          <w:szCs w:val="32"/>
          <w:highlight w:val="none"/>
          <w:lang w:val="en-US" w:eastAsia="zh-CN" w:bidi="ar"/>
        </w:rPr>
        <w:t>指合伙企业已与相关方签署正式的投资协议</w:t>
      </w:r>
      <w:r>
        <w:rPr>
          <w:rFonts w:hint="eastAsia" w:ascii="仿宋_GB2312" w:hAnsi="仿宋_GB2312" w:eastAsia="仿宋_GB2312" w:cs="仿宋_GB2312"/>
          <w:kern w:val="2"/>
          <w:sz w:val="32"/>
          <w:szCs w:val="32"/>
          <w:highlight w:val="none"/>
          <w:lang w:val="en-US" w:eastAsia="zh-CN" w:bidi="ar"/>
        </w:rPr>
        <w:t>）</w:t>
      </w:r>
      <w:r>
        <w:rPr>
          <w:rFonts w:hint="eastAsia" w:ascii="仿宋_GB2312" w:hAnsi="仿宋_GB2312" w:eastAsia="仿宋_GB2312" w:cs="仿宋_GB2312"/>
          <w:color w:val="auto"/>
          <w:kern w:val="2"/>
          <w:sz w:val="32"/>
          <w:szCs w:val="32"/>
          <w:highlight w:val="none"/>
          <w:lang w:val="en-US" w:eastAsia="zh-CN" w:bidi="ar"/>
        </w:rPr>
        <w:t>、支付管理费、支付合伙企业约定的各项费用且已经完成实际出资</w:t>
      </w:r>
      <w:r>
        <w:rPr>
          <w:rFonts w:hint="eastAsia" w:ascii="仿宋_GB2312" w:hAnsi="仿宋_GB2312" w:eastAsia="仿宋_GB2312" w:cs="仿宋_GB2312"/>
          <w:kern w:val="2"/>
          <w:sz w:val="32"/>
          <w:szCs w:val="32"/>
          <w:highlight w:val="none"/>
          <w:lang w:val="en-US" w:eastAsia="zh-CN" w:bidi="ar"/>
        </w:rPr>
        <w:t>，方可进行基金的下一期实缴出资</w:t>
      </w:r>
      <w:r>
        <w:rPr>
          <w:rFonts w:hint="eastAsia" w:ascii="仿宋_GB2312" w:hAnsi="仿宋_GB2312" w:eastAsia="仿宋_GB2312" w:cs="仿宋_GB2312"/>
          <w:sz w:val="32"/>
          <w:szCs w:val="32"/>
          <w:highlight w:val="none"/>
        </w:rPr>
        <w:t>。原则上母基金作为子基金的有限合伙人</w:t>
      </w:r>
      <w:r>
        <w:rPr>
          <w:rFonts w:hint="eastAsia" w:ascii="仿宋_GB2312" w:hAnsi="仿宋_GB2312" w:eastAsia="仿宋_GB2312" w:cs="仿宋_GB2312"/>
          <w:sz w:val="32"/>
          <w:szCs w:val="32"/>
          <w:highlight w:val="none"/>
          <w:lang w:val="en-US" w:eastAsia="zh-CN"/>
        </w:rPr>
        <w:t>每期</w:t>
      </w:r>
      <w:r>
        <w:rPr>
          <w:rFonts w:hint="eastAsia" w:ascii="仿宋_GB2312" w:hAnsi="仿宋_GB2312" w:eastAsia="仿宋_GB2312" w:cs="仿宋_GB2312"/>
          <w:sz w:val="32"/>
          <w:szCs w:val="32"/>
          <w:highlight w:val="none"/>
        </w:rPr>
        <w:t>在其他合伙人资金已到位时再予以出资。母基金与自治区/省级国资出资基金、国家级政府引导或出资基金等共同出资或参股子基金的，按照国家有关规定执行。</w:t>
      </w:r>
    </w:p>
    <w:p w14:paraId="69BE4377">
      <w:pPr>
        <w:pStyle w:val="30"/>
        <w:numPr>
          <w:ilvl w:val="0"/>
          <w:numId w:val="4"/>
        </w:numPr>
        <w:spacing w:line="560" w:lineRule="exact"/>
        <w:ind w:firstLineChars="0"/>
        <w:outlineLvl w:val="1"/>
        <w:rPr>
          <w:rFonts w:hint="eastAsia" w:ascii="楷体" w:hAnsi="楷体" w:eastAsia="楷体" w:cs="楷体"/>
          <w:bCs/>
          <w:sz w:val="32"/>
          <w:szCs w:val="32"/>
          <w:highlight w:val="none"/>
        </w:rPr>
      </w:pPr>
      <w:r>
        <w:rPr>
          <w:rFonts w:hint="eastAsia" w:ascii="楷体" w:hAnsi="楷体" w:eastAsia="楷体" w:cs="楷体"/>
          <w:bCs/>
          <w:sz w:val="32"/>
          <w:szCs w:val="32"/>
          <w:highlight w:val="none"/>
        </w:rPr>
        <w:t>出资比例</w:t>
      </w:r>
    </w:p>
    <w:p w14:paraId="27579656">
      <w:pPr>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母基金原则上不作为子基金第一大股东或出资人，不作为普通合伙人，在子基金的出资比例不超过子基金总规模的40%。</w:t>
      </w:r>
    </w:p>
    <w:p w14:paraId="28E4F29F">
      <w:pPr>
        <w:pStyle w:val="30"/>
        <w:numPr>
          <w:ilvl w:val="0"/>
          <w:numId w:val="4"/>
        </w:numPr>
        <w:spacing w:line="560" w:lineRule="exact"/>
        <w:ind w:firstLineChars="0"/>
        <w:outlineLvl w:val="1"/>
        <w:rPr>
          <w:rFonts w:hint="eastAsia" w:ascii="楷体" w:hAnsi="楷体" w:eastAsia="楷体" w:cs="楷体"/>
          <w:bCs/>
          <w:sz w:val="32"/>
          <w:szCs w:val="32"/>
          <w:highlight w:val="none"/>
        </w:rPr>
      </w:pPr>
      <w:r>
        <w:rPr>
          <w:rFonts w:hint="eastAsia" w:ascii="楷体" w:hAnsi="楷体" w:eastAsia="楷体" w:cs="楷体"/>
          <w:bCs/>
          <w:sz w:val="32"/>
          <w:szCs w:val="32"/>
          <w:highlight w:val="none"/>
        </w:rPr>
        <w:t>存续期限</w:t>
      </w:r>
    </w:p>
    <w:p w14:paraId="623A774B">
      <w:pPr>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子基金存续期限不超过母基金剩余存续期，存续期一般不超过7年，经全体合伙人一致同意，存续期限可以适当延长，但延长期一般不能超过2年。</w:t>
      </w:r>
    </w:p>
    <w:p w14:paraId="77645207">
      <w:pPr>
        <w:pStyle w:val="30"/>
        <w:numPr>
          <w:ilvl w:val="0"/>
          <w:numId w:val="4"/>
        </w:numPr>
        <w:spacing w:line="560" w:lineRule="exact"/>
        <w:ind w:firstLineChars="0"/>
        <w:outlineLvl w:val="1"/>
        <w:rPr>
          <w:rFonts w:hint="eastAsia" w:ascii="楷体" w:hAnsi="楷体" w:eastAsia="楷体" w:cs="楷体"/>
          <w:bCs/>
          <w:sz w:val="32"/>
          <w:szCs w:val="32"/>
          <w:highlight w:val="none"/>
        </w:rPr>
      </w:pPr>
      <w:r>
        <w:rPr>
          <w:rFonts w:hint="eastAsia" w:ascii="楷体" w:hAnsi="楷体" w:eastAsia="楷体" w:cs="楷体"/>
          <w:bCs/>
          <w:sz w:val="32"/>
          <w:szCs w:val="32"/>
          <w:highlight w:val="none"/>
        </w:rPr>
        <w:t>投资领域</w:t>
      </w:r>
    </w:p>
    <w:p w14:paraId="0658D594">
      <w:pPr>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子基金投向领域需与申报材料中拟投资领域相匹配，原则上应按申报材料中的行业类别具体约定投资领域。</w:t>
      </w:r>
    </w:p>
    <w:p w14:paraId="7F15520F">
      <w:pPr>
        <w:pStyle w:val="30"/>
        <w:numPr>
          <w:ilvl w:val="0"/>
          <w:numId w:val="4"/>
        </w:numPr>
        <w:spacing w:line="560" w:lineRule="exact"/>
        <w:ind w:firstLineChars="0"/>
        <w:outlineLvl w:val="1"/>
        <w:rPr>
          <w:rFonts w:hint="eastAsia" w:ascii="楷体" w:hAnsi="楷体" w:eastAsia="楷体" w:cs="楷体"/>
          <w:bCs/>
          <w:sz w:val="32"/>
          <w:szCs w:val="32"/>
          <w:highlight w:val="none"/>
        </w:rPr>
      </w:pPr>
      <w:r>
        <w:rPr>
          <w:rFonts w:hint="eastAsia" w:ascii="楷体" w:hAnsi="楷体" w:eastAsia="楷体" w:cs="楷体"/>
          <w:bCs/>
          <w:sz w:val="32"/>
          <w:szCs w:val="32"/>
          <w:highlight w:val="none"/>
        </w:rPr>
        <w:t>投资地域</w:t>
      </w:r>
    </w:p>
    <w:p w14:paraId="14EADAF2">
      <w:pPr>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子基金应优先投资于南宁市范围内的企业（或者投资于南宁市范围外的企业后返投南宁），投资于南宁市项目的资金不低于母基金出资额。在子基金存续期内，以下情形可计入投资南宁金额：</w:t>
      </w:r>
    </w:p>
    <w:p w14:paraId="7AD9ED31">
      <w:pPr>
        <w:spacing w:line="560" w:lineRule="exact"/>
        <w:ind w:firstLine="680"/>
        <w:rPr>
          <w:rFonts w:hint="eastAsia" w:ascii="仿宋_GB2312" w:hAnsi="仿宋_GB2312" w:eastAsia="仿宋_GB2312" w:cs="仿宋_GB2312"/>
          <w:color w:val="000000"/>
          <w:spacing w:val="10"/>
          <w:sz w:val="32"/>
          <w:szCs w:val="32"/>
          <w:highlight w:val="none"/>
        </w:rPr>
      </w:pPr>
      <w:r>
        <w:rPr>
          <w:rFonts w:hint="eastAsia" w:ascii="仿宋_GB2312" w:hAnsi="仿宋_GB2312" w:eastAsia="仿宋_GB2312" w:cs="仿宋_GB2312"/>
          <w:color w:val="000000"/>
          <w:spacing w:val="10"/>
          <w:sz w:val="32"/>
          <w:szCs w:val="32"/>
          <w:highlight w:val="none"/>
        </w:rPr>
        <w:t>1.在子基金投资期内，基金投资于南宁市注册登记企业，按实际投资金额计算。如在基金从被投企业完全退出前，被投企业迁往南宁市外的，则不纳入计算；</w:t>
      </w:r>
    </w:p>
    <w:p w14:paraId="4CFE4973">
      <w:pPr>
        <w:spacing w:line="560" w:lineRule="exact"/>
        <w:ind w:firstLine="680"/>
        <w:rPr>
          <w:rFonts w:hint="eastAsia" w:ascii="仿宋_GB2312" w:hAnsi="仿宋_GB2312" w:eastAsia="仿宋_GB2312" w:cs="仿宋_GB2312"/>
          <w:color w:val="000000"/>
          <w:spacing w:val="10"/>
          <w:sz w:val="32"/>
          <w:szCs w:val="32"/>
          <w:highlight w:val="none"/>
        </w:rPr>
      </w:pPr>
      <w:r>
        <w:rPr>
          <w:rFonts w:hint="eastAsia" w:ascii="仿宋_GB2312" w:hAnsi="仿宋_GB2312" w:eastAsia="仿宋_GB2312" w:cs="仿宋_GB2312"/>
          <w:color w:val="000000"/>
          <w:spacing w:val="10"/>
          <w:sz w:val="32"/>
          <w:szCs w:val="32"/>
          <w:highlight w:val="none"/>
        </w:rPr>
        <w:t>2.南宁市外注册登记的被投企业迁入南宁市并承诺5年内不迁出，或被南宁市注册登记企业控股收购的（按照《企业会计准则》第33号合并财务报表的规定将被投企业纳入合并报表范围内，且被收购企业产值、税收等增加值须在南宁</w:t>
      </w:r>
      <w:r>
        <w:rPr>
          <w:rFonts w:hint="eastAsia" w:ascii="仿宋_GB2312" w:hAnsi="仿宋_GB2312" w:eastAsia="仿宋_GB2312" w:cs="仿宋_GB2312"/>
          <w:color w:val="000000"/>
          <w:spacing w:val="10"/>
          <w:sz w:val="32"/>
          <w:szCs w:val="32"/>
          <w:highlight w:val="none"/>
          <w:lang w:val="en-US" w:eastAsia="zh-CN"/>
        </w:rPr>
        <w:t>市</w:t>
      </w:r>
      <w:r>
        <w:rPr>
          <w:rFonts w:hint="eastAsia" w:ascii="仿宋_GB2312" w:hAnsi="仿宋_GB2312" w:eastAsia="仿宋_GB2312" w:cs="仿宋_GB2312"/>
          <w:color w:val="000000"/>
          <w:spacing w:val="10"/>
          <w:sz w:val="32"/>
          <w:szCs w:val="32"/>
          <w:highlight w:val="none"/>
        </w:rPr>
        <w:t>纳入统计核算），按南宁市范围外注册登记的被投企业的实际投资金额计算。控股收购方自收购之日起5年内迁出南宁，或被控股收购企业自被收购之日起5年内因股权转让，导致其产值、税收等增加值不再纳入南宁</w:t>
      </w:r>
      <w:r>
        <w:rPr>
          <w:rFonts w:hint="eastAsia" w:ascii="仿宋_GB2312" w:hAnsi="仿宋_GB2312" w:eastAsia="仿宋_GB2312" w:cs="仿宋_GB2312"/>
          <w:color w:val="000000"/>
          <w:spacing w:val="10"/>
          <w:sz w:val="32"/>
          <w:szCs w:val="32"/>
          <w:highlight w:val="none"/>
          <w:lang w:val="en-US" w:eastAsia="zh-CN"/>
        </w:rPr>
        <w:t>市</w:t>
      </w:r>
      <w:r>
        <w:rPr>
          <w:rFonts w:hint="eastAsia" w:ascii="仿宋_GB2312" w:hAnsi="仿宋_GB2312" w:eastAsia="仿宋_GB2312" w:cs="仿宋_GB2312"/>
          <w:color w:val="000000"/>
          <w:spacing w:val="10"/>
          <w:sz w:val="32"/>
          <w:szCs w:val="32"/>
          <w:highlight w:val="none"/>
        </w:rPr>
        <w:t>统计的，则不纳入计算；</w:t>
      </w:r>
    </w:p>
    <w:p w14:paraId="657FB427">
      <w:pPr>
        <w:spacing w:line="560" w:lineRule="exact"/>
        <w:ind w:firstLine="680"/>
        <w:rPr>
          <w:rFonts w:hint="eastAsia" w:ascii="仿宋_GB2312" w:hAnsi="仿宋_GB2312" w:eastAsia="仿宋_GB2312" w:cs="仿宋_GB2312"/>
          <w:color w:val="000000"/>
          <w:spacing w:val="10"/>
          <w:sz w:val="32"/>
          <w:szCs w:val="32"/>
          <w:highlight w:val="none"/>
        </w:rPr>
      </w:pPr>
      <w:r>
        <w:rPr>
          <w:rFonts w:hint="eastAsia" w:ascii="仿宋_GB2312" w:hAnsi="仿宋_GB2312" w:eastAsia="仿宋_GB2312" w:cs="仿宋_GB2312"/>
          <w:color w:val="000000"/>
          <w:spacing w:val="10"/>
          <w:sz w:val="32"/>
          <w:szCs w:val="32"/>
          <w:highlight w:val="none"/>
        </w:rPr>
        <w:t>3.注册登记在南宁市外的被投企业通过设立子公司形式，将主要生产研发基地落户南宁市的（子公司资产应不低于基金对该企业的投资金额，且产值、税收等增加值在南宁</w:t>
      </w:r>
      <w:r>
        <w:rPr>
          <w:rFonts w:hint="eastAsia" w:ascii="仿宋_GB2312" w:hAnsi="仿宋_GB2312" w:eastAsia="仿宋_GB2312" w:cs="仿宋_GB2312"/>
          <w:color w:val="000000"/>
          <w:spacing w:val="10"/>
          <w:sz w:val="32"/>
          <w:szCs w:val="32"/>
          <w:highlight w:val="none"/>
          <w:lang w:val="en-US" w:eastAsia="zh-CN"/>
        </w:rPr>
        <w:t>市</w:t>
      </w:r>
      <w:r>
        <w:rPr>
          <w:rFonts w:hint="eastAsia" w:ascii="仿宋_GB2312" w:hAnsi="仿宋_GB2312" w:eastAsia="仿宋_GB2312" w:cs="仿宋_GB2312"/>
          <w:color w:val="000000"/>
          <w:spacing w:val="10"/>
          <w:sz w:val="32"/>
          <w:szCs w:val="32"/>
          <w:highlight w:val="none"/>
        </w:rPr>
        <w:t>纳入统计核算），按南宁市范围外注册登记的被投企业的实际投资金额计算。如在基金从被投企业完全退出前，该子公司迁往南宁市外的，则不纳入计算；</w:t>
      </w:r>
    </w:p>
    <w:p w14:paraId="0A57398C">
      <w:pPr>
        <w:spacing w:line="560" w:lineRule="exact"/>
        <w:ind w:firstLine="680"/>
        <w:rPr>
          <w:rFonts w:hint="eastAsia" w:ascii="仿宋_GB2312" w:hAnsi="仿宋_GB2312" w:eastAsia="仿宋_GB2312" w:cs="仿宋_GB2312"/>
          <w:color w:val="000000"/>
          <w:spacing w:val="10"/>
          <w:sz w:val="32"/>
          <w:szCs w:val="32"/>
          <w:highlight w:val="none"/>
        </w:rPr>
      </w:pPr>
      <w:r>
        <w:rPr>
          <w:rFonts w:hint="eastAsia" w:ascii="仿宋_GB2312" w:hAnsi="仿宋_GB2312" w:eastAsia="仿宋_GB2312" w:cs="仿宋_GB2312"/>
          <w:color w:val="000000"/>
          <w:spacing w:val="10"/>
          <w:sz w:val="32"/>
          <w:szCs w:val="32"/>
          <w:highlight w:val="none"/>
        </w:rPr>
        <w:t>4.其他可认定为投资南宁市企业的情形。</w:t>
      </w:r>
    </w:p>
    <w:p w14:paraId="71B107BA">
      <w:pPr>
        <w:pStyle w:val="30"/>
        <w:numPr>
          <w:ilvl w:val="0"/>
          <w:numId w:val="4"/>
        </w:numPr>
        <w:spacing w:line="560" w:lineRule="exact"/>
        <w:ind w:firstLineChars="0"/>
        <w:outlineLvl w:val="1"/>
        <w:rPr>
          <w:rFonts w:hint="eastAsia" w:ascii="楷体" w:hAnsi="楷体" w:eastAsia="楷体" w:cs="楷体"/>
          <w:bCs/>
          <w:sz w:val="32"/>
          <w:szCs w:val="32"/>
          <w:highlight w:val="none"/>
        </w:rPr>
      </w:pPr>
      <w:r>
        <w:rPr>
          <w:rFonts w:hint="eastAsia" w:ascii="楷体" w:hAnsi="楷体" w:eastAsia="楷体" w:cs="楷体"/>
          <w:bCs/>
          <w:sz w:val="32"/>
          <w:szCs w:val="32"/>
          <w:highlight w:val="none"/>
        </w:rPr>
        <w:t>投资限额</w:t>
      </w:r>
    </w:p>
    <w:p w14:paraId="3C3B9BBE">
      <w:pPr>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子基金应分散投资，对单个企业的投资总额不超过子基金总规模的20%。专项基金的投资比例不受该条款限制。</w:t>
      </w:r>
    </w:p>
    <w:p w14:paraId="1780EE79">
      <w:pPr>
        <w:pStyle w:val="30"/>
        <w:numPr>
          <w:ilvl w:val="0"/>
          <w:numId w:val="4"/>
        </w:numPr>
        <w:spacing w:line="560" w:lineRule="exact"/>
        <w:ind w:firstLineChars="0"/>
        <w:outlineLvl w:val="1"/>
        <w:rPr>
          <w:rFonts w:hint="eastAsia" w:ascii="楷体" w:hAnsi="楷体" w:eastAsia="楷体" w:cs="楷体"/>
          <w:bCs/>
          <w:sz w:val="32"/>
          <w:szCs w:val="32"/>
          <w:highlight w:val="none"/>
        </w:rPr>
      </w:pPr>
      <w:r>
        <w:rPr>
          <w:rFonts w:hint="eastAsia" w:ascii="楷体" w:hAnsi="楷体" w:eastAsia="楷体" w:cs="楷体"/>
          <w:bCs/>
          <w:sz w:val="32"/>
          <w:szCs w:val="32"/>
          <w:highlight w:val="none"/>
        </w:rPr>
        <w:t>管理费用</w:t>
      </w:r>
    </w:p>
    <w:p w14:paraId="00F7319A">
      <w:pPr>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子基金管理机构可以按子基金合伙协议约定从子基金资产中计提一定比例的管理费用，年管理费原则上不得高于子基金实缴出资额的2%，且对母基金收取管理费的标准不得高于其他出资人。</w:t>
      </w:r>
    </w:p>
    <w:p w14:paraId="17CE04CB">
      <w:pPr>
        <w:pStyle w:val="30"/>
        <w:numPr>
          <w:ilvl w:val="0"/>
          <w:numId w:val="4"/>
        </w:numPr>
        <w:spacing w:line="560" w:lineRule="exact"/>
        <w:ind w:firstLineChars="0"/>
        <w:outlineLvl w:val="1"/>
        <w:rPr>
          <w:rFonts w:hint="eastAsia" w:ascii="楷体" w:hAnsi="楷体" w:eastAsia="楷体" w:cs="楷体"/>
          <w:bCs/>
          <w:sz w:val="32"/>
          <w:szCs w:val="32"/>
          <w:highlight w:val="none"/>
        </w:rPr>
      </w:pPr>
      <w:r>
        <w:rPr>
          <w:rFonts w:hint="eastAsia" w:ascii="楷体" w:hAnsi="楷体" w:eastAsia="楷体" w:cs="楷体"/>
          <w:bCs/>
          <w:sz w:val="32"/>
          <w:szCs w:val="32"/>
          <w:highlight w:val="none"/>
        </w:rPr>
        <w:t>收益分配及亏损承担</w:t>
      </w:r>
    </w:p>
    <w:p w14:paraId="4182DD92">
      <w:pPr>
        <w:spacing w:line="560" w:lineRule="exact"/>
        <w:ind w:firstLine="627" w:firstLineChars="19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highlight w:val="none"/>
        </w:rPr>
        <w:t>按照“收益共享、风险共担”的原则，子基金须明确约定投资收益处理和亏损负担方式。子基金退出投资项目时，采用“即退即分”的方式分配，其中：子基金产生的收益，原则上按实缴出资比例进行分配；子基金的亏损按照认缴出资比例进行分担，母基金分担的亏损部分不超过其认缴的出资额。</w:t>
      </w:r>
    </w:p>
    <w:p w14:paraId="01B6BF60">
      <w:pPr>
        <w:pStyle w:val="30"/>
        <w:numPr>
          <w:ilvl w:val="0"/>
          <w:numId w:val="4"/>
        </w:numPr>
        <w:spacing w:line="560" w:lineRule="exact"/>
        <w:ind w:firstLineChars="0"/>
        <w:outlineLvl w:val="1"/>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投资决策</w:t>
      </w:r>
    </w:p>
    <w:p w14:paraId="60803F23">
      <w:p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子基金采取市场化机制运作，母基金可委派投资决策委员会委员或观察员参与子基金投资决策委员会或相同性质机构（以下简称“子基金投委会”），在子基金违法、违规和偏离政策导向等情况下，可行使一票否决权，但不参与子基金管理机构经营业务及日常管理</w:t>
      </w:r>
      <w:r>
        <w:rPr>
          <w:rFonts w:hint="eastAsia" w:ascii="仿宋_GB2312" w:hAnsi="仿宋_GB2312" w:eastAsia="仿宋_GB2312" w:cs="仿宋_GB2312"/>
          <w:sz w:val="32"/>
          <w:szCs w:val="32"/>
          <w:highlight w:val="none"/>
          <w:lang w:eastAsia="zh-CN"/>
        </w:rPr>
        <w:t>。</w:t>
      </w:r>
    </w:p>
    <w:p w14:paraId="5279F7CF">
      <w:pPr>
        <w:pStyle w:val="30"/>
        <w:numPr>
          <w:ilvl w:val="0"/>
          <w:numId w:val="4"/>
        </w:numPr>
        <w:spacing w:line="560" w:lineRule="exact"/>
        <w:ind w:firstLineChars="0"/>
        <w:outlineLvl w:val="1"/>
        <w:rPr>
          <w:rFonts w:hint="eastAsia" w:ascii="楷体" w:hAnsi="楷体" w:eastAsia="楷体" w:cs="楷体"/>
          <w:bCs/>
          <w:sz w:val="32"/>
          <w:szCs w:val="32"/>
          <w:highlight w:val="none"/>
        </w:rPr>
      </w:pPr>
      <w:r>
        <w:rPr>
          <w:rFonts w:hint="eastAsia" w:ascii="楷体" w:hAnsi="楷体" w:eastAsia="楷体" w:cs="楷体"/>
          <w:bCs/>
          <w:sz w:val="32"/>
          <w:szCs w:val="32"/>
          <w:highlight w:val="none"/>
        </w:rPr>
        <w:t>资金托管</w:t>
      </w:r>
    </w:p>
    <w:p w14:paraId="525DA035">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母基金</w:t>
      </w:r>
      <w:r>
        <w:rPr>
          <w:rFonts w:hint="eastAsia" w:ascii="仿宋_GB2312" w:hAnsi="仿宋_GB2312" w:eastAsia="仿宋_GB2312" w:cs="仿宋_GB2312"/>
          <w:sz w:val="32"/>
          <w:szCs w:val="32"/>
          <w:highlight w:val="none"/>
        </w:rPr>
        <w:t>选择合作的子基金管理机构应选择在南宁市</w:t>
      </w: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highlight w:val="none"/>
        </w:rPr>
        <w:t>内具有分支机构的商业银行作为托管银行，为子基金开设托管账户，托管银行原则上应符合以下条件及要求：</w:t>
      </w:r>
    </w:p>
    <w:p w14:paraId="2900BB6D">
      <w:pPr>
        <w:pStyle w:val="8"/>
        <w:shd w:val="clear" w:color="auto" w:fill="FFFFFF"/>
        <w:spacing w:before="60" w:beforeAutospacing="0" w:after="60" w:afterAutospacing="0" w:line="600" w:lineRule="exact"/>
        <w:ind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1.经国家有关部门核准认定具有基金托管资格的；</w:t>
      </w:r>
    </w:p>
    <w:p w14:paraId="1F18EB25">
      <w:pPr>
        <w:pStyle w:val="8"/>
        <w:shd w:val="clear" w:color="auto" w:fill="FFFFFF"/>
        <w:spacing w:before="60" w:beforeAutospacing="0" w:after="60" w:afterAutospacing="0" w:line="600" w:lineRule="exact"/>
        <w:ind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2.最近三年以上保持良好的财务状况，没有受过行政主管机关或司法机关重大处罚的不良记录。</w:t>
      </w:r>
    </w:p>
    <w:p w14:paraId="7ED825E4">
      <w:pPr>
        <w:pStyle w:val="30"/>
        <w:numPr>
          <w:ilvl w:val="0"/>
          <w:numId w:val="4"/>
        </w:numPr>
        <w:spacing w:line="560" w:lineRule="exact"/>
        <w:ind w:firstLineChars="0"/>
        <w:outlineLvl w:val="1"/>
        <w:rPr>
          <w:rFonts w:hint="eastAsia" w:ascii="楷体" w:hAnsi="楷体" w:eastAsia="楷体" w:cs="楷体"/>
          <w:bCs/>
          <w:sz w:val="32"/>
          <w:szCs w:val="32"/>
          <w:highlight w:val="none"/>
        </w:rPr>
      </w:pPr>
      <w:r>
        <w:rPr>
          <w:rFonts w:hint="eastAsia" w:ascii="楷体" w:hAnsi="楷体" w:eastAsia="楷体" w:cs="楷体"/>
          <w:bCs/>
          <w:sz w:val="32"/>
          <w:szCs w:val="32"/>
          <w:highlight w:val="none"/>
        </w:rPr>
        <w:t>投资限制</w:t>
      </w:r>
    </w:p>
    <w:p w14:paraId="54B0A701">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子基金不得从事以下业务：</w:t>
      </w:r>
    </w:p>
    <w:p w14:paraId="1FA982C4">
      <w:pPr>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1.从事融资担保以外的担保、抵押、委托贷款等业务；</w:t>
      </w:r>
    </w:p>
    <w:p w14:paraId="091AEC65">
      <w:pPr>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2.投资二级市场股票、期货、房地产、证券投资基金、评级AAA以下的企业债、信托产品、非保本型理财产品、保险计划及其他金融衍生品；</w:t>
      </w:r>
    </w:p>
    <w:p w14:paraId="54A39DCE">
      <w:pPr>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3.向任何第三方提供赞助、捐赠（经批准的公益性捐赠除外）；</w:t>
      </w:r>
    </w:p>
    <w:p w14:paraId="66276D6E">
      <w:pPr>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4.吸收或变相吸收存款，或向第三方提供贷款和资金拆借（以股权投资为目的可转债除外，但不得以股权代持、明股实债的方式开展工作）；</w:t>
      </w:r>
    </w:p>
    <w:p w14:paraId="41CB0E04">
      <w:pPr>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5.进行承担无限连带责任的对外投资；</w:t>
      </w:r>
    </w:p>
    <w:p w14:paraId="17C70284">
      <w:pPr>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6.发行信托或集合理财产品募集资金；</w:t>
      </w:r>
    </w:p>
    <w:p w14:paraId="4031193F">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7.其他国家法律法规禁止从事的业务。</w:t>
      </w:r>
    </w:p>
    <w:p w14:paraId="6B1F6192">
      <w:pPr>
        <w:pStyle w:val="30"/>
        <w:numPr>
          <w:ilvl w:val="0"/>
          <w:numId w:val="4"/>
        </w:numPr>
        <w:spacing w:line="560" w:lineRule="exact"/>
        <w:ind w:firstLineChars="0"/>
        <w:outlineLvl w:val="1"/>
        <w:rPr>
          <w:rFonts w:hint="eastAsia" w:ascii="楷体" w:hAnsi="楷体" w:eastAsia="楷体" w:cs="楷体"/>
          <w:bCs/>
          <w:sz w:val="32"/>
          <w:szCs w:val="32"/>
          <w:highlight w:val="none"/>
        </w:rPr>
      </w:pPr>
      <w:r>
        <w:rPr>
          <w:rFonts w:hint="eastAsia" w:ascii="楷体" w:hAnsi="楷体" w:eastAsia="楷体" w:cs="楷体"/>
          <w:bCs/>
          <w:sz w:val="32"/>
          <w:szCs w:val="32"/>
          <w:highlight w:val="none"/>
        </w:rPr>
        <w:t>提前退出</w:t>
      </w:r>
    </w:p>
    <w:p w14:paraId="1A81F345">
      <w:pPr>
        <w:overflowPunct w:val="0"/>
        <w:adjustRightInd w:val="0"/>
        <w:snapToGrid w:val="0"/>
        <w:spacing w:line="560" w:lineRule="exact"/>
        <w:ind w:firstLine="640" w:firstLineChars="200"/>
        <w:rPr>
          <w:rFonts w:hint="eastAsia" w:ascii="仿宋_GB2312" w:hAnsi="仿宋_GB2312" w:eastAsia="仿宋_GB2312" w:cs="仿宋_GB2312"/>
          <w:sz w:val="32"/>
          <w:highlight w:val="none"/>
        </w:rPr>
      </w:pPr>
      <w:bookmarkStart w:id="2" w:name="_Hlk130312197"/>
      <w:r>
        <w:rPr>
          <w:rFonts w:hint="eastAsia" w:ascii="仿宋_GB2312" w:hAnsi="仿宋_GB2312" w:eastAsia="仿宋_GB2312" w:cs="仿宋_GB2312"/>
          <w:sz w:val="32"/>
          <w:highlight w:val="none"/>
        </w:rPr>
        <w:t>当出现下列前六项情形之一的，</w:t>
      </w:r>
      <w:r>
        <w:rPr>
          <w:rFonts w:hint="eastAsia" w:ascii="仿宋_GB2312" w:hAnsi="仿宋_GB2312" w:eastAsia="仿宋_GB2312" w:cs="仿宋_GB2312"/>
          <w:sz w:val="32"/>
          <w:highlight w:val="none"/>
          <w:lang w:eastAsia="zh-CN"/>
        </w:rPr>
        <w:t>母基金</w:t>
      </w:r>
      <w:r>
        <w:rPr>
          <w:rFonts w:hint="eastAsia" w:ascii="仿宋_GB2312" w:hAnsi="仿宋_GB2312" w:eastAsia="仿宋_GB2312" w:cs="仿宋_GB2312"/>
          <w:sz w:val="32"/>
          <w:highlight w:val="none"/>
        </w:rPr>
        <w:t>有权要求退出并可采取要求子基金管理人退还管理费、取消让利及后续合作资格等惩罚措施；当出现下列第七项情形的，母基金有权要求缩减基金规模或退出，子基金其他出资人应签署一切必要的文件或履行所有必要的程序以确保母基金缩减规模或退出，因母基金缩减规模或退出而产生的风险和损失由子基金管理机构承担</w:t>
      </w:r>
      <w:r>
        <w:rPr>
          <w:rFonts w:hint="eastAsia" w:ascii="仿宋_GB2312" w:hAnsi="仿宋_GB2312" w:eastAsia="仿宋_GB2312" w:cs="仿宋_GB2312"/>
          <w:sz w:val="32"/>
          <w:highlight w:val="none"/>
          <w:lang w:eastAsia="zh-CN"/>
        </w:rPr>
        <w:t>；如因相关规定导致</w:t>
      </w:r>
      <w:r>
        <w:rPr>
          <w:rFonts w:hint="eastAsia" w:ascii="仿宋_GB2312" w:hAnsi="仿宋_GB2312" w:eastAsia="仿宋_GB2312" w:cs="仿宋_GB2312"/>
          <w:sz w:val="32"/>
          <w:highlight w:val="none"/>
          <w:lang w:val="en-US" w:eastAsia="zh-CN"/>
        </w:rPr>
        <w:t>母基金</w:t>
      </w:r>
      <w:r>
        <w:rPr>
          <w:rFonts w:hint="eastAsia" w:ascii="仿宋_GB2312" w:hAnsi="仿宋_GB2312" w:eastAsia="仿宋_GB2312" w:cs="仿宋_GB2312"/>
          <w:sz w:val="32"/>
          <w:highlight w:val="none"/>
          <w:lang w:eastAsia="zh-CN"/>
        </w:rPr>
        <w:t>无法减资或退出的，子基金管理人有义务或指定其他人受让母基金份额</w:t>
      </w:r>
      <w:r>
        <w:rPr>
          <w:rFonts w:hint="eastAsia" w:ascii="仿宋_GB2312" w:hAnsi="仿宋_GB2312" w:eastAsia="仿宋_GB2312" w:cs="仿宋_GB2312"/>
          <w:sz w:val="32"/>
          <w:highlight w:val="none"/>
        </w:rPr>
        <w:t>：</w:t>
      </w:r>
    </w:p>
    <w:bookmarkEnd w:id="2"/>
    <w:p w14:paraId="75625BC5">
      <w:pPr>
        <w:numPr>
          <w:ilvl w:val="0"/>
          <w:numId w:val="5"/>
        </w:numPr>
        <w:overflowPunct w:val="0"/>
        <w:adjustRightInd w:val="0"/>
        <w:snapToGrid w:val="0"/>
        <w:spacing w:line="56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子基金设立方案通过母基金投决会审议超过3个月，未按规定程序和时间要求完成设立手续的；</w:t>
      </w:r>
    </w:p>
    <w:p w14:paraId="6028E702">
      <w:pPr>
        <w:numPr>
          <w:ilvl w:val="0"/>
          <w:numId w:val="5"/>
        </w:numPr>
        <w:overflowPunct w:val="0"/>
        <w:adjustRightInd w:val="0"/>
        <w:snapToGrid w:val="0"/>
        <w:spacing w:line="56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母基金出资拨付至子基金账户</w:t>
      </w:r>
      <w:r>
        <w:rPr>
          <w:rFonts w:hint="eastAsia" w:ascii="仿宋_GB2312" w:hAnsi="仿宋_GB2312" w:eastAsia="仿宋_GB2312" w:cs="仿宋_GB2312"/>
          <w:sz w:val="32"/>
          <w:highlight w:val="none"/>
          <w:lang w:val="en-US" w:eastAsia="zh-CN"/>
        </w:rPr>
        <w:t>3</w:t>
      </w:r>
      <w:r>
        <w:rPr>
          <w:rFonts w:hint="eastAsia" w:ascii="仿宋_GB2312" w:hAnsi="仿宋_GB2312" w:eastAsia="仿宋_GB2312" w:cs="仿宋_GB2312"/>
          <w:sz w:val="32"/>
          <w:highlight w:val="none"/>
        </w:rPr>
        <w:t>个月以上，子基金未开展投资业务的；</w:t>
      </w:r>
    </w:p>
    <w:p w14:paraId="20367E98">
      <w:pPr>
        <w:numPr>
          <w:ilvl w:val="0"/>
          <w:numId w:val="5"/>
        </w:numPr>
        <w:overflowPunct w:val="0"/>
        <w:adjustRightInd w:val="0"/>
        <w:snapToGrid w:val="0"/>
        <w:spacing w:line="56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子基金投资领域和方向不符合《南宁市产业高质量发展基金设立方案》（南府办</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2022</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31号）《南宁市产业高质量发展基金管理办法》（南府办</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2022</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34号）规定的；</w:t>
      </w:r>
    </w:p>
    <w:p w14:paraId="0730B1F2">
      <w:pPr>
        <w:numPr>
          <w:ilvl w:val="0"/>
          <w:numId w:val="5"/>
        </w:numPr>
        <w:overflowPunct w:val="0"/>
        <w:adjustRightInd w:val="0"/>
        <w:snapToGrid w:val="0"/>
        <w:spacing w:line="56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子基金出现重大审计问题；</w:t>
      </w:r>
    </w:p>
    <w:p w14:paraId="42AF511B">
      <w:pPr>
        <w:numPr>
          <w:ilvl w:val="0"/>
          <w:numId w:val="5"/>
        </w:numPr>
        <w:overflowPunct w:val="0"/>
        <w:adjustRightInd w:val="0"/>
        <w:snapToGrid w:val="0"/>
        <w:spacing w:line="56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子基金管理机构发生实质性变化且未经子基金相关权力机构审议通过的，实质性变化包括但不限于：</w:t>
      </w:r>
    </w:p>
    <w:p w14:paraId="01E8A578">
      <w:pPr>
        <w:numPr>
          <w:ilvl w:val="0"/>
          <w:numId w:val="6"/>
        </w:numPr>
        <w:overflowPunct w:val="0"/>
        <w:adjustRightInd w:val="0"/>
        <w:snapToGrid w:val="0"/>
        <w:spacing w:line="560" w:lineRule="exact"/>
        <w:ind w:left="0"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子基金管理机构的主要股东（公司制）或普通合伙人（合伙制）发生实质性变化；</w:t>
      </w:r>
    </w:p>
    <w:p w14:paraId="3C55AC96">
      <w:pPr>
        <w:numPr>
          <w:ilvl w:val="0"/>
          <w:numId w:val="6"/>
        </w:numPr>
        <w:overflowPunct w:val="0"/>
        <w:adjustRightInd w:val="0"/>
        <w:snapToGrid w:val="0"/>
        <w:spacing w:line="560" w:lineRule="exact"/>
        <w:ind w:left="0"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锁定的子基金投委会委员或管理团队核心人员半数（含）以上发生变化等情况。</w:t>
      </w:r>
    </w:p>
    <w:p w14:paraId="73DBF34A">
      <w:pPr>
        <w:numPr>
          <w:ilvl w:val="0"/>
          <w:numId w:val="5"/>
        </w:numPr>
        <w:overflowPunct w:val="0"/>
        <w:adjustRightInd w:val="0"/>
        <w:snapToGrid w:val="0"/>
        <w:spacing w:line="56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其他不符合合伙协议约定的情形；</w:t>
      </w:r>
    </w:p>
    <w:p w14:paraId="56005A0C">
      <w:pPr>
        <w:numPr>
          <w:ilvl w:val="0"/>
          <w:numId w:val="5"/>
        </w:numPr>
        <w:overflowPunct w:val="0"/>
        <w:adjustRightInd w:val="0"/>
        <w:snapToGrid w:val="0"/>
        <w:spacing w:line="560" w:lineRule="exact"/>
        <w:ind w:firstLine="640" w:firstLineChars="200"/>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子基金未按合伙协议（或公司章程）约定的投资进度完成返投要求的。</w:t>
      </w:r>
    </w:p>
    <w:p w14:paraId="3BD2F7E4">
      <w:pPr>
        <w:pStyle w:val="30"/>
        <w:numPr>
          <w:ilvl w:val="0"/>
          <w:numId w:val="4"/>
        </w:numPr>
        <w:spacing w:line="560" w:lineRule="exact"/>
        <w:ind w:firstLineChars="0"/>
        <w:outlineLvl w:val="1"/>
        <w:rPr>
          <w:rFonts w:hint="eastAsia" w:ascii="楷体" w:hAnsi="楷体" w:eastAsia="楷体" w:cs="楷体"/>
          <w:bCs/>
          <w:sz w:val="32"/>
          <w:szCs w:val="32"/>
          <w:highlight w:val="none"/>
        </w:rPr>
      </w:pPr>
      <w:r>
        <w:rPr>
          <w:rFonts w:hint="eastAsia" w:ascii="楷体" w:hAnsi="楷体" w:eastAsia="楷体" w:cs="楷体"/>
          <w:bCs/>
          <w:sz w:val="32"/>
          <w:szCs w:val="32"/>
          <w:highlight w:val="none"/>
        </w:rPr>
        <w:t>信息披露</w:t>
      </w:r>
    </w:p>
    <w:p w14:paraId="3AB67AB0">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子基金管理人应当建立重大事项披露制度，重大事项包括但不限于：基金合伙协议修订、资本增减、高级管理人员变更、合并、清算等。子基金管理人应当定期向</w:t>
      </w:r>
      <w:r>
        <w:rPr>
          <w:rFonts w:hint="eastAsia" w:ascii="仿宋_GB2312" w:hAnsi="仿宋_GB2312" w:eastAsia="仿宋_GB2312" w:cs="仿宋_GB2312"/>
          <w:sz w:val="32"/>
          <w:szCs w:val="32"/>
          <w:highlight w:val="none"/>
          <w:lang w:eastAsia="zh-CN"/>
        </w:rPr>
        <w:t>母基金</w:t>
      </w:r>
      <w:r>
        <w:rPr>
          <w:rFonts w:hint="eastAsia" w:ascii="仿宋_GB2312" w:hAnsi="仿宋_GB2312" w:eastAsia="仿宋_GB2312" w:cs="仿宋_GB2312"/>
          <w:sz w:val="32"/>
          <w:szCs w:val="32"/>
          <w:highlight w:val="none"/>
        </w:rPr>
        <w:t>提交季度、年度运营报告、年度审计报告和年度托管报告。</w:t>
      </w:r>
    </w:p>
    <w:sectPr>
      <w:footerReference r:id="rId3" w:type="default"/>
      <w:pgSz w:w="11906" w:h="16838"/>
      <w:pgMar w:top="1701" w:right="1474" w:bottom="1701" w:left="1474"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FED2F0-EF06-4DC1-92F9-5CAC25553B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青鸟华光简小标宋">
    <w:panose1 w:val="02010604000101010101"/>
    <w:charset w:val="86"/>
    <w:family w:val="auto"/>
    <w:pitch w:val="default"/>
    <w:sig w:usb0="00000001" w:usb1="080E0000" w:usb2="00000000" w:usb3="00000000" w:csb0="00040001" w:csb1="00000000"/>
    <w:embedRegular r:id="rId2" w:fontKey="{2F5B141F-A165-4F11-AE3B-FF48E2D8A0F0}"/>
  </w:font>
  <w:font w:name="迷你简小标宋">
    <w:panose1 w:val="03000509000000000000"/>
    <w:charset w:val="86"/>
    <w:family w:val="auto"/>
    <w:pitch w:val="default"/>
    <w:sig w:usb0="00000001" w:usb1="080E0000" w:usb2="00000000" w:usb3="00000000" w:csb0="00040000" w:csb1="00000000"/>
    <w:embedRegular r:id="rId3" w:fontKey="{6869F405-0471-4D6D-9B7B-E56F6CDB42D7}"/>
  </w:font>
  <w:font w:name="仿宋_GB2312">
    <w:panose1 w:val="02010609030101010101"/>
    <w:charset w:val="86"/>
    <w:family w:val="modern"/>
    <w:pitch w:val="default"/>
    <w:sig w:usb0="00000001" w:usb1="080E0000" w:usb2="00000000" w:usb3="00000000" w:csb0="00040000" w:csb1="00000000"/>
    <w:embedRegular r:id="rId4" w:fontKey="{19BB3BEE-75FC-40F6-83EA-A1B4855E95B1}"/>
  </w:font>
  <w:font w:name="楷体">
    <w:panose1 w:val="02010609060101010101"/>
    <w:charset w:val="86"/>
    <w:family w:val="auto"/>
    <w:pitch w:val="default"/>
    <w:sig w:usb0="800002BF" w:usb1="38CF7CFA" w:usb2="00000016" w:usb3="00000000" w:csb0="00040001" w:csb1="00000000"/>
    <w:embedRegular r:id="rId5" w:fontKey="{11F62A72-6B91-4836-A368-C9E97D21CD5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19860"/>
    </w:sdtPr>
    <w:sdtContent>
      <w:p w14:paraId="5BFD070D">
        <w:pPr>
          <w:pStyle w:val="6"/>
          <w:jc w:val="center"/>
        </w:pPr>
        <w:r>
          <w:fldChar w:fldCharType="begin"/>
        </w:r>
        <w:r>
          <w:instrText xml:space="preserve"> PAGE   \* MERGEFORMAT </w:instrText>
        </w:r>
        <w:r>
          <w:fldChar w:fldCharType="separate"/>
        </w:r>
        <w:r>
          <w:rPr>
            <w:lang w:val="zh-CN"/>
          </w:rPr>
          <w:t>7</w:t>
        </w:r>
        <w:r>
          <w:fldChar w:fldCharType="end"/>
        </w:r>
      </w:p>
    </w:sdtContent>
  </w:sdt>
  <w:p w14:paraId="3D8FC3AF">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D9F404"/>
    <w:multiLevelType w:val="singleLevel"/>
    <w:tmpl w:val="BAD9F404"/>
    <w:lvl w:ilvl="0" w:tentative="0">
      <w:start w:val="1"/>
      <w:numFmt w:val="decimal"/>
      <w:suff w:val="nothing"/>
      <w:lvlText w:val="%1．"/>
      <w:lvlJc w:val="left"/>
      <w:pPr>
        <w:ind w:left="0" w:firstLine="400"/>
      </w:pPr>
      <w:rPr>
        <w:rFonts w:hint="default"/>
      </w:rPr>
    </w:lvl>
  </w:abstractNum>
  <w:abstractNum w:abstractNumId="1">
    <w:nsid w:val="F21874EB"/>
    <w:multiLevelType w:val="singleLevel"/>
    <w:tmpl w:val="F21874EB"/>
    <w:lvl w:ilvl="0" w:tentative="0">
      <w:start w:val="1"/>
      <w:numFmt w:val="decimal"/>
      <w:suff w:val="nothing"/>
      <w:lvlText w:val="%1．"/>
      <w:lvlJc w:val="left"/>
      <w:pPr>
        <w:ind w:left="0" w:firstLine="400"/>
      </w:pPr>
      <w:rPr>
        <w:rFonts w:hint="default"/>
      </w:rPr>
    </w:lvl>
  </w:abstractNum>
  <w:abstractNum w:abstractNumId="2">
    <w:nsid w:val="3E7C1DEB"/>
    <w:multiLevelType w:val="singleLevel"/>
    <w:tmpl w:val="3E7C1DEB"/>
    <w:lvl w:ilvl="0" w:tentative="0">
      <w:start w:val="2"/>
      <w:numFmt w:val="chineseCounting"/>
      <w:suff w:val="nothing"/>
      <w:lvlText w:val="%1、"/>
      <w:lvlJc w:val="left"/>
      <w:rPr>
        <w:rFonts w:hint="eastAsia"/>
      </w:rPr>
    </w:lvl>
  </w:abstractNum>
  <w:abstractNum w:abstractNumId="3">
    <w:nsid w:val="448C75F4"/>
    <w:multiLevelType w:val="multilevel"/>
    <w:tmpl w:val="448C75F4"/>
    <w:lvl w:ilvl="0" w:tentative="0">
      <w:start w:val="1"/>
      <w:numFmt w:val="chineseCountingThousand"/>
      <w:lvlText w:val="（%1）"/>
      <w:lvlJc w:val="left"/>
      <w:pPr>
        <w:ind w:left="1063" w:hanging="420"/>
      </w:pPr>
      <w:rPr>
        <w:rFonts w:hint="eastAsia" w:ascii="楷体" w:hAnsi="楷体" w:eastAsia="楷体" w:cs="楷体"/>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4">
    <w:nsid w:val="637A1C28"/>
    <w:multiLevelType w:val="multilevel"/>
    <w:tmpl w:val="637A1C28"/>
    <w:lvl w:ilvl="0" w:tentative="0">
      <w:start w:val="1"/>
      <w:numFmt w:val="chineseCountingThousand"/>
      <w:lvlText w:val="（%1）"/>
      <w:lvlJc w:val="left"/>
      <w:pPr>
        <w:ind w:left="1063" w:hanging="420"/>
      </w:pPr>
      <w:rPr>
        <w:rFonts w:hint="eastAsia" w:ascii="楷体" w:hAnsi="楷体" w:eastAsia="楷体" w:cs="楷体"/>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5">
    <w:nsid w:val="7546AAF8"/>
    <w:multiLevelType w:val="singleLevel"/>
    <w:tmpl w:val="7546AAF8"/>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MmQzOGIwMjY3ZWIxY2NlNmEzNjJkMDhkMGI1MTgifQ=="/>
  </w:docVars>
  <w:rsids>
    <w:rsidRoot w:val="002F668A"/>
    <w:rsid w:val="00011BD9"/>
    <w:rsid w:val="0001304D"/>
    <w:rsid w:val="00016A10"/>
    <w:rsid w:val="0003789F"/>
    <w:rsid w:val="00041B47"/>
    <w:rsid w:val="00043FCB"/>
    <w:rsid w:val="000474E3"/>
    <w:rsid w:val="000A0C6A"/>
    <w:rsid w:val="000A3277"/>
    <w:rsid w:val="000A3C8B"/>
    <w:rsid w:val="000A4C55"/>
    <w:rsid w:val="000B74F8"/>
    <w:rsid w:val="000D09A9"/>
    <w:rsid w:val="000E636C"/>
    <w:rsid w:val="000F5C66"/>
    <w:rsid w:val="00111107"/>
    <w:rsid w:val="00112792"/>
    <w:rsid w:val="00133634"/>
    <w:rsid w:val="00140237"/>
    <w:rsid w:val="001438BF"/>
    <w:rsid w:val="00151C48"/>
    <w:rsid w:val="00153E90"/>
    <w:rsid w:val="00170311"/>
    <w:rsid w:val="00173F8C"/>
    <w:rsid w:val="00174680"/>
    <w:rsid w:val="00195553"/>
    <w:rsid w:val="001B4A1F"/>
    <w:rsid w:val="001F173C"/>
    <w:rsid w:val="002072DA"/>
    <w:rsid w:val="00224AC9"/>
    <w:rsid w:val="00232D6B"/>
    <w:rsid w:val="002340E7"/>
    <w:rsid w:val="0028559F"/>
    <w:rsid w:val="00291A65"/>
    <w:rsid w:val="00296CD5"/>
    <w:rsid w:val="002A2BB4"/>
    <w:rsid w:val="002F668A"/>
    <w:rsid w:val="003005F2"/>
    <w:rsid w:val="00317829"/>
    <w:rsid w:val="003264FB"/>
    <w:rsid w:val="00346C7A"/>
    <w:rsid w:val="00354CE9"/>
    <w:rsid w:val="00365732"/>
    <w:rsid w:val="00370B2C"/>
    <w:rsid w:val="00380866"/>
    <w:rsid w:val="003968B6"/>
    <w:rsid w:val="003B0166"/>
    <w:rsid w:val="003B7975"/>
    <w:rsid w:val="003E68C7"/>
    <w:rsid w:val="003F527D"/>
    <w:rsid w:val="00406078"/>
    <w:rsid w:val="0042065C"/>
    <w:rsid w:val="00444BF7"/>
    <w:rsid w:val="004515A3"/>
    <w:rsid w:val="00456EB7"/>
    <w:rsid w:val="00461826"/>
    <w:rsid w:val="00464924"/>
    <w:rsid w:val="004800E5"/>
    <w:rsid w:val="00481355"/>
    <w:rsid w:val="00492BC8"/>
    <w:rsid w:val="004B7041"/>
    <w:rsid w:val="004C3387"/>
    <w:rsid w:val="004E06CB"/>
    <w:rsid w:val="004E4108"/>
    <w:rsid w:val="004F15D5"/>
    <w:rsid w:val="004F7CFC"/>
    <w:rsid w:val="00502809"/>
    <w:rsid w:val="00506BAC"/>
    <w:rsid w:val="00521091"/>
    <w:rsid w:val="00524A33"/>
    <w:rsid w:val="00524B16"/>
    <w:rsid w:val="005377EA"/>
    <w:rsid w:val="0054256E"/>
    <w:rsid w:val="00550812"/>
    <w:rsid w:val="00551404"/>
    <w:rsid w:val="00563A64"/>
    <w:rsid w:val="00585CA4"/>
    <w:rsid w:val="00591F12"/>
    <w:rsid w:val="005B0540"/>
    <w:rsid w:val="005B61B3"/>
    <w:rsid w:val="005C179C"/>
    <w:rsid w:val="005D7796"/>
    <w:rsid w:val="005E5674"/>
    <w:rsid w:val="006156CA"/>
    <w:rsid w:val="00660F1B"/>
    <w:rsid w:val="0066365D"/>
    <w:rsid w:val="0068333A"/>
    <w:rsid w:val="0068765E"/>
    <w:rsid w:val="006A0F59"/>
    <w:rsid w:val="006A778C"/>
    <w:rsid w:val="006B29FA"/>
    <w:rsid w:val="006D524D"/>
    <w:rsid w:val="006E4869"/>
    <w:rsid w:val="0070204D"/>
    <w:rsid w:val="00715EAA"/>
    <w:rsid w:val="0075470C"/>
    <w:rsid w:val="007712F4"/>
    <w:rsid w:val="007733F4"/>
    <w:rsid w:val="0078510E"/>
    <w:rsid w:val="007A1A12"/>
    <w:rsid w:val="007A1F05"/>
    <w:rsid w:val="007A2898"/>
    <w:rsid w:val="007B010A"/>
    <w:rsid w:val="007C3BDE"/>
    <w:rsid w:val="007D3250"/>
    <w:rsid w:val="007D3ED0"/>
    <w:rsid w:val="00807118"/>
    <w:rsid w:val="00812D59"/>
    <w:rsid w:val="0082019A"/>
    <w:rsid w:val="008204F4"/>
    <w:rsid w:val="00832646"/>
    <w:rsid w:val="00835B28"/>
    <w:rsid w:val="008524AF"/>
    <w:rsid w:val="00864698"/>
    <w:rsid w:val="008655C8"/>
    <w:rsid w:val="0087329C"/>
    <w:rsid w:val="00880882"/>
    <w:rsid w:val="00882BC7"/>
    <w:rsid w:val="0089332B"/>
    <w:rsid w:val="008A1781"/>
    <w:rsid w:val="008B3EC0"/>
    <w:rsid w:val="008D2FAD"/>
    <w:rsid w:val="008D6D80"/>
    <w:rsid w:val="008E0333"/>
    <w:rsid w:val="008E6B10"/>
    <w:rsid w:val="008F4894"/>
    <w:rsid w:val="008F4B21"/>
    <w:rsid w:val="00911955"/>
    <w:rsid w:val="00932ABF"/>
    <w:rsid w:val="00935B08"/>
    <w:rsid w:val="009448E0"/>
    <w:rsid w:val="009714B9"/>
    <w:rsid w:val="00976EE2"/>
    <w:rsid w:val="00980C9B"/>
    <w:rsid w:val="00987BF4"/>
    <w:rsid w:val="0099200F"/>
    <w:rsid w:val="009947E0"/>
    <w:rsid w:val="009A044F"/>
    <w:rsid w:val="009A7863"/>
    <w:rsid w:val="009B453F"/>
    <w:rsid w:val="009B67CF"/>
    <w:rsid w:val="009B7629"/>
    <w:rsid w:val="009D7E0F"/>
    <w:rsid w:val="009E27C4"/>
    <w:rsid w:val="009F2A68"/>
    <w:rsid w:val="00A005F9"/>
    <w:rsid w:val="00A15AC4"/>
    <w:rsid w:val="00A204F8"/>
    <w:rsid w:val="00A26936"/>
    <w:rsid w:val="00A26B73"/>
    <w:rsid w:val="00A41A14"/>
    <w:rsid w:val="00A4610B"/>
    <w:rsid w:val="00A51D0B"/>
    <w:rsid w:val="00A57179"/>
    <w:rsid w:val="00A643E2"/>
    <w:rsid w:val="00A65ECC"/>
    <w:rsid w:val="00AB7578"/>
    <w:rsid w:val="00AE44C4"/>
    <w:rsid w:val="00AF25D8"/>
    <w:rsid w:val="00B12D31"/>
    <w:rsid w:val="00B1479D"/>
    <w:rsid w:val="00B206FB"/>
    <w:rsid w:val="00B2413C"/>
    <w:rsid w:val="00B35024"/>
    <w:rsid w:val="00B63A9D"/>
    <w:rsid w:val="00B63CD5"/>
    <w:rsid w:val="00B6539B"/>
    <w:rsid w:val="00B858D5"/>
    <w:rsid w:val="00B90EDF"/>
    <w:rsid w:val="00B96083"/>
    <w:rsid w:val="00BA52A9"/>
    <w:rsid w:val="00BB0C65"/>
    <w:rsid w:val="00BC12A8"/>
    <w:rsid w:val="00BD1D5E"/>
    <w:rsid w:val="00C04FB6"/>
    <w:rsid w:val="00C2045A"/>
    <w:rsid w:val="00C41027"/>
    <w:rsid w:val="00C4500D"/>
    <w:rsid w:val="00C55860"/>
    <w:rsid w:val="00C57B45"/>
    <w:rsid w:val="00C66440"/>
    <w:rsid w:val="00C74633"/>
    <w:rsid w:val="00C7680F"/>
    <w:rsid w:val="00C9637B"/>
    <w:rsid w:val="00CB619C"/>
    <w:rsid w:val="00CD5CBC"/>
    <w:rsid w:val="00CD6EB6"/>
    <w:rsid w:val="00CF29E1"/>
    <w:rsid w:val="00D00218"/>
    <w:rsid w:val="00D412F5"/>
    <w:rsid w:val="00D41F74"/>
    <w:rsid w:val="00D54F52"/>
    <w:rsid w:val="00D56C1E"/>
    <w:rsid w:val="00D57D53"/>
    <w:rsid w:val="00D870AA"/>
    <w:rsid w:val="00D92E73"/>
    <w:rsid w:val="00D96B76"/>
    <w:rsid w:val="00DA1255"/>
    <w:rsid w:val="00DB1830"/>
    <w:rsid w:val="00DB2B11"/>
    <w:rsid w:val="00DC4E42"/>
    <w:rsid w:val="00DC7663"/>
    <w:rsid w:val="00DD3E83"/>
    <w:rsid w:val="00DF1A49"/>
    <w:rsid w:val="00DF64A3"/>
    <w:rsid w:val="00E50C39"/>
    <w:rsid w:val="00E62374"/>
    <w:rsid w:val="00E64694"/>
    <w:rsid w:val="00E71E66"/>
    <w:rsid w:val="00E77C08"/>
    <w:rsid w:val="00E82F96"/>
    <w:rsid w:val="00E86165"/>
    <w:rsid w:val="00EA64DB"/>
    <w:rsid w:val="00EA7FC6"/>
    <w:rsid w:val="00EB237B"/>
    <w:rsid w:val="00EB2D89"/>
    <w:rsid w:val="00EC0046"/>
    <w:rsid w:val="00EC7442"/>
    <w:rsid w:val="00EF26E2"/>
    <w:rsid w:val="00F01529"/>
    <w:rsid w:val="00F233F2"/>
    <w:rsid w:val="00F247A1"/>
    <w:rsid w:val="00F2628F"/>
    <w:rsid w:val="00F338CE"/>
    <w:rsid w:val="00F344F9"/>
    <w:rsid w:val="00F34AB2"/>
    <w:rsid w:val="00F47A1A"/>
    <w:rsid w:val="00F7562E"/>
    <w:rsid w:val="00F76480"/>
    <w:rsid w:val="00F77D35"/>
    <w:rsid w:val="00F9039D"/>
    <w:rsid w:val="00FA25E2"/>
    <w:rsid w:val="00FB0BE4"/>
    <w:rsid w:val="00FB5B8F"/>
    <w:rsid w:val="00FB68E1"/>
    <w:rsid w:val="00FE3FD4"/>
    <w:rsid w:val="00FE558B"/>
    <w:rsid w:val="00FE727A"/>
    <w:rsid w:val="00FF58FC"/>
    <w:rsid w:val="00FF7A80"/>
    <w:rsid w:val="00FF7E3D"/>
    <w:rsid w:val="01155E6D"/>
    <w:rsid w:val="01B464A4"/>
    <w:rsid w:val="02054F52"/>
    <w:rsid w:val="03386D1A"/>
    <w:rsid w:val="0397353D"/>
    <w:rsid w:val="03E80687"/>
    <w:rsid w:val="05210B3A"/>
    <w:rsid w:val="0596483F"/>
    <w:rsid w:val="05C649F8"/>
    <w:rsid w:val="05E64830"/>
    <w:rsid w:val="06392D0A"/>
    <w:rsid w:val="07C84977"/>
    <w:rsid w:val="0A93759F"/>
    <w:rsid w:val="0C286BD3"/>
    <w:rsid w:val="0CE9794A"/>
    <w:rsid w:val="0E1B3A19"/>
    <w:rsid w:val="0F8E7C67"/>
    <w:rsid w:val="11B06C88"/>
    <w:rsid w:val="12920089"/>
    <w:rsid w:val="1521772D"/>
    <w:rsid w:val="160D7BA1"/>
    <w:rsid w:val="194505FE"/>
    <w:rsid w:val="1B350FE0"/>
    <w:rsid w:val="1C87106A"/>
    <w:rsid w:val="1D687B68"/>
    <w:rsid w:val="1E771B85"/>
    <w:rsid w:val="1E870542"/>
    <w:rsid w:val="1EA27958"/>
    <w:rsid w:val="1EB53B30"/>
    <w:rsid w:val="1F56771F"/>
    <w:rsid w:val="1F8D4B3F"/>
    <w:rsid w:val="1FC949BD"/>
    <w:rsid w:val="228D5BAC"/>
    <w:rsid w:val="22C73E32"/>
    <w:rsid w:val="24E81F38"/>
    <w:rsid w:val="254F10C5"/>
    <w:rsid w:val="25503800"/>
    <w:rsid w:val="25BF7042"/>
    <w:rsid w:val="27383550"/>
    <w:rsid w:val="277C6C38"/>
    <w:rsid w:val="27FA2AB0"/>
    <w:rsid w:val="285F49B8"/>
    <w:rsid w:val="29325D7D"/>
    <w:rsid w:val="2943504D"/>
    <w:rsid w:val="2A60107B"/>
    <w:rsid w:val="2A62271D"/>
    <w:rsid w:val="2A93267D"/>
    <w:rsid w:val="2B4F70BA"/>
    <w:rsid w:val="2E905A1F"/>
    <w:rsid w:val="2F0C1B98"/>
    <w:rsid w:val="2F0F136C"/>
    <w:rsid w:val="2FA31782"/>
    <w:rsid w:val="2FB07D4E"/>
    <w:rsid w:val="30CC4BD0"/>
    <w:rsid w:val="330D4AAA"/>
    <w:rsid w:val="33E006B7"/>
    <w:rsid w:val="33EC194A"/>
    <w:rsid w:val="35487054"/>
    <w:rsid w:val="38CD123A"/>
    <w:rsid w:val="392F150E"/>
    <w:rsid w:val="394E5893"/>
    <w:rsid w:val="39691347"/>
    <w:rsid w:val="39F160C9"/>
    <w:rsid w:val="3AC80CAE"/>
    <w:rsid w:val="3BB645EB"/>
    <w:rsid w:val="3EDF6BFB"/>
    <w:rsid w:val="3FEBC7B8"/>
    <w:rsid w:val="40B95304"/>
    <w:rsid w:val="418426C5"/>
    <w:rsid w:val="44E26451"/>
    <w:rsid w:val="46A80EA7"/>
    <w:rsid w:val="472D344E"/>
    <w:rsid w:val="4ABE685D"/>
    <w:rsid w:val="4BFE53DA"/>
    <w:rsid w:val="4D2E0486"/>
    <w:rsid w:val="502A762A"/>
    <w:rsid w:val="52972F71"/>
    <w:rsid w:val="55D366CB"/>
    <w:rsid w:val="58690AF7"/>
    <w:rsid w:val="5E375C14"/>
    <w:rsid w:val="5E483371"/>
    <w:rsid w:val="5EF82381"/>
    <w:rsid w:val="5FD79ACA"/>
    <w:rsid w:val="5FFF6B40"/>
    <w:rsid w:val="601E438A"/>
    <w:rsid w:val="611759A9"/>
    <w:rsid w:val="63604C33"/>
    <w:rsid w:val="63CD34C8"/>
    <w:rsid w:val="6401024A"/>
    <w:rsid w:val="65185227"/>
    <w:rsid w:val="658426A5"/>
    <w:rsid w:val="67E36156"/>
    <w:rsid w:val="68B03FED"/>
    <w:rsid w:val="69044869"/>
    <w:rsid w:val="69734FE3"/>
    <w:rsid w:val="6A4B221F"/>
    <w:rsid w:val="6A4D243B"/>
    <w:rsid w:val="6A8207A6"/>
    <w:rsid w:val="6CA5567A"/>
    <w:rsid w:val="6CBD73B5"/>
    <w:rsid w:val="6E8E6C0A"/>
    <w:rsid w:val="6EFE3D04"/>
    <w:rsid w:val="70005125"/>
    <w:rsid w:val="72220F73"/>
    <w:rsid w:val="73330ED6"/>
    <w:rsid w:val="73A738FE"/>
    <w:rsid w:val="73BD58F6"/>
    <w:rsid w:val="73D046D6"/>
    <w:rsid w:val="78B2790D"/>
    <w:rsid w:val="78F148D9"/>
    <w:rsid w:val="78FB3062"/>
    <w:rsid w:val="79F7DEE0"/>
    <w:rsid w:val="7BDDB423"/>
    <w:rsid w:val="7BFD0297"/>
    <w:rsid w:val="7E912487"/>
    <w:rsid w:val="7F1E57E7"/>
    <w:rsid w:val="7FD5473A"/>
    <w:rsid w:val="7FDEDCF5"/>
    <w:rsid w:val="8DF5306E"/>
    <w:rsid w:val="B12BC3DC"/>
    <w:rsid w:val="CEEF400F"/>
    <w:rsid w:val="D3F7C660"/>
    <w:rsid w:val="DAB503C1"/>
    <w:rsid w:val="DCFFA3C1"/>
    <w:rsid w:val="EEFF6A58"/>
    <w:rsid w:val="EF47D4A4"/>
    <w:rsid w:val="FBB9D06E"/>
    <w:rsid w:val="FED738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outlineLvl w:val="0"/>
    </w:pPr>
    <w:rPr>
      <w:rFonts w:ascii="Arial" w:hAnsi="Arial" w:eastAsia="宋体" w:cs="Times New Roman"/>
      <w:b/>
      <w:sz w:val="32"/>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unhideWhenUsed/>
    <w:qFormat/>
    <w:uiPriority w:val="99"/>
    <w:pPr>
      <w:jc w:val="left"/>
    </w:pPr>
  </w:style>
  <w:style w:type="paragraph" w:styleId="4">
    <w:name w:val="Body Text"/>
    <w:basedOn w:val="1"/>
    <w:link w:val="20"/>
    <w:qFormat/>
    <w:uiPriority w:val="0"/>
    <w:rPr>
      <w:rFonts w:ascii="Times New Roman" w:hAnsi="Times New Roman" w:eastAsia="宋体" w:cs="Times New Roman"/>
      <w:sz w:val="32"/>
      <w:szCs w:val="32"/>
    </w:rPr>
  </w:style>
  <w:style w:type="paragraph" w:styleId="5">
    <w:name w:val="Balloon Text"/>
    <w:basedOn w:val="1"/>
    <w:link w:val="21"/>
    <w:unhideWhenUsed/>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26"/>
    <w:qFormat/>
    <w:uiPriority w:val="10"/>
    <w:pPr>
      <w:spacing w:before="240" w:after="60"/>
      <w:jc w:val="center"/>
      <w:outlineLvl w:val="0"/>
    </w:pPr>
    <w:rPr>
      <w:rFonts w:ascii="Cambria" w:hAnsi="Cambria" w:eastAsia="宋体" w:cs="Times New Roman"/>
      <w:b/>
      <w:bCs/>
      <w:sz w:val="32"/>
      <w:szCs w:val="32"/>
    </w:rPr>
  </w:style>
  <w:style w:type="paragraph" w:styleId="10">
    <w:name w:val="annotation subject"/>
    <w:basedOn w:val="3"/>
    <w:next w:val="3"/>
    <w:link w:val="24"/>
    <w:unhideWhenUsed/>
    <w:qFormat/>
    <w:uiPriority w:val="99"/>
    <w:rPr>
      <w:b/>
      <w:bCs/>
    </w:rPr>
  </w:style>
  <w:style w:type="character" w:styleId="13">
    <w:name w:val="Strong"/>
    <w:basedOn w:val="12"/>
    <w:qFormat/>
    <w:uiPriority w:val="22"/>
    <w:rPr>
      <w:b/>
      <w:bCs/>
    </w:rPr>
  </w:style>
  <w:style w:type="character" w:styleId="14">
    <w:name w:val="page number"/>
    <w:qFormat/>
    <w:uiPriority w:val="0"/>
  </w:style>
  <w:style w:type="character" w:styleId="15">
    <w:name w:val="annotation reference"/>
    <w:basedOn w:val="12"/>
    <w:unhideWhenUsed/>
    <w:qFormat/>
    <w:uiPriority w:val="99"/>
    <w:rPr>
      <w:sz w:val="21"/>
      <w:szCs w:val="21"/>
    </w:rPr>
  </w:style>
  <w:style w:type="character" w:customStyle="1" w:styleId="16">
    <w:name w:val="页脚 Char"/>
    <w:basedOn w:val="12"/>
    <w:link w:val="6"/>
    <w:qFormat/>
    <w:uiPriority w:val="99"/>
    <w:rPr>
      <w:sz w:val="18"/>
      <w:szCs w:val="18"/>
    </w:rPr>
  </w:style>
  <w:style w:type="character" w:customStyle="1" w:styleId="17">
    <w:name w:val="页脚 字符1"/>
    <w:basedOn w:val="12"/>
    <w:semiHidden/>
    <w:qFormat/>
    <w:uiPriority w:val="99"/>
    <w:rPr>
      <w:sz w:val="18"/>
      <w:szCs w:val="18"/>
    </w:rPr>
  </w:style>
  <w:style w:type="character" w:customStyle="1" w:styleId="18">
    <w:name w:val="页眉 Char"/>
    <w:basedOn w:val="12"/>
    <w:link w:val="7"/>
    <w:qFormat/>
    <w:uiPriority w:val="99"/>
    <w:rPr>
      <w:sz w:val="18"/>
      <w:szCs w:val="18"/>
    </w:rPr>
  </w:style>
  <w:style w:type="paragraph" w:customStyle="1" w:styleId="19">
    <w:name w:val="列表段落1"/>
    <w:basedOn w:val="1"/>
    <w:qFormat/>
    <w:uiPriority w:val="34"/>
    <w:pPr>
      <w:ind w:firstLine="420" w:firstLineChars="200"/>
    </w:pPr>
  </w:style>
  <w:style w:type="character" w:customStyle="1" w:styleId="20">
    <w:name w:val="正文文本 Char"/>
    <w:basedOn w:val="12"/>
    <w:link w:val="4"/>
    <w:qFormat/>
    <w:uiPriority w:val="0"/>
    <w:rPr>
      <w:rFonts w:ascii="Times New Roman" w:hAnsi="Times New Roman" w:eastAsia="宋体" w:cs="Times New Roman"/>
      <w:sz w:val="32"/>
      <w:szCs w:val="32"/>
    </w:rPr>
  </w:style>
  <w:style w:type="character" w:customStyle="1" w:styleId="21">
    <w:name w:val="批注框文本 Char"/>
    <w:basedOn w:val="12"/>
    <w:link w:val="5"/>
    <w:semiHidden/>
    <w:qFormat/>
    <w:uiPriority w:val="99"/>
    <w:rPr>
      <w:sz w:val="18"/>
      <w:szCs w:val="18"/>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批注文字 Char"/>
    <w:basedOn w:val="12"/>
    <w:link w:val="3"/>
    <w:semiHidden/>
    <w:qFormat/>
    <w:uiPriority w:val="99"/>
    <w:rPr>
      <w:kern w:val="2"/>
      <w:sz w:val="21"/>
      <w:szCs w:val="22"/>
    </w:rPr>
  </w:style>
  <w:style w:type="character" w:customStyle="1" w:styleId="24">
    <w:name w:val="批注主题 Char"/>
    <w:basedOn w:val="23"/>
    <w:link w:val="10"/>
    <w:semiHidden/>
    <w:qFormat/>
    <w:uiPriority w:val="99"/>
    <w:rPr>
      <w:b/>
      <w:bCs/>
      <w:kern w:val="2"/>
      <w:sz w:val="21"/>
      <w:szCs w:val="22"/>
    </w:rPr>
  </w:style>
  <w:style w:type="character" w:customStyle="1" w:styleId="25">
    <w:name w:val="标题 1 Char"/>
    <w:basedOn w:val="12"/>
    <w:link w:val="2"/>
    <w:qFormat/>
    <w:uiPriority w:val="0"/>
    <w:rPr>
      <w:rFonts w:ascii="Arial" w:hAnsi="Arial" w:eastAsia="宋体" w:cs="Times New Roman"/>
      <w:b/>
      <w:kern w:val="2"/>
      <w:sz w:val="32"/>
      <w:szCs w:val="24"/>
    </w:rPr>
  </w:style>
  <w:style w:type="character" w:customStyle="1" w:styleId="26">
    <w:name w:val="标题 Char"/>
    <w:basedOn w:val="12"/>
    <w:link w:val="9"/>
    <w:qFormat/>
    <w:uiPriority w:val="10"/>
    <w:rPr>
      <w:rFonts w:ascii="Cambria" w:hAnsi="Cambria" w:eastAsia="宋体" w:cs="Times New Roman"/>
      <w:b/>
      <w:bCs/>
      <w:kern w:val="2"/>
      <w:sz w:val="32"/>
      <w:szCs w:val="32"/>
    </w:rPr>
  </w:style>
  <w:style w:type="paragraph" w:customStyle="1" w:styleId="27">
    <w:name w:val="列出段落1"/>
    <w:basedOn w:val="1"/>
    <w:qFormat/>
    <w:uiPriority w:val="99"/>
    <w:pPr>
      <w:ind w:firstLine="420" w:firstLineChars="200"/>
    </w:pPr>
    <w:rPr>
      <w:rFonts w:ascii="Times New Roman" w:hAnsi="Times New Roman" w:eastAsia="宋体" w:cs="Times New Roman"/>
      <w:szCs w:val="20"/>
    </w:rPr>
  </w:style>
  <w:style w:type="paragraph" w:customStyle="1" w:styleId="28">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8</Pages>
  <Words>3592</Words>
  <Characters>3657</Characters>
  <Lines>23</Lines>
  <Paragraphs>6</Paragraphs>
  <TotalTime>100</TotalTime>
  <ScaleCrop>false</ScaleCrop>
  <LinksUpToDate>false</LinksUpToDate>
  <CharactersWithSpaces>3657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1011设标题</cp:category>
  <dcterms:created xsi:type="dcterms:W3CDTF">2022-09-13T22:34:00Z</dcterms:created>
  <dc:creator>Administrator</dc:creator>
  <cp:keywords>26</cp:keywords>
  <cp:lastModifiedBy>WPS_1664177315</cp:lastModifiedBy>
  <dcterms:modified xsi:type="dcterms:W3CDTF">2024-08-20T03:04:37Z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A16E6EB2B023401CAB3FE0337EEF27D3_13</vt:lpwstr>
  </property>
</Properties>
</file>