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166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黑体" w:cs="Times New Roman"/>
          <w:i w:val="0"/>
          <w:iCs w:val="0"/>
          <w:caps w:val="0"/>
          <w:color w:val="auto"/>
          <w:spacing w:val="0"/>
          <w:sz w:val="28"/>
          <w:szCs w:val="28"/>
          <w:highlight w:val="none"/>
          <w:lang w:val="en-US" w:eastAsia="zh-CN"/>
        </w:rPr>
      </w:pPr>
      <w:r>
        <w:rPr>
          <w:rFonts w:hint="default" w:ascii="Times New Roman" w:hAnsi="Times New Roman" w:eastAsia="黑体" w:cs="Times New Roman"/>
          <w:i w:val="0"/>
          <w:iCs w:val="0"/>
          <w:caps w:val="0"/>
          <w:color w:val="auto"/>
          <w:spacing w:val="0"/>
          <w:sz w:val="28"/>
          <w:szCs w:val="28"/>
          <w:highlight w:val="none"/>
          <w:lang w:val="en-US" w:eastAsia="zh-CN"/>
        </w:rPr>
        <w:t>附件2</w:t>
      </w:r>
    </w:p>
    <w:p w14:paraId="4B5AB19A">
      <w:pPr>
        <w:spacing w:line="560" w:lineRule="exact"/>
        <w:jc w:val="both"/>
        <w:rPr>
          <w:rFonts w:hint="default" w:ascii="Times New Roman" w:hAnsi="Times New Roman" w:eastAsia="仿宋_GB2312" w:cs="Times New Roman"/>
          <w:b/>
          <w:sz w:val="32"/>
          <w:szCs w:val="32"/>
          <w:highlight w:val="none"/>
        </w:rPr>
      </w:pPr>
    </w:p>
    <w:p w14:paraId="716E3BED">
      <w:pPr>
        <w:spacing w:line="560" w:lineRule="exact"/>
        <w:jc w:val="both"/>
        <w:rPr>
          <w:rFonts w:hint="default" w:ascii="Times New Roman" w:hAnsi="Times New Roman" w:eastAsia="仿宋_GB2312" w:cs="Times New Roman"/>
          <w:b/>
          <w:sz w:val="32"/>
          <w:szCs w:val="32"/>
          <w:highlight w:val="none"/>
        </w:rPr>
      </w:pPr>
    </w:p>
    <w:p w14:paraId="25137E3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lang w:val="en-US" w:eastAsia="zh-CN"/>
        </w:rPr>
        <w:t>东莞市</w:t>
      </w:r>
      <w:r>
        <w:rPr>
          <w:rFonts w:hint="default" w:ascii="Times New Roman" w:hAnsi="Times New Roman" w:eastAsia="方正小标宋简体" w:cs="Times New Roman"/>
          <w:b w:val="0"/>
          <w:bCs/>
          <w:sz w:val="44"/>
          <w:szCs w:val="44"/>
          <w:highlight w:val="none"/>
        </w:rPr>
        <w:t>XX投资基金</w:t>
      </w:r>
    </w:p>
    <w:p w14:paraId="146AE4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highlight w:val="none"/>
        </w:rPr>
      </w:pPr>
      <w:r>
        <w:rPr>
          <w:rFonts w:hint="default" w:ascii="Times New Roman" w:hAnsi="Times New Roman" w:eastAsia="方正小标宋简体" w:cs="Times New Roman"/>
          <w:b w:val="0"/>
          <w:bCs/>
          <w:sz w:val="44"/>
          <w:szCs w:val="44"/>
          <w:highlight w:val="none"/>
        </w:rPr>
        <w:t>设立方案</w:t>
      </w:r>
    </w:p>
    <w:p w14:paraId="4A77D1CD">
      <w:pPr>
        <w:spacing w:line="560" w:lineRule="exact"/>
        <w:jc w:val="center"/>
        <w:rPr>
          <w:rFonts w:hint="default" w:ascii="Times New Roman" w:hAnsi="Times New Roman" w:eastAsia="仿宋_GB2312" w:cs="Times New Roman"/>
          <w:b/>
          <w:sz w:val="32"/>
          <w:szCs w:val="32"/>
          <w:highlight w:val="none"/>
        </w:rPr>
      </w:pPr>
    </w:p>
    <w:p w14:paraId="67A81360">
      <w:pPr>
        <w:spacing w:line="560" w:lineRule="exact"/>
        <w:jc w:val="center"/>
        <w:rPr>
          <w:rFonts w:hint="default" w:ascii="Times New Roman" w:hAnsi="Times New Roman" w:eastAsia="仿宋_GB2312" w:cs="Times New Roman"/>
          <w:b/>
          <w:sz w:val="32"/>
          <w:szCs w:val="32"/>
          <w:highlight w:val="none"/>
        </w:rPr>
      </w:pPr>
    </w:p>
    <w:p w14:paraId="00255180">
      <w:pPr>
        <w:spacing w:line="560" w:lineRule="exact"/>
        <w:jc w:val="center"/>
        <w:rPr>
          <w:rFonts w:hint="default" w:ascii="Times New Roman" w:hAnsi="Times New Roman" w:eastAsia="仿宋_GB2312" w:cs="Times New Roman"/>
          <w:b/>
          <w:sz w:val="32"/>
          <w:szCs w:val="32"/>
          <w:highlight w:val="none"/>
        </w:rPr>
      </w:pPr>
    </w:p>
    <w:p w14:paraId="75D3DFEC">
      <w:pPr>
        <w:spacing w:line="560" w:lineRule="exact"/>
        <w:jc w:val="center"/>
        <w:rPr>
          <w:rFonts w:hint="default" w:ascii="Times New Roman" w:hAnsi="Times New Roman" w:eastAsia="仿宋_GB2312" w:cs="Times New Roman"/>
          <w:b/>
          <w:sz w:val="32"/>
          <w:szCs w:val="32"/>
          <w:highlight w:val="none"/>
        </w:rPr>
      </w:pPr>
    </w:p>
    <w:p w14:paraId="203CAA29">
      <w:pPr>
        <w:spacing w:line="560" w:lineRule="exact"/>
        <w:jc w:val="center"/>
        <w:rPr>
          <w:rFonts w:hint="default" w:ascii="Times New Roman" w:hAnsi="Times New Roman" w:eastAsia="仿宋_GB2312" w:cs="Times New Roman"/>
          <w:b/>
          <w:sz w:val="32"/>
          <w:szCs w:val="32"/>
          <w:highlight w:val="none"/>
        </w:rPr>
      </w:pPr>
    </w:p>
    <w:p w14:paraId="34109ECE">
      <w:pPr>
        <w:spacing w:line="560" w:lineRule="exact"/>
        <w:jc w:val="center"/>
        <w:rPr>
          <w:rFonts w:hint="default" w:ascii="Times New Roman" w:hAnsi="Times New Roman" w:eastAsia="仿宋_GB2312" w:cs="Times New Roman"/>
          <w:b/>
          <w:sz w:val="32"/>
          <w:szCs w:val="32"/>
          <w:highlight w:val="none"/>
        </w:rPr>
      </w:pPr>
    </w:p>
    <w:p w14:paraId="1C24A877">
      <w:pPr>
        <w:spacing w:line="560" w:lineRule="exact"/>
        <w:jc w:val="center"/>
        <w:rPr>
          <w:rFonts w:hint="default" w:ascii="Times New Roman" w:hAnsi="Times New Roman" w:eastAsia="仿宋_GB2312" w:cs="Times New Roman"/>
          <w:b/>
          <w:sz w:val="32"/>
          <w:szCs w:val="32"/>
          <w:highlight w:val="none"/>
        </w:rPr>
      </w:pPr>
    </w:p>
    <w:p w14:paraId="4B0B58BC">
      <w:pPr>
        <w:spacing w:line="560" w:lineRule="exact"/>
        <w:jc w:val="left"/>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联系人：</w:t>
      </w:r>
    </w:p>
    <w:p w14:paraId="5A97AF5E">
      <w:pPr>
        <w:spacing w:line="560" w:lineRule="exact"/>
        <w:jc w:val="left"/>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联系电话：</w:t>
      </w:r>
    </w:p>
    <w:p w14:paraId="7E45AB5D">
      <w:pPr>
        <w:spacing w:line="560" w:lineRule="exact"/>
        <w:jc w:val="left"/>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邮箱：</w:t>
      </w:r>
    </w:p>
    <w:p w14:paraId="7C0AC250">
      <w:pPr>
        <w:spacing w:line="560" w:lineRule="exact"/>
        <w:ind w:firstLine="948" w:firstLineChars="295"/>
        <w:jc w:val="center"/>
        <w:rPr>
          <w:rFonts w:hint="default" w:ascii="Times New Roman" w:hAnsi="Times New Roman" w:eastAsia="仿宋_GB2312" w:cs="Times New Roman"/>
          <w:b/>
          <w:sz w:val="32"/>
          <w:szCs w:val="32"/>
          <w:highlight w:val="none"/>
        </w:rPr>
      </w:pPr>
    </w:p>
    <w:p w14:paraId="3CAA4F09">
      <w:pPr>
        <w:spacing w:line="560" w:lineRule="exact"/>
        <w:jc w:val="center"/>
        <w:rPr>
          <w:rFonts w:hint="default" w:ascii="Times New Roman" w:hAnsi="Times New Roman" w:eastAsia="仿宋_GB2312" w:cs="Times New Roman"/>
          <w:b/>
          <w:sz w:val="32"/>
          <w:szCs w:val="32"/>
          <w:highlight w:val="none"/>
        </w:rPr>
      </w:pPr>
    </w:p>
    <w:p w14:paraId="42EC1B93">
      <w:pPr>
        <w:spacing w:line="560" w:lineRule="exact"/>
        <w:jc w:val="center"/>
        <w:rPr>
          <w:rFonts w:hint="default" w:ascii="Times New Roman" w:hAnsi="Times New Roman" w:eastAsia="仿宋_GB2312" w:cs="Times New Roman"/>
          <w:b/>
          <w:sz w:val="32"/>
          <w:szCs w:val="32"/>
          <w:highlight w:val="none"/>
        </w:rPr>
      </w:pPr>
    </w:p>
    <w:p w14:paraId="0A7C26EA">
      <w:pPr>
        <w:spacing w:line="560" w:lineRule="exact"/>
        <w:jc w:val="center"/>
        <w:rPr>
          <w:rFonts w:hint="default" w:ascii="Times New Roman" w:hAnsi="Times New Roman" w:eastAsia="仿宋_GB2312" w:cs="Times New Roman"/>
          <w:b/>
          <w:sz w:val="32"/>
          <w:szCs w:val="32"/>
          <w:highlight w:val="none"/>
        </w:rPr>
      </w:pPr>
    </w:p>
    <w:p w14:paraId="712947A5">
      <w:pPr>
        <w:spacing w:line="560" w:lineRule="exact"/>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管理机构：XXX公司（盖章）</w:t>
      </w:r>
    </w:p>
    <w:p w14:paraId="77BE7D11">
      <w:pPr>
        <w:spacing w:line="560" w:lineRule="exact"/>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XXXX年XX月</w:t>
      </w:r>
    </w:p>
    <w:p w14:paraId="4D9EE18C">
      <w:pPr>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br w:type="page"/>
      </w:r>
    </w:p>
    <w:p w14:paraId="22503034">
      <w:pPr>
        <w:pStyle w:val="7"/>
        <w:numPr>
          <w:ilvl w:val="0"/>
          <w:numId w:val="1"/>
        </w:numPr>
        <w:spacing w:line="560" w:lineRule="exact"/>
        <w:ind w:firstLineChars="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基金设立背景与行业分析</w:t>
      </w:r>
    </w:p>
    <w:p w14:paraId="7C047C87">
      <w:pPr>
        <w:spacing w:line="560" w:lineRule="exact"/>
        <w:ind w:firstLine="640" w:firstLineChars="200"/>
        <w:jc w:val="both"/>
        <w:outlineLvl w:val="0"/>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highlight w:val="none"/>
          <w:lang w:val="en-US" w:eastAsia="zh-CN"/>
        </w:rPr>
        <w:t>拟</w:t>
      </w:r>
      <w:r>
        <w:rPr>
          <w:rFonts w:hint="eastAsia" w:ascii="Times New Roman" w:hAnsi="Times New Roman" w:cs="Times New Roman"/>
          <w:sz w:val="32"/>
          <w:szCs w:val="32"/>
          <w:highlight w:val="none"/>
          <w:lang w:val="en-US" w:eastAsia="zh-CN"/>
        </w:rPr>
        <w:t>设</w:t>
      </w:r>
      <w:r>
        <w:rPr>
          <w:rFonts w:hint="default" w:ascii="Times New Roman" w:hAnsi="Times New Roman" w:cs="Times New Roman"/>
          <w:sz w:val="32"/>
          <w:szCs w:val="32"/>
          <w:highlight w:val="none"/>
          <w:lang w:val="en-US" w:eastAsia="zh-CN"/>
        </w:rPr>
        <w:t>子基金可围绕以下方面展开论述</w:t>
      </w:r>
      <w:r>
        <w:rPr>
          <w:rFonts w:hint="default" w:ascii="Times New Roman" w:hAnsi="Times New Roman" w:eastAsia="仿宋_GB2312" w:cs="Times New Roman"/>
          <w:sz w:val="32"/>
          <w:szCs w:val="32"/>
          <w:highlight w:val="none"/>
        </w:rPr>
        <w:t>，并提供</w:t>
      </w:r>
      <w:r>
        <w:rPr>
          <w:rFonts w:hint="eastAsia" w:ascii="Times New Roman" w:hAnsi="Times New Roman" w:cs="Times New Roman"/>
          <w:sz w:val="32"/>
          <w:szCs w:val="32"/>
          <w:highlight w:val="none"/>
          <w:lang w:val="en-US" w:eastAsia="zh-CN"/>
        </w:rPr>
        <w:t>落地</w:t>
      </w:r>
      <w:r>
        <w:rPr>
          <w:rFonts w:hint="default" w:ascii="Times New Roman" w:hAnsi="Times New Roman" w:eastAsia="仿宋_GB2312" w:cs="Times New Roman"/>
          <w:sz w:val="32"/>
          <w:szCs w:val="32"/>
          <w:highlight w:val="none"/>
        </w:rPr>
        <w:t>方案</w:t>
      </w:r>
      <w:r>
        <w:rPr>
          <w:rFonts w:hint="default" w:ascii="Times New Roman" w:hAnsi="Times New Roman" w:eastAsia="仿宋_GB2312" w:cs="Times New Roman"/>
          <w:sz w:val="32"/>
          <w:szCs w:val="32"/>
          <w:highlight w:val="none"/>
          <w:lang w:eastAsia="zh-CN"/>
        </w:rPr>
        <w:t>：</w:t>
      </w:r>
    </w:p>
    <w:p w14:paraId="37491933">
      <w:pPr>
        <w:numPr>
          <w:ilvl w:val="0"/>
          <w:numId w:val="2"/>
        </w:numPr>
        <w:spacing w:line="560" w:lineRule="exact"/>
        <w:ind w:firstLine="640" w:firstLineChars="200"/>
        <w:jc w:val="both"/>
        <w:outlineLvl w:val="0"/>
        <w:rPr>
          <w:rFonts w:hint="default" w:ascii="Times New Roman" w:hAnsi="Times New Roman" w:eastAsia="仿宋_GB2312" w:cs="Times New Roman"/>
          <w:sz w:val="32"/>
          <w:szCs w:val="32"/>
          <w:highlight w:val="none"/>
          <w:lang w:eastAsia="zh-CN"/>
        </w:rPr>
      </w:pPr>
      <w:r>
        <w:rPr>
          <w:rFonts w:eastAsia="仿宋_GB2312"/>
          <w:sz w:val="32"/>
          <w:szCs w:val="32"/>
          <w:highlight w:val="none"/>
        </w:rPr>
        <w:t>围绕新一代信息技术、</w:t>
      </w:r>
      <w:r>
        <w:rPr>
          <w:rFonts w:hint="eastAsia" w:eastAsia="仿宋_GB2312"/>
          <w:sz w:val="32"/>
          <w:szCs w:val="32"/>
          <w:highlight w:val="none"/>
        </w:rPr>
        <w:t>高端</w:t>
      </w:r>
      <w:r>
        <w:rPr>
          <w:rFonts w:eastAsia="仿宋_GB2312"/>
          <w:sz w:val="32"/>
          <w:szCs w:val="32"/>
          <w:highlight w:val="none"/>
        </w:rPr>
        <w:t>装备制造、新材料、新能源、</w:t>
      </w:r>
      <w:r>
        <w:rPr>
          <w:rFonts w:hint="eastAsia" w:eastAsia="仿宋_GB2312"/>
          <w:sz w:val="32"/>
          <w:szCs w:val="32"/>
          <w:highlight w:val="none"/>
        </w:rPr>
        <w:t>集成电路</w:t>
      </w:r>
      <w:r>
        <w:rPr>
          <w:rFonts w:eastAsia="仿宋_GB2312"/>
          <w:sz w:val="32"/>
          <w:szCs w:val="32"/>
          <w:highlight w:val="none"/>
        </w:rPr>
        <w:t>、生物医药</w:t>
      </w:r>
      <w:r>
        <w:rPr>
          <w:rFonts w:hint="eastAsia" w:eastAsia="仿宋_GB2312"/>
          <w:sz w:val="32"/>
          <w:szCs w:val="32"/>
          <w:highlight w:val="none"/>
        </w:rPr>
        <w:t>、数字经济</w:t>
      </w:r>
      <w:r>
        <w:rPr>
          <w:rFonts w:eastAsia="仿宋_GB2312"/>
          <w:sz w:val="32"/>
          <w:szCs w:val="32"/>
          <w:highlight w:val="none"/>
        </w:rPr>
        <w:t>等东莞七大战略</w:t>
      </w:r>
      <w:r>
        <w:rPr>
          <w:rFonts w:hint="eastAsia" w:eastAsia="仿宋_GB2312"/>
          <w:sz w:val="32"/>
          <w:szCs w:val="32"/>
          <w:highlight w:val="none"/>
        </w:rPr>
        <w:t>性新兴</w:t>
      </w:r>
      <w:r>
        <w:rPr>
          <w:rFonts w:eastAsia="仿宋_GB2312"/>
          <w:sz w:val="32"/>
          <w:szCs w:val="32"/>
          <w:highlight w:val="none"/>
        </w:rPr>
        <w:t>产业、九条重点产业链或补链强链关键环节细分赛道</w:t>
      </w:r>
      <w:r>
        <w:rPr>
          <w:rFonts w:hint="eastAsia"/>
          <w:sz w:val="32"/>
          <w:szCs w:val="32"/>
          <w:highlight w:val="none"/>
          <w:lang w:eastAsia="zh-CN"/>
        </w:rPr>
        <w:t>；</w:t>
      </w:r>
      <w:r>
        <w:rPr>
          <w:rFonts w:eastAsia="仿宋_GB2312"/>
          <w:sz w:val="32"/>
          <w:szCs w:val="32"/>
          <w:highlight w:val="none"/>
        </w:rPr>
        <w:t>重点投资高精尖领域和硬科技前沿领域初创型、成长型实体企业和未来产业项目</w:t>
      </w:r>
      <w:r>
        <w:rPr>
          <w:rFonts w:hint="eastAsia"/>
          <w:sz w:val="32"/>
          <w:szCs w:val="32"/>
          <w:highlight w:val="none"/>
          <w:lang w:eastAsia="zh-CN"/>
        </w:rPr>
        <w:t>；</w:t>
      </w:r>
    </w:p>
    <w:p w14:paraId="327870EA">
      <w:pPr>
        <w:numPr>
          <w:ilvl w:val="0"/>
          <w:numId w:val="2"/>
        </w:num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基金</w:t>
      </w:r>
      <w:r>
        <w:rPr>
          <w:rFonts w:eastAsia="仿宋_GB2312"/>
          <w:sz w:val="32"/>
          <w:szCs w:val="32"/>
          <w:highlight w:val="none"/>
        </w:rPr>
        <w:t>聚焦市内或拟落户市内的科技创新中小企业以及东莞拟引入的科技创新</w:t>
      </w:r>
      <w:r>
        <w:rPr>
          <w:rFonts w:hint="eastAsia" w:eastAsia="仿宋_GB2312"/>
          <w:sz w:val="32"/>
          <w:szCs w:val="32"/>
          <w:highlight w:val="none"/>
        </w:rPr>
        <w:t>创业人才团队项目、</w:t>
      </w:r>
      <w:r>
        <w:rPr>
          <w:rFonts w:eastAsia="仿宋_GB2312"/>
          <w:sz w:val="32"/>
          <w:szCs w:val="32"/>
          <w:highlight w:val="none"/>
        </w:rPr>
        <w:t>科技成果转化项目等</w:t>
      </w:r>
      <w:r>
        <w:rPr>
          <w:rFonts w:hint="default" w:ascii="Times New Roman" w:hAnsi="Times New Roman" w:cs="Times New Roman"/>
          <w:sz w:val="32"/>
          <w:szCs w:val="32"/>
          <w:highlight w:val="none"/>
          <w:lang w:val="en-US" w:eastAsia="zh-CN"/>
        </w:rPr>
        <w:t>；</w:t>
      </w:r>
    </w:p>
    <w:p w14:paraId="4A1B12FF">
      <w:pPr>
        <w:numPr>
          <w:ilvl w:val="0"/>
          <w:numId w:val="2"/>
        </w:num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其他相关论述</w:t>
      </w:r>
      <w:r>
        <w:rPr>
          <w:rFonts w:hint="eastAsia" w:ascii="Times New Roman" w:hAnsi="Times New Roman" w:cs="Times New Roman"/>
          <w:sz w:val="32"/>
          <w:szCs w:val="32"/>
          <w:highlight w:val="none"/>
          <w:lang w:val="en-US" w:eastAsia="zh-CN"/>
        </w:rPr>
        <w:t>。</w:t>
      </w:r>
    </w:p>
    <w:p w14:paraId="52A4881B">
      <w:pPr>
        <w:spacing w:line="560" w:lineRule="exact"/>
        <w:ind w:firstLine="640" w:firstLineChars="20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二、基金概况</w:t>
      </w:r>
    </w:p>
    <w:p w14:paraId="7E3A6B94">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（一）基金名称</w:t>
      </w:r>
    </w:p>
    <w:p w14:paraId="6E429751">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（二）基金管理机构</w:t>
      </w:r>
    </w:p>
    <w:p w14:paraId="428305C4">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（三）基金注册地址</w:t>
      </w:r>
    </w:p>
    <w:p w14:paraId="19188758">
      <w:pPr>
        <w:spacing w:line="560" w:lineRule="exact"/>
        <w:ind w:firstLine="640" w:firstLineChars="200"/>
        <w:jc w:val="both"/>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（四）基金规模</w:t>
      </w:r>
    </w:p>
    <w:p w14:paraId="7A8E83E1">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（五）存续期限</w:t>
      </w:r>
    </w:p>
    <w:p w14:paraId="27E73230">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（六）基金类型及组织形式</w:t>
      </w:r>
    </w:p>
    <w:p w14:paraId="3453C46C">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（七）申请引导基金出资额及比例</w:t>
      </w:r>
    </w:p>
    <w:p w14:paraId="5D9A52B2">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（八）基金投资领域</w:t>
      </w:r>
    </w:p>
    <w:p w14:paraId="6187DC56">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（九）基金投资阶段</w:t>
      </w:r>
    </w:p>
    <w:p w14:paraId="7DD69006">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（十）基金投资地域</w:t>
      </w:r>
    </w:p>
    <w:p w14:paraId="49D6B53D">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（十一）管理费用</w:t>
      </w:r>
    </w:p>
    <w:p w14:paraId="5C7EC920">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（十二）收益分配</w:t>
      </w:r>
    </w:p>
    <w:p w14:paraId="0B675EA5">
      <w:pPr>
        <w:spacing w:line="560" w:lineRule="exact"/>
        <w:ind w:firstLine="640" w:firstLineChars="20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三、基金出资人</w:t>
      </w:r>
    </w:p>
    <w:p w14:paraId="44979606">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（一）基金出资架构：以表格形式列出已基本确定的出资人类型、出资人名称、认缴出资金额、出资比例等情况，以及承诺出资比例、意向出资比例及剩余资金的募集计划及时间安排。</w:t>
      </w:r>
    </w:p>
    <w:p w14:paraId="5ED2ACB8">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（二）出资人介绍：按顺序依次介绍全部出资人（机构或个人）的概况，如出资涉及监管部门监管或审批，需说明相关监管事项和对审批时间的预估。</w:t>
      </w:r>
    </w:p>
    <w:p w14:paraId="666AD1F5">
      <w:pPr>
        <w:spacing w:line="560" w:lineRule="exact"/>
        <w:ind w:firstLine="640" w:firstLineChars="20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四、基金管理机构和团队</w:t>
      </w:r>
    </w:p>
    <w:p w14:paraId="35286806">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（一）基金管理机构</w:t>
      </w:r>
    </w:p>
    <w:p w14:paraId="166A5DD0">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1.基金管理机构工商注册信息、历史沿革等。</w:t>
      </w:r>
    </w:p>
    <w:p w14:paraId="71ED64B7">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2.股权结构、实际控制人</w:t>
      </w:r>
      <w:r>
        <w:rPr>
          <w:rFonts w:hint="default" w:ascii="Times New Roman" w:hAnsi="Times New Roman" w:cs="Times New Roman"/>
          <w:sz w:val="32"/>
          <w:szCs w:val="32"/>
          <w:highlight w:val="none"/>
          <w:lang w:val="en-US" w:eastAsia="zh-CN"/>
        </w:rPr>
        <w:t>信息</w:t>
      </w:r>
      <w:r>
        <w:rPr>
          <w:rFonts w:hint="default" w:ascii="Times New Roman" w:hAnsi="Times New Roman" w:eastAsia="仿宋_GB2312" w:cs="Times New Roman"/>
          <w:sz w:val="32"/>
          <w:szCs w:val="32"/>
          <w:highlight w:val="none"/>
        </w:rPr>
        <w:t>。</w:t>
      </w:r>
    </w:p>
    <w:p w14:paraId="255B3563">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3.内部治理架构：包括不限于公司治理、内控机制和管理制度，项目遴选机制、投资决策机制、激励约束机制、跟进投资机制、资产托管机制和风险控制机制等；</w:t>
      </w:r>
    </w:p>
    <w:p w14:paraId="07DF9C64">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.管理机构、普通合伙人在管基金情况：包括</w:t>
      </w:r>
      <w:r>
        <w:rPr>
          <w:rFonts w:hint="default" w:ascii="Times New Roman" w:hAnsi="Times New Roman" w:cs="Times New Roman"/>
          <w:sz w:val="32"/>
          <w:szCs w:val="32"/>
          <w:highlight w:val="none"/>
          <w:lang w:val="en-US" w:eastAsia="zh-CN"/>
        </w:rPr>
        <w:t>不限于</w:t>
      </w:r>
      <w:r>
        <w:rPr>
          <w:rFonts w:hint="default" w:ascii="Times New Roman" w:hAnsi="Times New Roman" w:eastAsia="仿宋_GB2312" w:cs="Times New Roman"/>
          <w:sz w:val="32"/>
          <w:szCs w:val="32"/>
          <w:highlight w:val="none"/>
        </w:rPr>
        <w:t>基金名称、注册地、基金规模、实缴资本、投资领域、投资阶段、投资项目数量及金额、退出项目数量及金额、退出方式、基金IRR，以及本基金相对于其他基金的独立性说明</w:t>
      </w:r>
      <w:r>
        <w:rPr>
          <w:rFonts w:hint="default" w:ascii="Times New Roman" w:hAnsi="Times New Roman" w:cs="Times New Roman"/>
          <w:sz w:val="32"/>
          <w:szCs w:val="32"/>
          <w:highlight w:val="none"/>
          <w:lang w:val="en-US" w:eastAsia="zh-CN"/>
        </w:rPr>
        <w:t>等</w:t>
      </w:r>
      <w:r>
        <w:rPr>
          <w:rFonts w:hint="default" w:ascii="Times New Roman" w:hAnsi="Times New Roman" w:eastAsia="仿宋_GB2312" w:cs="Times New Roman"/>
          <w:sz w:val="32"/>
          <w:szCs w:val="32"/>
          <w:highlight w:val="none"/>
        </w:rPr>
        <w:t>。</w:t>
      </w:r>
    </w:p>
    <w:p w14:paraId="02161FCB">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（二）基金管理团队</w:t>
      </w:r>
    </w:p>
    <w:p w14:paraId="409E89F9">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.管理机构全体成员列表：包括</w:t>
      </w:r>
      <w:r>
        <w:rPr>
          <w:rFonts w:hint="default" w:ascii="Times New Roman" w:hAnsi="Times New Roman" w:cs="Times New Roman"/>
          <w:sz w:val="32"/>
          <w:szCs w:val="32"/>
          <w:highlight w:val="none"/>
          <w:lang w:val="en-US" w:eastAsia="zh-CN"/>
        </w:rPr>
        <w:t>不限于</w:t>
      </w:r>
      <w:r>
        <w:rPr>
          <w:rFonts w:hint="default" w:ascii="Times New Roman" w:hAnsi="Times New Roman" w:eastAsia="仿宋_GB2312" w:cs="Times New Roman"/>
          <w:sz w:val="32"/>
          <w:szCs w:val="32"/>
          <w:highlight w:val="none"/>
        </w:rPr>
        <w:t>姓名、性别、职务、年龄、毕业院校、专业及学历、加入团队时间、分工情况、共同合作经历等内容。</w:t>
      </w:r>
    </w:p>
    <w:p w14:paraId="39543694">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.本基金主要管理人员详细资料及履历、管理各类基金情况、主要项目投资案例及参与程度。</w:t>
      </w:r>
    </w:p>
    <w:p w14:paraId="3308ADEF">
      <w:pPr>
        <w:spacing w:line="560" w:lineRule="exact"/>
        <w:ind w:firstLine="640" w:firstLineChars="200"/>
        <w:jc w:val="both"/>
        <w:outlineLvl w:val="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3.基金关键人安排</w:t>
      </w:r>
      <w:r>
        <w:rPr>
          <w:rFonts w:hint="default" w:ascii="Times New Roman" w:hAnsi="Times New Roman" w:cs="Times New Roman"/>
          <w:sz w:val="32"/>
          <w:szCs w:val="32"/>
          <w:highlight w:val="none"/>
          <w:lang w:val="en-US" w:eastAsia="zh-CN"/>
        </w:rPr>
        <w:t>等</w:t>
      </w:r>
      <w:r>
        <w:rPr>
          <w:rFonts w:hint="eastAsia" w:ascii="Times New Roman" w:hAnsi="Times New Roman" w:cs="Times New Roman"/>
          <w:sz w:val="32"/>
          <w:szCs w:val="32"/>
          <w:highlight w:val="none"/>
          <w:lang w:val="en-US" w:eastAsia="zh-CN"/>
        </w:rPr>
        <w:t>。</w:t>
      </w:r>
    </w:p>
    <w:p w14:paraId="39DCAD1A">
      <w:pPr>
        <w:spacing w:line="560" w:lineRule="exact"/>
        <w:ind w:firstLine="640" w:firstLineChars="20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五、基金管理和运行</w:t>
      </w:r>
    </w:p>
    <w:p w14:paraId="595EA227">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（一）基金治理架构：基金股东会与董事会、合伙人会议与投资决策委员会、咨询委员会（如有）权责划分。</w:t>
      </w:r>
    </w:p>
    <w:p w14:paraId="328D7E4C">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（二）基金投资策略：主要说明投资领域、阶段、地域、限制、闲置资金使用等。</w:t>
      </w:r>
    </w:p>
    <w:p w14:paraId="6DF2ADB3">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（三）项目遴选程序：结合基金投资方向及团队构成特点，说明项目来源、项目遴选程序。</w:t>
      </w:r>
    </w:p>
    <w:p w14:paraId="00959BAC">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（四）投资决策机制：投资决策机构、组成、决策方式、程序、表决机制、关联交易处理方式等。</w:t>
      </w:r>
    </w:p>
    <w:p w14:paraId="2BA15593">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五</w:t>
      </w:r>
      <w:r>
        <w:rPr>
          <w:rFonts w:hint="default" w:ascii="Times New Roman" w:hAnsi="Times New Roman" w:eastAsia="仿宋_GB2312" w:cs="Times New Roman"/>
          <w:sz w:val="32"/>
          <w:szCs w:val="32"/>
          <w:highlight w:val="none"/>
        </w:rPr>
        <w:t>）风险防范：结合基金投资方向及团队构成特点，列出本基金可能出现的风险，并对可能出现的风险提出应对措施。</w:t>
      </w:r>
    </w:p>
    <w:p w14:paraId="799C6A2B">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val="en-US" w:eastAsia="zh-CN"/>
        </w:rPr>
        <w:t>六</w:t>
      </w:r>
      <w:r>
        <w:rPr>
          <w:rFonts w:hint="default" w:ascii="Times New Roman" w:hAnsi="Times New Roman" w:eastAsia="仿宋_GB2312" w:cs="Times New Roman"/>
          <w:sz w:val="32"/>
          <w:szCs w:val="32"/>
          <w:highlight w:val="none"/>
        </w:rPr>
        <w:t>）增值服务：结合基金投资方向及团队构成特点，详细说明所能提供的增值服务，并举例说明。</w:t>
      </w:r>
    </w:p>
    <w:p w14:paraId="78FFCD57">
      <w:pPr>
        <w:spacing w:line="560" w:lineRule="exact"/>
        <w:ind w:firstLine="640" w:firstLineChars="200"/>
        <w:jc w:val="both"/>
        <w:outlineLvl w:val="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（七）投资退出：结合基金投资方向及团队构成特点说明退出策略。</w:t>
      </w:r>
    </w:p>
    <w:p w14:paraId="0816E118">
      <w:pPr>
        <w:spacing w:line="560" w:lineRule="exact"/>
        <w:ind w:firstLine="640" w:firstLineChars="200"/>
        <w:jc w:val="both"/>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六、项目储备情况</w:t>
      </w:r>
    </w:p>
    <w:p w14:paraId="2AD90B30">
      <w:pPr>
        <w:ind w:firstLine="640" w:firstLineChars="200"/>
        <w:jc w:val="both"/>
        <w:rPr>
          <w:rFonts w:hint="default" w:ascii="Times New Roman" w:hAnsi="Times New Roman" w:cs="Times New Roman"/>
          <w:highlight w:val="none"/>
        </w:rPr>
      </w:pPr>
      <w:r>
        <w:rPr>
          <w:rFonts w:hint="default" w:ascii="Times New Roman" w:hAnsi="Times New Roman" w:cs="Times New Roman"/>
          <w:sz w:val="32"/>
          <w:szCs w:val="32"/>
          <w:highlight w:val="none"/>
          <w:lang w:val="en-US" w:eastAsia="zh-CN"/>
        </w:rPr>
        <w:t>包括不限于</w:t>
      </w:r>
      <w:r>
        <w:rPr>
          <w:rFonts w:hint="default" w:ascii="Times New Roman" w:hAnsi="Times New Roman" w:eastAsia="仿宋_GB2312" w:cs="Times New Roman"/>
          <w:sz w:val="32"/>
          <w:szCs w:val="32"/>
          <w:highlight w:val="none"/>
        </w:rPr>
        <w:t>项目</w:t>
      </w:r>
      <w:r>
        <w:rPr>
          <w:rFonts w:hint="eastAsia" w:ascii="Times New Roman" w:hAnsi="Times New Roman" w:cs="Times New Roman"/>
          <w:sz w:val="32"/>
          <w:szCs w:val="32"/>
          <w:highlight w:val="none"/>
          <w:lang w:val="en-US" w:eastAsia="zh-CN"/>
        </w:rPr>
        <w:t>名称</w:t>
      </w:r>
      <w:r>
        <w:rPr>
          <w:rFonts w:hint="default" w:ascii="Times New Roman" w:hAnsi="Times New Roman" w:eastAsia="仿宋_GB2312" w:cs="Times New Roman"/>
          <w:sz w:val="32"/>
          <w:szCs w:val="32"/>
          <w:highlight w:val="none"/>
        </w:rPr>
        <w:t>、项目领域、项目简介、计划投资金额等信息。</w:t>
      </w:r>
    </w:p>
    <w:p w14:paraId="4B9DB9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黑体" w:cs="Times New Roman"/>
          <w:i w:val="0"/>
          <w:iCs w:val="0"/>
          <w:caps w:val="0"/>
          <w:color w:val="auto"/>
          <w:spacing w:val="0"/>
          <w:sz w:val="28"/>
          <w:szCs w:val="28"/>
          <w:highlight w:val="none"/>
          <w:lang w:val="en-US" w:eastAsia="zh-CN"/>
        </w:rPr>
      </w:pPr>
    </w:p>
    <w:p w14:paraId="282807F9">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E4E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3BDBF">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B3BDBF">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324AE"/>
    <w:multiLevelType w:val="singleLevel"/>
    <w:tmpl w:val="E33324AE"/>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WViM2EwMTU5NDVkMTg4ZjMwNzFkMDc4NTdjMmMifQ=="/>
  </w:docVars>
  <w:rsids>
    <w:rsidRoot w:val="00000000"/>
    <w:rsid w:val="30CC3843"/>
    <w:rsid w:val="53FC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6 正文-仿宋"/>
    <w:basedOn w:val="1"/>
    <w:qFormat/>
    <w:uiPriority w:val="0"/>
    <w:pPr>
      <w:widowControl/>
      <w:adjustRightInd w:val="0"/>
      <w:snapToGrid w:val="0"/>
      <w:spacing w:line="480" w:lineRule="exact"/>
      <w:ind w:firstLine="200" w:firstLineChars="200"/>
    </w:pPr>
    <w:rPr>
      <w:rFonts w:eastAsia="仿宋"/>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2022-06-20T00:53:00Z</dcterms:created>
  <dc:creator>luowx</dc:creator>
  <cp:lastModifiedBy>罗文思</cp:lastModifiedBy>
  <dcterms:modified xsi:type="dcterms:W3CDTF">2024-09-11T09:51:07Z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3C0A5E3002054F4DB291DCDAA2AC3FB2</vt:lpwstr>
  </property>
</Properties>
</file>