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21FE" w14:textId="77777777" w:rsidR="008E15C1" w:rsidRDefault="008E15C1" w:rsidP="008E15C1">
      <w:pPr>
        <w:spacing w:line="590" w:lineRule="atLeast"/>
        <w:rPr>
          <w:rFonts w:ascii="黑体" w:eastAsia="黑体" w:hAnsi="黑体" w:hint="eastAsia"/>
          <w:sz w:val="32"/>
          <w:szCs w:val="32"/>
        </w:rPr>
      </w:pPr>
      <w:r>
        <w:rPr>
          <w:rFonts w:ascii="黑体" w:eastAsia="黑体" w:hAnsi="黑体" w:hint="eastAsia"/>
          <w:sz w:val="32"/>
          <w:szCs w:val="32"/>
        </w:rPr>
        <w:t>附件2</w:t>
      </w:r>
    </w:p>
    <w:p w14:paraId="4AF3E22B" w14:textId="77777777" w:rsidR="008E15C1" w:rsidRDefault="008E15C1" w:rsidP="008E15C1">
      <w:pPr>
        <w:jc w:val="center"/>
        <w:rPr>
          <w:rFonts w:ascii="仿宋_GB2312" w:eastAsia="仿宋_GB2312"/>
          <w:b/>
          <w:bCs/>
          <w:sz w:val="32"/>
          <w:szCs w:val="36"/>
        </w:rPr>
      </w:pPr>
      <w:r>
        <w:rPr>
          <w:rFonts w:ascii="仿宋_GB2312" w:eastAsia="仿宋_GB2312" w:hint="eastAsia"/>
          <w:b/>
          <w:bCs/>
          <w:sz w:val="32"/>
          <w:szCs w:val="36"/>
        </w:rPr>
        <w:t>南明区政府投资</w:t>
      </w:r>
      <w:proofErr w:type="gramStart"/>
      <w:r>
        <w:rPr>
          <w:rFonts w:ascii="仿宋_GB2312" w:eastAsia="仿宋_GB2312" w:hint="eastAsia"/>
          <w:b/>
          <w:bCs/>
          <w:sz w:val="32"/>
          <w:szCs w:val="36"/>
        </w:rPr>
        <w:t>母基金</w:t>
      </w:r>
      <w:proofErr w:type="gramEnd"/>
      <w:r>
        <w:rPr>
          <w:rFonts w:ascii="仿宋_GB2312" w:eastAsia="仿宋_GB2312" w:hint="eastAsia"/>
          <w:b/>
          <w:bCs/>
          <w:sz w:val="32"/>
          <w:szCs w:val="36"/>
        </w:rPr>
        <w:t>管理机构遴选评分指标</w:t>
      </w:r>
    </w:p>
    <w:p w14:paraId="09385DBF" w14:textId="77777777" w:rsidR="008E15C1" w:rsidRDefault="008E15C1" w:rsidP="008E15C1">
      <w:pPr>
        <w:pStyle w:val="2"/>
        <w:ind w:leftChars="0" w:left="0"/>
      </w:pPr>
    </w:p>
    <w:tbl>
      <w:tblPr>
        <w:tblStyle w:val="af0"/>
        <w:tblW w:w="8856" w:type="dxa"/>
        <w:tblInd w:w="-243" w:type="dxa"/>
        <w:tblLook w:val="04A0" w:firstRow="1" w:lastRow="0" w:firstColumn="1" w:lastColumn="0" w:noHBand="0" w:noVBand="1"/>
      </w:tblPr>
      <w:tblGrid>
        <w:gridCol w:w="650"/>
        <w:gridCol w:w="1969"/>
        <w:gridCol w:w="993"/>
        <w:gridCol w:w="3685"/>
        <w:gridCol w:w="1559"/>
      </w:tblGrid>
      <w:tr w:rsidR="008E15C1" w14:paraId="1DB980DD" w14:textId="77777777" w:rsidTr="00837BA5">
        <w:trPr>
          <w:cantSplit/>
          <w:trHeight w:val="538"/>
          <w:tblHeader/>
        </w:trPr>
        <w:tc>
          <w:tcPr>
            <w:tcW w:w="650" w:type="dxa"/>
            <w:shd w:val="clear" w:color="auto" w:fill="D8D8D8"/>
            <w:vAlign w:val="center"/>
          </w:tcPr>
          <w:p w14:paraId="52711EDC" w14:textId="77777777" w:rsidR="008E15C1" w:rsidRDefault="008E15C1" w:rsidP="00837BA5">
            <w:pPr>
              <w:spacing w:line="360" w:lineRule="exact"/>
              <w:jc w:val="center"/>
              <w:rPr>
                <w:rFonts w:ascii="仿宋_GB2312" w:eastAsia="仿宋_GB2312" w:hAnsi="黑体" w:cs="黑体" w:hint="eastAsia"/>
                <w:b/>
                <w:bCs/>
                <w:sz w:val="20"/>
                <w:szCs w:val="21"/>
              </w:rPr>
            </w:pPr>
            <w:r>
              <w:rPr>
                <w:rFonts w:ascii="仿宋_GB2312" w:eastAsia="仿宋_GB2312" w:hAnsi="黑体" w:cs="黑体" w:hint="eastAsia"/>
                <w:b/>
                <w:bCs/>
                <w:sz w:val="20"/>
                <w:szCs w:val="21"/>
              </w:rPr>
              <w:t>序号</w:t>
            </w:r>
          </w:p>
        </w:tc>
        <w:tc>
          <w:tcPr>
            <w:tcW w:w="1969" w:type="dxa"/>
            <w:shd w:val="clear" w:color="auto" w:fill="D8D8D8"/>
            <w:vAlign w:val="center"/>
          </w:tcPr>
          <w:p w14:paraId="58B9B9C8" w14:textId="77777777" w:rsidR="008E15C1" w:rsidRDefault="008E15C1" w:rsidP="00837BA5">
            <w:pPr>
              <w:spacing w:line="360" w:lineRule="exact"/>
              <w:jc w:val="center"/>
              <w:rPr>
                <w:rFonts w:ascii="仿宋_GB2312" w:eastAsia="仿宋_GB2312" w:hAnsi="黑体" w:cs="黑体" w:hint="eastAsia"/>
                <w:b/>
                <w:bCs/>
                <w:sz w:val="20"/>
                <w:szCs w:val="21"/>
              </w:rPr>
            </w:pPr>
            <w:r>
              <w:rPr>
                <w:rFonts w:ascii="仿宋_GB2312" w:eastAsia="仿宋_GB2312" w:hAnsi="黑体" w:cs="黑体" w:hint="eastAsia"/>
                <w:b/>
                <w:bCs/>
                <w:sz w:val="20"/>
                <w:szCs w:val="21"/>
              </w:rPr>
              <w:t>评分项目</w:t>
            </w:r>
          </w:p>
        </w:tc>
        <w:tc>
          <w:tcPr>
            <w:tcW w:w="993" w:type="dxa"/>
            <w:shd w:val="clear" w:color="auto" w:fill="D8D8D8"/>
            <w:vAlign w:val="center"/>
          </w:tcPr>
          <w:p w14:paraId="68192205" w14:textId="77777777" w:rsidR="008E15C1" w:rsidRDefault="008E15C1" w:rsidP="00837BA5">
            <w:pPr>
              <w:spacing w:line="360" w:lineRule="exact"/>
              <w:jc w:val="center"/>
              <w:rPr>
                <w:rFonts w:ascii="仿宋_GB2312" w:eastAsia="仿宋_GB2312" w:hAnsi="黑体" w:cs="黑体" w:hint="eastAsia"/>
                <w:b/>
                <w:bCs/>
                <w:sz w:val="20"/>
                <w:szCs w:val="21"/>
              </w:rPr>
            </w:pPr>
            <w:r>
              <w:rPr>
                <w:rFonts w:ascii="仿宋_GB2312" w:eastAsia="仿宋_GB2312" w:hAnsi="黑体" w:cs="黑体" w:hint="eastAsia"/>
                <w:b/>
                <w:bCs/>
                <w:sz w:val="20"/>
                <w:szCs w:val="21"/>
              </w:rPr>
              <w:t>分值</w:t>
            </w:r>
          </w:p>
        </w:tc>
        <w:tc>
          <w:tcPr>
            <w:tcW w:w="3685" w:type="dxa"/>
            <w:shd w:val="clear" w:color="auto" w:fill="D8D8D8"/>
            <w:vAlign w:val="center"/>
          </w:tcPr>
          <w:p w14:paraId="273AF707" w14:textId="77777777" w:rsidR="008E15C1" w:rsidRDefault="008E15C1" w:rsidP="00837BA5">
            <w:pPr>
              <w:spacing w:line="360" w:lineRule="exact"/>
              <w:jc w:val="center"/>
              <w:rPr>
                <w:rFonts w:ascii="仿宋_GB2312" w:eastAsia="仿宋_GB2312" w:hAnsi="黑体" w:cs="黑体" w:hint="eastAsia"/>
                <w:b/>
                <w:bCs/>
                <w:sz w:val="20"/>
                <w:szCs w:val="21"/>
              </w:rPr>
            </w:pPr>
            <w:r>
              <w:rPr>
                <w:rFonts w:ascii="仿宋_GB2312" w:eastAsia="仿宋_GB2312" w:hAnsi="黑体" w:cs="黑体" w:hint="eastAsia"/>
                <w:b/>
                <w:bCs/>
                <w:sz w:val="20"/>
                <w:szCs w:val="21"/>
              </w:rPr>
              <w:t>评分标准</w:t>
            </w:r>
          </w:p>
        </w:tc>
        <w:tc>
          <w:tcPr>
            <w:tcW w:w="1559" w:type="dxa"/>
            <w:shd w:val="clear" w:color="auto" w:fill="D8D8D8"/>
            <w:vAlign w:val="center"/>
          </w:tcPr>
          <w:p w14:paraId="1C239FE3" w14:textId="77777777" w:rsidR="008E15C1" w:rsidRDefault="008E15C1" w:rsidP="00837BA5">
            <w:pPr>
              <w:spacing w:line="360" w:lineRule="exact"/>
              <w:jc w:val="center"/>
              <w:rPr>
                <w:rFonts w:ascii="仿宋_GB2312" w:eastAsia="仿宋_GB2312" w:hAnsi="黑体" w:cs="黑体" w:hint="eastAsia"/>
                <w:b/>
                <w:bCs/>
                <w:sz w:val="20"/>
                <w:szCs w:val="21"/>
              </w:rPr>
            </w:pPr>
            <w:r>
              <w:rPr>
                <w:rFonts w:ascii="仿宋_GB2312" w:eastAsia="仿宋_GB2312" w:hAnsi="黑体" w:cs="黑体" w:hint="eastAsia"/>
                <w:b/>
                <w:bCs/>
                <w:sz w:val="20"/>
                <w:szCs w:val="21"/>
              </w:rPr>
              <w:t>可提供的证明材料</w:t>
            </w:r>
          </w:p>
        </w:tc>
      </w:tr>
      <w:tr w:rsidR="008E15C1" w14:paraId="12C3AE76" w14:textId="77777777" w:rsidTr="00837BA5">
        <w:trPr>
          <w:cantSplit/>
          <w:trHeight w:val="277"/>
        </w:trPr>
        <w:tc>
          <w:tcPr>
            <w:tcW w:w="8856" w:type="dxa"/>
            <w:gridSpan w:val="5"/>
            <w:vAlign w:val="center"/>
          </w:tcPr>
          <w:p w14:paraId="70915701" w14:textId="77777777" w:rsidR="008E15C1" w:rsidRDefault="008E15C1" w:rsidP="00837BA5">
            <w:pPr>
              <w:spacing w:line="360" w:lineRule="exact"/>
              <w:rPr>
                <w:rFonts w:ascii="仿宋_GB2312" w:eastAsia="仿宋_GB2312" w:hAnsi="宋体" w:cs="宋体" w:hint="eastAsia"/>
                <w:b/>
                <w:bCs/>
                <w:sz w:val="20"/>
                <w:szCs w:val="21"/>
              </w:rPr>
            </w:pPr>
            <w:r>
              <w:rPr>
                <w:rFonts w:ascii="仿宋_GB2312" w:eastAsia="仿宋_GB2312" w:hAnsi="宋体" w:cs="宋体" w:hint="eastAsia"/>
                <w:b/>
                <w:bCs/>
                <w:sz w:val="20"/>
                <w:szCs w:val="21"/>
              </w:rPr>
              <w:t>一、管理能力（35分）</w:t>
            </w:r>
          </w:p>
        </w:tc>
      </w:tr>
      <w:tr w:rsidR="008E15C1" w14:paraId="603C0676" w14:textId="77777777" w:rsidTr="00837BA5">
        <w:trPr>
          <w:cantSplit/>
          <w:trHeight w:val="1304"/>
        </w:trPr>
        <w:tc>
          <w:tcPr>
            <w:tcW w:w="650" w:type="dxa"/>
            <w:vAlign w:val="center"/>
          </w:tcPr>
          <w:p w14:paraId="7808AA53"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w:t>
            </w:r>
          </w:p>
        </w:tc>
        <w:tc>
          <w:tcPr>
            <w:tcW w:w="1969" w:type="dxa"/>
            <w:vAlign w:val="center"/>
          </w:tcPr>
          <w:p w14:paraId="7F7B1A99"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机构管理规模</w:t>
            </w:r>
          </w:p>
        </w:tc>
        <w:tc>
          <w:tcPr>
            <w:tcW w:w="993" w:type="dxa"/>
            <w:vAlign w:val="center"/>
          </w:tcPr>
          <w:p w14:paraId="30B867E1"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10</w:t>
            </w:r>
          </w:p>
        </w:tc>
        <w:tc>
          <w:tcPr>
            <w:tcW w:w="3685" w:type="dxa"/>
            <w:vAlign w:val="center"/>
          </w:tcPr>
          <w:p w14:paraId="2D75E5CD"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1.管理私</w:t>
            </w:r>
            <w:proofErr w:type="gramStart"/>
            <w:r>
              <w:rPr>
                <w:rFonts w:ascii="仿宋_GB2312" w:eastAsia="仿宋_GB2312" w:hAnsi="宋体" w:cs="宋体" w:hint="eastAsia"/>
                <w:sz w:val="20"/>
                <w:szCs w:val="21"/>
              </w:rPr>
              <w:t>募股权基金</w:t>
            </w:r>
            <w:proofErr w:type="gramEnd"/>
            <w:r>
              <w:rPr>
                <w:rFonts w:ascii="仿宋_GB2312" w:eastAsia="仿宋_GB2312" w:hAnsi="宋体" w:cs="宋体" w:hint="eastAsia"/>
                <w:sz w:val="20"/>
                <w:szCs w:val="21"/>
              </w:rPr>
              <w:t>数量：</w:t>
            </w:r>
          </w:p>
          <w:p w14:paraId="1EFDB2C1"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过往管理的已在中</w:t>
            </w:r>
            <w:proofErr w:type="gramStart"/>
            <w:r>
              <w:rPr>
                <w:rFonts w:ascii="仿宋_GB2312" w:eastAsia="仿宋_GB2312" w:hAnsi="宋体" w:cs="宋体" w:hint="eastAsia"/>
                <w:sz w:val="20"/>
                <w:szCs w:val="21"/>
              </w:rPr>
              <w:t>基协完成</w:t>
            </w:r>
            <w:proofErr w:type="gramEnd"/>
            <w:r>
              <w:rPr>
                <w:rFonts w:ascii="仿宋_GB2312" w:eastAsia="仿宋_GB2312" w:hAnsi="宋体" w:cs="宋体" w:hint="eastAsia"/>
                <w:sz w:val="20"/>
                <w:szCs w:val="21"/>
              </w:rPr>
              <w:t>备案的基金每1支得1分，最高5分。</w:t>
            </w:r>
          </w:p>
          <w:p w14:paraId="05BF6252"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2.管理私</w:t>
            </w:r>
            <w:proofErr w:type="gramStart"/>
            <w:r>
              <w:rPr>
                <w:rFonts w:ascii="仿宋_GB2312" w:eastAsia="仿宋_GB2312" w:hAnsi="宋体" w:cs="宋体" w:hint="eastAsia"/>
                <w:sz w:val="20"/>
                <w:szCs w:val="21"/>
              </w:rPr>
              <w:t>募股权基金</w:t>
            </w:r>
            <w:proofErr w:type="gramEnd"/>
            <w:r>
              <w:rPr>
                <w:rFonts w:ascii="仿宋_GB2312" w:eastAsia="仿宋_GB2312" w:hAnsi="宋体" w:cs="宋体" w:hint="eastAsia"/>
                <w:sz w:val="20"/>
                <w:szCs w:val="21"/>
              </w:rPr>
              <w:t>规模：</w:t>
            </w:r>
          </w:p>
          <w:p w14:paraId="1A2B8CDA"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过往管理基金累计认缴规模100亿元（含）以上得5分，100亿元（不含）-50亿元（含）得3分，50亿元（不含）-10亿元（含）得2分，10亿元（不含）以下得1分。</w:t>
            </w:r>
          </w:p>
        </w:tc>
        <w:tc>
          <w:tcPr>
            <w:tcW w:w="1559" w:type="dxa"/>
            <w:vAlign w:val="center"/>
          </w:tcPr>
          <w:p w14:paraId="13C74F5B"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申报的管理机构填写过往业绩表并加盖公章。</w:t>
            </w:r>
          </w:p>
        </w:tc>
      </w:tr>
      <w:tr w:rsidR="008E15C1" w14:paraId="75CB8ACB" w14:textId="77777777" w:rsidTr="00837BA5">
        <w:trPr>
          <w:cantSplit/>
          <w:trHeight w:val="1304"/>
        </w:trPr>
        <w:tc>
          <w:tcPr>
            <w:tcW w:w="650" w:type="dxa"/>
            <w:vAlign w:val="center"/>
          </w:tcPr>
          <w:p w14:paraId="79D0C3BE"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2</w:t>
            </w:r>
          </w:p>
        </w:tc>
        <w:tc>
          <w:tcPr>
            <w:tcW w:w="1969" w:type="dxa"/>
            <w:vAlign w:val="center"/>
          </w:tcPr>
          <w:p w14:paraId="58F238EC"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团队专业性。</w:t>
            </w:r>
          </w:p>
        </w:tc>
        <w:tc>
          <w:tcPr>
            <w:tcW w:w="993" w:type="dxa"/>
            <w:vAlign w:val="center"/>
          </w:tcPr>
          <w:p w14:paraId="5F7E9AF6"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10</w:t>
            </w:r>
          </w:p>
        </w:tc>
        <w:tc>
          <w:tcPr>
            <w:tcW w:w="3685" w:type="dxa"/>
            <w:vAlign w:val="center"/>
          </w:tcPr>
          <w:p w14:paraId="170BB86B"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1.管理机构拥有不少于5名专业投资人员（含高管、财务和法</w:t>
            </w:r>
            <w:proofErr w:type="gramStart"/>
            <w:r>
              <w:rPr>
                <w:rFonts w:ascii="仿宋_GB2312" w:eastAsia="仿宋_GB2312" w:hAnsi="宋体" w:cs="宋体" w:hint="eastAsia"/>
                <w:sz w:val="20"/>
                <w:szCs w:val="21"/>
              </w:rPr>
              <w:t>务</w:t>
            </w:r>
            <w:proofErr w:type="gramEnd"/>
            <w:r>
              <w:rPr>
                <w:rFonts w:ascii="仿宋_GB2312" w:eastAsia="仿宋_GB2312" w:hAnsi="宋体" w:cs="宋体" w:hint="eastAsia"/>
                <w:sz w:val="20"/>
                <w:szCs w:val="21"/>
              </w:rPr>
              <w:t>专业人员），每多1名，得1分，最高4分。</w:t>
            </w:r>
          </w:p>
          <w:p w14:paraId="37AEADAC"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2.管理机构至少有3名具备5年以上股权投资或相关行业经验的高管或核心管理团队成员，每多1名得2分，最高6分。</w:t>
            </w:r>
          </w:p>
        </w:tc>
        <w:tc>
          <w:tcPr>
            <w:tcW w:w="1559" w:type="dxa"/>
            <w:vAlign w:val="center"/>
          </w:tcPr>
          <w:p w14:paraId="4349804B"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申报的管理机构填写团队履历表并加盖公章。</w:t>
            </w:r>
          </w:p>
        </w:tc>
      </w:tr>
      <w:tr w:rsidR="008E15C1" w14:paraId="55DBA2B9" w14:textId="77777777" w:rsidTr="00837BA5">
        <w:trPr>
          <w:cantSplit/>
          <w:trHeight w:val="1304"/>
        </w:trPr>
        <w:tc>
          <w:tcPr>
            <w:tcW w:w="650" w:type="dxa"/>
            <w:vAlign w:val="center"/>
          </w:tcPr>
          <w:p w14:paraId="1C988DE0"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3</w:t>
            </w:r>
          </w:p>
        </w:tc>
        <w:tc>
          <w:tcPr>
            <w:tcW w:w="1969" w:type="dxa"/>
            <w:vAlign w:val="center"/>
          </w:tcPr>
          <w:p w14:paraId="2387953B"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机构管理业绩</w:t>
            </w:r>
          </w:p>
        </w:tc>
        <w:tc>
          <w:tcPr>
            <w:tcW w:w="993" w:type="dxa"/>
            <w:vAlign w:val="center"/>
          </w:tcPr>
          <w:p w14:paraId="2374BD85"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15</w:t>
            </w:r>
          </w:p>
        </w:tc>
        <w:tc>
          <w:tcPr>
            <w:tcW w:w="3685" w:type="dxa"/>
            <w:vAlign w:val="center"/>
          </w:tcPr>
          <w:p w14:paraId="50975CED"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1.过往所有管理私</w:t>
            </w:r>
            <w:proofErr w:type="gramStart"/>
            <w:r>
              <w:rPr>
                <w:rFonts w:ascii="仿宋_GB2312" w:eastAsia="仿宋_GB2312" w:hAnsi="宋体" w:cs="宋体" w:hint="eastAsia"/>
                <w:sz w:val="20"/>
                <w:szCs w:val="21"/>
              </w:rPr>
              <w:t>募股权基金</w:t>
            </w:r>
            <w:proofErr w:type="gramEnd"/>
            <w:r>
              <w:rPr>
                <w:rFonts w:ascii="仿宋_GB2312" w:eastAsia="仿宋_GB2312" w:hAnsi="宋体" w:cs="宋体" w:hint="eastAsia"/>
                <w:sz w:val="20"/>
                <w:szCs w:val="21"/>
              </w:rPr>
              <w:t>的平均回报倍数（MOIC)为1.5倍得2分；每增加0.5倍增加1分，最高8分；回报倍数（MOIC)低于1.5倍（不含）不得分。</w:t>
            </w:r>
          </w:p>
          <w:p w14:paraId="59D4C01F"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2.成功退出案例数量：</w:t>
            </w:r>
          </w:p>
          <w:p w14:paraId="51DB3ECD"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投资项目成功IPO数量（不含定增），每1个得1分，最高7分。</w:t>
            </w:r>
          </w:p>
        </w:tc>
        <w:tc>
          <w:tcPr>
            <w:tcW w:w="1559" w:type="dxa"/>
            <w:vAlign w:val="center"/>
          </w:tcPr>
          <w:p w14:paraId="63051AA2"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申报的管理机构填写过往业绩表并加盖公章。</w:t>
            </w:r>
          </w:p>
        </w:tc>
      </w:tr>
      <w:tr w:rsidR="008E15C1" w14:paraId="7072EB72" w14:textId="77777777" w:rsidTr="00837BA5">
        <w:trPr>
          <w:cantSplit/>
          <w:trHeight w:val="113"/>
        </w:trPr>
        <w:tc>
          <w:tcPr>
            <w:tcW w:w="8856" w:type="dxa"/>
            <w:gridSpan w:val="5"/>
            <w:vAlign w:val="center"/>
          </w:tcPr>
          <w:p w14:paraId="65FE864B" w14:textId="77777777" w:rsidR="008E15C1" w:rsidRDefault="008E15C1" w:rsidP="00837BA5">
            <w:pPr>
              <w:spacing w:line="360" w:lineRule="exact"/>
              <w:rPr>
                <w:rFonts w:ascii="仿宋_GB2312" w:eastAsia="仿宋_GB2312" w:hAnsi="宋体" w:cs="宋体" w:hint="eastAsia"/>
                <w:b/>
                <w:bCs/>
                <w:sz w:val="20"/>
                <w:szCs w:val="21"/>
              </w:rPr>
            </w:pPr>
            <w:r>
              <w:rPr>
                <w:rFonts w:ascii="仿宋_GB2312" w:eastAsia="仿宋_GB2312" w:hAnsi="宋体" w:cs="宋体" w:hint="eastAsia"/>
                <w:b/>
                <w:bCs/>
                <w:sz w:val="20"/>
                <w:szCs w:val="21"/>
              </w:rPr>
              <w:t>二、出资能力（20分）</w:t>
            </w:r>
          </w:p>
        </w:tc>
      </w:tr>
      <w:tr w:rsidR="008E15C1" w14:paraId="0A5A2538" w14:textId="77777777" w:rsidTr="00837BA5">
        <w:trPr>
          <w:cantSplit/>
          <w:trHeight w:val="866"/>
        </w:trPr>
        <w:tc>
          <w:tcPr>
            <w:tcW w:w="650" w:type="dxa"/>
            <w:vAlign w:val="center"/>
          </w:tcPr>
          <w:p w14:paraId="03BF6C74"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4</w:t>
            </w:r>
          </w:p>
        </w:tc>
        <w:tc>
          <w:tcPr>
            <w:tcW w:w="1969" w:type="dxa"/>
            <w:vAlign w:val="center"/>
          </w:tcPr>
          <w:p w14:paraId="61B05151" w14:textId="77777777" w:rsidR="008E15C1" w:rsidRDefault="008E15C1" w:rsidP="00837BA5">
            <w:pPr>
              <w:spacing w:line="360" w:lineRule="exact"/>
              <w:rPr>
                <w:rFonts w:ascii="仿宋_GB2312" w:eastAsia="仿宋_GB2312" w:hAnsi="宋体" w:cs="宋体" w:hint="eastAsia"/>
                <w:sz w:val="20"/>
                <w:szCs w:val="21"/>
              </w:rPr>
            </w:pP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管理人及其募集的社会资本在</w:t>
            </w: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中出资比例不低于</w:t>
            </w: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总规模的10%</w:t>
            </w:r>
            <w:r>
              <w:rPr>
                <w:rFonts w:ascii="仿宋_GB2312" w:eastAsia="仿宋_GB2312" w:hAnsi="宋体" w:cs="宋体" w:hint="eastAsia"/>
                <w:sz w:val="20"/>
                <w:szCs w:val="21"/>
              </w:rPr>
              <w:t>。</w:t>
            </w:r>
          </w:p>
        </w:tc>
        <w:tc>
          <w:tcPr>
            <w:tcW w:w="993" w:type="dxa"/>
            <w:vAlign w:val="center"/>
          </w:tcPr>
          <w:p w14:paraId="442C6C96"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20</w:t>
            </w:r>
          </w:p>
        </w:tc>
        <w:tc>
          <w:tcPr>
            <w:tcW w:w="3685" w:type="dxa"/>
            <w:vAlign w:val="center"/>
          </w:tcPr>
          <w:p w14:paraId="774EA05D" w14:textId="77777777" w:rsidR="008E15C1" w:rsidRDefault="008E15C1" w:rsidP="00837BA5">
            <w:pPr>
              <w:spacing w:line="360" w:lineRule="exact"/>
              <w:rPr>
                <w:rFonts w:ascii="仿宋_GB2312" w:eastAsia="仿宋_GB2312" w:hAnsi="宋体" w:cs="宋体" w:hint="eastAsia"/>
                <w:sz w:val="20"/>
                <w:szCs w:val="21"/>
              </w:rPr>
            </w:pP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管理人及其募集的社会资本在</w:t>
            </w: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中出资比例低于</w:t>
            </w:r>
            <w:proofErr w:type="gramStart"/>
            <w:r>
              <w:rPr>
                <w:rFonts w:ascii="仿宋_GB2312" w:eastAsia="仿宋_GB2312" w:hAnsi="宋体" w:cs="宋体" w:hint="eastAsia"/>
                <w:szCs w:val="21"/>
              </w:rPr>
              <w:t>母基金</w:t>
            </w:r>
            <w:proofErr w:type="gramEnd"/>
            <w:r>
              <w:rPr>
                <w:rFonts w:ascii="仿宋_GB2312" w:eastAsia="仿宋_GB2312" w:hAnsi="宋体" w:cs="宋体" w:hint="eastAsia"/>
                <w:szCs w:val="21"/>
              </w:rPr>
              <w:t>总规模的10%（含）</w:t>
            </w:r>
            <w:r>
              <w:rPr>
                <w:rFonts w:ascii="仿宋_GB2312" w:eastAsia="仿宋_GB2312" w:hAnsi="宋体" w:cs="宋体" w:hint="eastAsia"/>
                <w:sz w:val="20"/>
                <w:szCs w:val="21"/>
              </w:rPr>
              <w:t>不得分；10%以上，每增加1%加1分；本项20分封顶。</w:t>
            </w:r>
          </w:p>
        </w:tc>
        <w:tc>
          <w:tcPr>
            <w:tcW w:w="1559" w:type="dxa"/>
            <w:vAlign w:val="center"/>
          </w:tcPr>
          <w:p w14:paraId="1E6B02E1"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管理机构及关联主体出具出资承诺书。</w:t>
            </w:r>
          </w:p>
        </w:tc>
      </w:tr>
      <w:tr w:rsidR="008E15C1" w14:paraId="5B1E600E" w14:textId="77777777" w:rsidTr="00837BA5">
        <w:trPr>
          <w:cantSplit/>
        </w:trPr>
        <w:tc>
          <w:tcPr>
            <w:tcW w:w="8856" w:type="dxa"/>
            <w:gridSpan w:val="5"/>
            <w:vAlign w:val="center"/>
          </w:tcPr>
          <w:p w14:paraId="3F5280A7" w14:textId="77777777" w:rsidR="008E15C1" w:rsidRDefault="008E15C1" w:rsidP="00837BA5">
            <w:pPr>
              <w:spacing w:line="360" w:lineRule="exact"/>
              <w:rPr>
                <w:rFonts w:ascii="仿宋_GB2312" w:eastAsia="仿宋_GB2312" w:hAnsi="宋体" w:cs="宋体" w:hint="eastAsia"/>
                <w:b/>
                <w:bCs/>
                <w:sz w:val="20"/>
                <w:szCs w:val="21"/>
              </w:rPr>
            </w:pPr>
            <w:r>
              <w:rPr>
                <w:rFonts w:ascii="仿宋_GB2312" w:eastAsia="仿宋_GB2312" w:hAnsi="宋体" w:cs="宋体" w:hint="eastAsia"/>
                <w:b/>
                <w:bCs/>
                <w:sz w:val="20"/>
                <w:szCs w:val="21"/>
              </w:rPr>
              <w:lastRenderedPageBreak/>
              <w:t>三、产业整合能力（30分）</w:t>
            </w:r>
          </w:p>
        </w:tc>
      </w:tr>
      <w:tr w:rsidR="008E15C1" w14:paraId="03D8289C" w14:textId="77777777" w:rsidTr="00837BA5">
        <w:trPr>
          <w:cantSplit/>
          <w:trHeight w:val="3004"/>
        </w:trPr>
        <w:tc>
          <w:tcPr>
            <w:tcW w:w="650" w:type="dxa"/>
            <w:vAlign w:val="center"/>
          </w:tcPr>
          <w:p w14:paraId="3757EDAD"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5</w:t>
            </w:r>
          </w:p>
        </w:tc>
        <w:tc>
          <w:tcPr>
            <w:tcW w:w="1969" w:type="dxa"/>
            <w:vAlign w:val="center"/>
          </w:tcPr>
          <w:p w14:paraId="4345D19A"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产业资源背景：管理机构或其所在集团具有与南明区重点发展产业相契合的产业资源背景。</w:t>
            </w:r>
          </w:p>
        </w:tc>
        <w:tc>
          <w:tcPr>
            <w:tcW w:w="993" w:type="dxa"/>
            <w:vAlign w:val="center"/>
          </w:tcPr>
          <w:p w14:paraId="6886CCEC"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15</w:t>
            </w:r>
          </w:p>
        </w:tc>
        <w:tc>
          <w:tcPr>
            <w:tcW w:w="3685" w:type="dxa"/>
            <w:vAlign w:val="center"/>
          </w:tcPr>
          <w:p w14:paraId="16705A9F" w14:textId="77777777" w:rsidR="008E15C1" w:rsidRDefault="008E15C1" w:rsidP="00837BA5">
            <w:pPr>
              <w:spacing w:line="360" w:lineRule="exact"/>
              <w:rPr>
                <w:rFonts w:ascii="仿宋_GB2312" w:eastAsia="仿宋_GB2312" w:hAnsi="宋体" w:cs="宋体" w:hint="eastAsia"/>
                <w:color w:val="000000"/>
                <w:sz w:val="20"/>
                <w:szCs w:val="21"/>
                <w:lang w:bidi="ar"/>
              </w:rPr>
            </w:pPr>
            <w:r>
              <w:rPr>
                <w:rFonts w:ascii="仿宋_GB2312" w:eastAsia="仿宋_GB2312" w:hAnsi="宋体" w:cs="宋体" w:hint="eastAsia"/>
                <w:color w:val="000000"/>
                <w:sz w:val="20"/>
                <w:szCs w:val="21"/>
                <w:lang w:bidi="ar"/>
              </w:rPr>
              <w:t>具备</w:t>
            </w:r>
            <w:r>
              <w:rPr>
                <w:rFonts w:ascii="仿宋_GB2312" w:eastAsia="仿宋_GB2312" w:hAnsi="宋体" w:cs="宋体" w:hint="eastAsia"/>
                <w:sz w:val="20"/>
                <w:szCs w:val="21"/>
              </w:rPr>
              <w:t>与南明区重点发展产业相关的</w:t>
            </w:r>
            <w:r>
              <w:rPr>
                <w:rFonts w:ascii="仿宋_GB2312" w:eastAsia="仿宋_GB2312" w:hAnsi="宋体" w:cs="宋体" w:hint="eastAsia"/>
                <w:color w:val="000000"/>
                <w:sz w:val="20"/>
                <w:szCs w:val="21"/>
                <w:lang w:bidi="ar"/>
              </w:rPr>
              <w:t>上市公司背景：管理机构控股股东控股或参股子公司或已投企业为上市公司、挂牌企业的，上市公司 每家得1分，挂牌企业每家得0.5分，最高得15分。</w:t>
            </w:r>
          </w:p>
          <w:p w14:paraId="6F5133EA" w14:textId="77777777" w:rsidR="008E15C1" w:rsidRDefault="008E15C1" w:rsidP="00837BA5">
            <w:pPr>
              <w:spacing w:line="360" w:lineRule="exact"/>
              <w:rPr>
                <w:rFonts w:ascii="仿宋_GB2312" w:eastAsia="仿宋_GB2312" w:hAnsi="宋体" w:cs="宋体" w:hint="eastAsia"/>
                <w:color w:val="000000"/>
                <w:sz w:val="20"/>
                <w:szCs w:val="21"/>
                <w:lang w:bidi="ar"/>
              </w:rPr>
            </w:pPr>
          </w:p>
        </w:tc>
        <w:tc>
          <w:tcPr>
            <w:tcW w:w="1559" w:type="dxa"/>
            <w:vAlign w:val="center"/>
          </w:tcPr>
          <w:p w14:paraId="19419404" w14:textId="77777777" w:rsidR="008E15C1" w:rsidRDefault="008E15C1" w:rsidP="00837BA5">
            <w:pPr>
              <w:spacing w:line="360" w:lineRule="exact"/>
              <w:rPr>
                <w:rFonts w:ascii="仿宋_GB2312" w:eastAsia="仿宋_GB2312" w:hAnsi="宋体" w:cs="宋体" w:hint="eastAsia"/>
                <w:color w:val="000000"/>
                <w:sz w:val="20"/>
                <w:szCs w:val="21"/>
                <w:lang w:bidi="ar"/>
              </w:rPr>
            </w:pPr>
            <w:r>
              <w:rPr>
                <w:rFonts w:ascii="仿宋_GB2312" w:eastAsia="仿宋_GB2312" w:hAnsi="宋体" w:cs="宋体" w:hint="eastAsia"/>
                <w:sz w:val="20"/>
                <w:szCs w:val="21"/>
              </w:rPr>
              <w:t>管理机构提供说明文件并加盖公章。</w:t>
            </w:r>
          </w:p>
        </w:tc>
      </w:tr>
      <w:tr w:rsidR="008E15C1" w14:paraId="7AF1404B" w14:textId="77777777" w:rsidTr="00837BA5">
        <w:trPr>
          <w:cantSplit/>
          <w:trHeight w:val="1686"/>
        </w:trPr>
        <w:tc>
          <w:tcPr>
            <w:tcW w:w="650" w:type="dxa"/>
            <w:vAlign w:val="center"/>
          </w:tcPr>
          <w:p w14:paraId="169AA345"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6</w:t>
            </w:r>
          </w:p>
        </w:tc>
        <w:tc>
          <w:tcPr>
            <w:tcW w:w="1969" w:type="dxa"/>
            <w:vAlign w:val="center"/>
          </w:tcPr>
          <w:p w14:paraId="45764331"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产业引领能力：管理团队具有对国内相关产业头部企业、龙头上市公司资源或投资经历，并能在南明区重点产业</w:t>
            </w:r>
            <w:proofErr w:type="gramStart"/>
            <w:r>
              <w:rPr>
                <w:rFonts w:ascii="仿宋_GB2312" w:eastAsia="仿宋_GB2312" w:hAnsi="宋体" w:cs="宋体" w:hint="eastAsia"/>
                <w:sz w:val="20"/>
                <w:szCs w:val="21"/>
              </w:rPr>
              <w:t>链强链补链延</w:t>
            </w:r>
            <w:proofErr w:type="gramEnd"/>
            <w:r>
              <w:rPr>
                <w:rFonts w:ascii="仿宋_GB2312" w:eastAsia="仿宋_GB2312" w:hAnsi="宋体" w:cs="宋体" w:hint="eastAsia"/>
                <w:sz w:val="20"/>
                <w:szCs w:val="21"/>
              </w:rPr>
              <w:t>链中发挥作用。</w:t>
            </w:r>
          </w:p>
        </w:tc>
        <w:tc>
          <w:tcPr>
            <w:tcW w:w="993" w:type="dxa"/>
            <w:vAlign w:val="center"/>
          </w:tcPr>
          <w:p w14:paraId="64FC8052"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15</w:t>
            </w:r>
          </w:p>
        </w:tc>
        <w:tc>
          <w:tcPr>
            <w:tcW w:w="3685" w:type="dxa"/>
            <w:vAlign w:val="center"/>
          </w:tcPr>
          <w:p w14:paraId="45D3BB9B"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color w:val="000000"/>
                <w:sz w:val="20"/>
                <w:szCs w:val="21"/>
                <w:lang w:bidi="ar"/>
              </w:rPr>
              <w:t>由</w:t>
            </w:r>
            <w:r>
              <w:rPr>
                <w:rFonts w:ascii="仿宋_GB2312" w:eastAsia="仿宋_GB2312" w:hAnsi="宋体" w:cs="宋体" w:hint="eastAsia"/>
                <w:sz w:val="20"/>
                <w:szCs w:val="21"/>
              </w:rPr>
              <w:t>评审小组综合打分。优秀的得12-15分；良好的得8-12分（含）；一般的得5-8分（含）；较差的得0-5分（含）。</w:t>
            </w:r>
          </w:p>
        </w:tc>
        <w:tc>
          <w:tcPr>
            <w:tcW w:w="1559" w:type="dxa"/>
            <w:vAlign w:val="center"/>
          </w:tcPr>
          <w:p w14:paraId="66D0FFC6" w14:textId="77777777" w:rsidR="008E15C1" w:rsidRDefault="008E15C1" w:rsidP="00837BA5">
            <w:pPr>
              <w:widowControl/>
              <w:textAlignment w:val="center"/>
              <w:rPr>
                <w:rFonts w:ascii="仿宋_GB2312" w:eastAsia="仿宋_GB2312"/>
                <w:sz w:val="20"/>
                <w:szCs w:val="24"/>
                <w:lang w:bidi="ar"/>
              </w:rPr>
            </w:pPr>
            <w:r>
              <w:rPr>
                <w:rFonts w:ascii="仿宋_GB2312" w:eastAsia="仿宋_GB2312" w:hAnsi="宋体" w:cs="宋体" w:hint="eastAsia"/>
                <w:sz w:val="20"/>
                <w:szCs w:val="21"/>
              </w:rPr>
              <w:t>管理机构提供说明文件并加盖公章。</w:t>
            </w:r>
          </w:p>
        </w:tc>
      </w:tr>
      <w:tr w:rsidR="008E15C1" w14:paraId="6E9FE237" w14:textId="77777777" w:rsidTr="00837BA5">
        <w:trPr>
          <w:cantSplit/>
          <w:trHeight w:val="90"/>
        </w:trPr>
        <w:tc>
          <w:tcPr>
            <w:tcW w:w="8856" w:type="dxa"/>
            <w:gridSpan w:val="5"/>
            <w:vAlign w:val="center"/>
          </w:tcPr>
          <w:p w14:paraId="143C76A2" w14:textId="77777777" w:rsidR="008E15C1" w:rsidRDefault="008E15C1" w:rsidP="00837BA5">
            <w:pPr>
              <w:spacing w:line="360" w:lineRule="exact"/>
              <w:rPr>
                <w:rFonts w:ascii="仿宋_GB2312" w:eastAsia="仿宋_GB2312" w:hAnsi="宋体" w:cs="宋体" w:hint="eastAsia"/>
                <w:b/>
                <w:bCs/>
                <w:sz w:val="20"/>
                <w:szCs w:val="21"/>
              </w:rPr>
            </w:pPr>
            <w:r>
              <w:rPr>
                <w:rFonts w:ascii="仿宋_GB2312" w:eastAsia="仿宋_GB2312" w:hAnsi="宋体" w:cs="宋体" w:hint="eastAsia"/>
                <w:b/>
                <w:bCs/>
                <w:sz w:val="20"/>
                <w:szCs w:val="21"/>
              </w:rPr>
              <w:t>四、其他（15分）</w:t>
            </w:r>
          </w:p>
        </w:tc>
      </w:tr>
      <w:tr w:rsidR="008E15C1" w14:paraId="30CC2B94" w14:textId="77777777" w:rsidTr="00837BA5">
        <w:trPr>
          <w:cantSplit/>
          <w:trHeight w:val="2023"/>
        </w:trPr>
        <w:tc>
          <w:tcPr>
            <w:tcW w:w="650" w:type="dxa"/>
            <w:vAlign w:val="center"/>
          </w:tcPr>
          <w:p w14:paraId="06B64F1F"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7</w:t>
            </w:r>
          </w:p>
        </w:tc>
        <w:tc>
          <w:tcPr>
            <w:tcW w:w="1969" w:type="dxa"/>
            <w:vAlign w:val="center"/>
          </w:tcPr>
          <w:p w14:paraId="1B06048C"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基金</w:t>
            </w:r>
            <w:proofErr w:type="gramStart"/>
            <w:r>
              <w:rPr>
                <w:rFonts w:ascii="仿宋_GB2312" w:eastAsia="仿宋_GB2312" w:hAnsi="宋体" w:cs="宋体" w:hint="eastAsia"/>
                <w:sz w:val="20"/>
                <w:szCs w:val="21"/>
              </w:rPr>
              <w:t>返投要求</w:t>
            </w:r>
            <w:proofErr w:type="gramEnd"/>
          </w:p>
        </w:tc>
        <w:tc>
          <w:tcPr>
            <w:tcW w:w="993" w:type="dxa"/>
            <w:vAlign w:val="center"/>
          </w:tcPr>
          <w:p w14:paraId="50E92FBF"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10</w:t>
            </w:r>
          </w:p>
        </w:tc>
        <w:tc>
          <w:tcPr>
            <w:tcW w:w="3685" w:type="dxa"/>
            <w:vAlign w:val="center"/>
          </w:tcPr>
          <w:p w14:paraId="1CD997C4"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color w:val="000000"/>
                <w:sz w:val="20"/>
                <w:szCs w:val="21"/>
                <w:lang w:bidi="ar"/>
              </w:rPr>
              <w:t>基金</w:t>
            </w:r>
            <w:proofErr w:type="gramStart"/>
            <w:r>
              <w:rPr>
                <w:rFonts w:ascii="仿宋_GB2312" w:eastAsia="仿宋_GB2312" w:hAnsi="宋体" w:cs="宋体" w:hint="eastAsia"/>
                <w:color w:val="000000"/>
                <w:sz w:val="20"/>
                <w:szCs w:val="21"/>
                <w:lang w:bidi="ar"/>
              </w:rPr>
              <w:t>返投为</w:t>
            </w:r>
            <w:proofErr w:type="gramEnd"/>
            <w:r>
              <w:rPr>
                <w:rFonts w:ascii="仿宋_GB2312" w:eastAsia="仿宋_GB2312" w:hAnsi="宋体" w:cs="宋体" w:hint="eastAsia"/>
                <w:color w:val="000000"/>
                <w:sz w:val="20"/>
                <w:szCs w:val="21"/>
                <w:lang w:bidi="ar"/>
              </w:rPr>
              <w:t>南明区财政资金出资额的1.2倍</w:t>
            </w:r>
            <w:proofErr w:type="gramStart"/>
            <w:r>
              <w:rPr>
                <w:rFonts w:ascii="仿宋_GB2312" w:eastAsia="仿宋_GB2312" w:hAnsi="宋体" w:cs="宋体" w:hint="eastAsia"/>
                <w:color w:val="000000"/>
                <w:sz w:val="20"/>
                <w:szCs w:val="21"/>
                <w:lang w:bidi="ar"/>
              </w:rPr>
              <w:t>得基础分</w:t>
            </w:r>
            <w:proofErr w:type="gramEnd"/>
            <w:r>
              <w:rPr>
                <w:rFonts w:ascii="仿宋_GB2312" w:eastAsia="仿宋_GB2312" w:hAnsi="宋体" w:cs="宋体" w:hint="eastAsia"/>
                <w:color w:val="000000"/>
                <w:sz w:val="20"/>
                <w:szCs w:val="21"/>
                <w:lang w:bidi="ar"/>
              </w:rPr>
              <w:t>2分，每增加0.1倍加1分，最高10分。</w:t>
            </w:r>
          </w:p>
        </w:tc>
        <w:tc>
          <w:tcPr>
            <w:tcW w:w="1559" w:type="dxa"/>
            <w:vAlign w:val="center"/>
          </w:tcPr>
          <w:p w14:paraId="62A00AD3"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由基金管理人提供书面承诺书。</w:t>
            </w:r>
          </w:p>
        </w:tc>
      </w:tr>
      <w:tr w:rsidR="008E15C1" w14:paraId="0F3C01A4" w14:textId="77777777" w:rsidTr="00837BA5">
        <w:trPr>
          <w:cantSplit/>
          <w:trHeight w:val="1125"/>
        </w:trPr>
        <w:tc>
          <w:tcPr>
            <w:tcW w:w="650" w:type="dxa"/>
            <w:vAlign w:val="center"/>
          </w:tcPr>
          <w:p w14:paraId="23B087F6"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8</w:t>
            </w:r>
          </w:p>
        </w:tc>
        <w:tc>
          <w:tcPr>
            <w:tcW w:w="1969" w:type="dxa"/>
            <w:vAlign w:val="center"/>
          </w:tcPr>
          <w:p w14:paraId="465CAEE0"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团队驻点服务能力</w:t>
            </w:r>
          </w:p>
        </w:tc>
        <w:tc>
          <w:tcPr>
            <w:tcW w:w="993" w:type="dxa"/>
            <w:vAlign w:val="center"/>
          </w:tcPr>
          <w:p w14:paraId="6CAD9E4A" w14:textId="77777777" w:rsidR="008E15C1" w:rsidRDefault="008E15C1" w:rsidP="00837BA5">
            <w:pPr>
              <w:spacing w:line="360" w:lineRule="exact"/>
              <w:jc w:val="center"/>
              <w:rPr>
                <w:rFonts w:ascii="仿宋_GB2312" w:eastAsia="仿宋_GB2312" w:hAnsi="宋体" w:cs="宋体" w:hint="eastAsia"/>
                <w:sz w:val="20"/>
                <w:szCs w:val="21"/>
              </w:rPr>
            </w:pPr>
            <w:r>
              <w:rPr>
                <w:rFonts w:ascii="仿宋_GB2312" w:eastAsia="仿宋_GB2312" w:hAnsi="宋体" w:cs="宋体" w:hint="eastAsia"/>
                <w:sz w:val="20"/>
                <w:szCs w:val="21"/>
              </w:rPr>
              <w:t>5</w:t>
            </w:r>
          </w:p>
        </w:tc>
        <w:tc>
          <w:tcPr>
            <w:tcW w:w="3685" w:type="dxa"/>
            <w:vAlign w:val="center"/>
          </w:tcPr>
          <w:p w14:paraId="5B9E71B2"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color w:val="000000"/>
                <w:szCs w:val="21"/>
                <w:lang w:bidi="ar"/>
              </w:rPr>
              <w:t>管理机构原则上至少1名全职人员常驻贵阳市</w:t>
            </w:r>
            <w:r>
              <w:rPr>
                <w:rFonts w:ascii="仿宋_GB2312" w:eastAsia="仿宋_GB2312" w:hAnsi="宋体" w:cs="宋体" w:hint="eastAsia"/>
                <w:sz w:val="20"/>
                <w:szCs w:val="21"/>
              </w:rPr>
              <w:t>，每增加1名，得1分，最高5分。</w:t>
            </w:r>
          </w:p>
        </w:tc>
        <w:tc>
          <w:tcPr>
            <w:tcW w:w="1559" w:type="dxa"/>
            <w:vAlign w:val="center"/>
          </w:tcPr>
          <w:p w14:paraId="687C9A65" w14:textId="77777777" w:rsidR="008E15C1" w:rsidRDefault="008E15C1" w:rsidP="00837BA5">
            <w:pPr>
              <w:spacing w:line="360" w:lineRule="exact"/>
              <w:rPr>
                <w:rFonts w:ascii="仿宋_GB2312" w:eastAsia="仿宋_GB2312" w:hAnsi="宋体" w:cs="宋体" w:hint="eastAsia"/>
                <w:sz w:val="20"/>
                <w:szCs w:val="21"/>
              </w:rPr>
            </w:pPr>
            <w:r>
              <w:rPr>
                <w:rFonts w:ascii="仿宋_GB2312" w:eastAsia="仿宋_GB2312" w:hAnsi="宋体" w:cs="宋体" w:hint="eastAsia"/>
                <w:sz w:val="20"/>
                <w:szCs w:val="21"/>
              </w:rPr>
              <w:t>管理机构提供说明文件并加盖公章。</w:t>
            </w:r>
          </w:p>
        </w:tc>
      </w:tr>
    </w:tbl>
    <w:p w14:paraId="0C17A81A" w14:textId="77777777" w:rsidR="008E15C1" w:rsidRDefault="008E15C1" w:rsidP="008E15C1">
      <w:pPr>
        <w:pStyle w:val="2"/>
        <w:ind w:leftChars="0" w:left="0"/>
        <w:rPr>
          <w:rFonts w:ascii="仿宋_GB2312" w:eastAsia="仿宋_GB2312"/>
        </w:rPr>
      </w:pPr>
    </w:p>
    <w:p w14:paraId="0298B7C7" w14:textId="77777777" w:rsidR="008E15C1" w:rsidRDefault="008E15C1" w:rsidP="008E15C1">
      <w:pPr>
        <w:spacing w:line="590" w:lineRule="atLeast"/>
        <w:ind w:firstLineChars="200" w:firstLine="420"/>
      </w:pPr>
    </w:p>
    <w:p w14:paraId="36D2AE14" w14:textId="77777777" w:rsidR="008E15C1" w:rsidRPr="008E15C1" w:rsidRDefault="008E15C1"/>
    <w:sectPr w:rsidR="008E15C1" w:rsidRPr="008E15C1" w:rsidSect="008E15C1">
      <w:footerReference w:type="even" r:id="rId4"/>
      <w:footerReference w:type="default" r:id="rId5"/>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55201"/>
    </w:sdtPr>
    <w:sdtContent>
      <w:p w14:paraId="37CF07F6" w14:textId="77777777" w:rsidR="00000000" w:rsidRDefault="00000000">
        <w:pPr>
          <w:pStyle w:val="ae"/>
        </w:pPr>
        <w:r>
          <w:rPr>
            <w:rFonts w:ascii="仿宋_GB2312" w:eastAsia="仿宋_GB2312" w:hint="eastAsia"/>
            <w:sz w:val="28"/>
            <w:szCs w:val="28"/>
          </w:rPr>
          <w:t>-</w:t>
        </w:r>
        <w: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14:paraId="1C714AD4" w14:textId="77777777" w:rsidR="00000000" w:rsidRDefault="0000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74997"/>
    </w:sdtPr>
    <w:sdtEndPr>
      <w:rPr>
        <w:rFonts w:ascii="仿宋_GB2312" w:eastAsia="仿宋_GB2312" w:hint="eastAsia"/>
        <w:sz w:val="28"/>
        <w:szCs w:val="28"/>
      </w:rPr>
    </w:sdtEndPr>
    <w:sdtContent>
      <w:p w14:paraId="4441B336" w14:textId="77777777" w:rsidR="00000000" w:rsidRDefault="00000000">
        <w:pPr>
          <w:pStyle w:val="ae"/>
          <w:jc w:val="righ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14:paraId="2784F264" w14:textId="77777777" w:rsidR="00000000" w:rsidRDefault="00000000">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C1"/>
    <w:rsid w:val="00837E7F"/>
    <w:rsid w:val="008E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FFB0"/>
  <w15:chartTrackingRefBased/>
  <w15:docId w15:val="{48F304D1-7C34-4F75-AAEB-CF76A370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E15C1"/>
    <w:pPr>
      <w:widowControl w:val="0"/>
      <w:spacing w:after="0" w:line="240" w:lineRule="auto"/>
      <w:jc w:val="both"/>
    </w:pPr>
    <w:rPr>
      <w:rFonts w:ascii="Times New Roman" w:eastAsia="STKaiti" w:hAnsi="Times New Roman" w:cs="Times New Roman"/>
      <w:sz w:val="21"/>
      <w:szCs w:val="15"/>
      <w14:ligatures w14:val="none"/>
    </w:rPr>
  </w:style>
  <w:style w:type="paragraph" w:styleId="1">
    <w:name w:val="heading 1"/>
    <w:basedOn w:val="a"/>
    <w:next w:val="a"/>
    <w:link w:val="10"/>
    <w:uiPriority w:val="9"/>
    <w:qFormat/>
    <w:rsid w:val="008E15C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0">
    <w:name w:val="heading 2"/>
    <w:basedOn w:val="a"/>
    <w:next w:val="a"/>
    <w:link w:val="21"/>
    <w:uiPriority w:val="9"/>
    <w:semiHidden/>
    <w:unhideWhenUsed/>
    <w:qFormat/>
    <w:rsid w:val="008E15C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E15C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E15C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E15C1"/>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8E15C1"/>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8E15C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8E15C1"/>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8E15C1"/>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C1"/>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8E15C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E15C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E15C1"/>
    <w:rPr>
      <w:rFonts w:cstheme="majorBidi"/>
      <w:color w:val="0F4761" w:themeColor="accent1" w:themeShade="BF"/>
      <w:sz w:val="28"/>
      <w:szCs w:val="28"/>
    </w:rPr>
  </w:style>
  <w:style w:type="character" w:customStyle="1" w:styleId="50">
    <w:name w:val="标题 5 字符"/>
    <w:basedOn w:val="a0"/>
    <w:link w:val="5"/>
    <w:uiPriority w:val="9"/>
    <w:semiHidden/>
    <w:rsid w:val="008E15C1"/>
    <w:rPr>
      <w:rFonts w:cstheme="majorBidi"/>
      <w:color w:val="0F4761" w:themeColor="accent1" w:themeShade="BF"/>
      <w:sz w:val="24"/>
    </w:rPr>
  </w:style>
  <w:style w:type="character" w:customStyle="1" w:styleId="60">
    <w:name w:val="标题 6 字符"/>
    <w:basedOn w:val="a0"/>
    <w:link w:val="6"/>
    <w:uiPriority w:val="9"/>
    <w:semiHidden/>
    <w:rsid w:val="008E15C1"/>
    <w:rPr>
      <w:rFonts w:cstheme="majorBidi"/>
      <w:b/>
      <w:bCs/>
      <w:color w:val="0F4761" w:themeColor="accent1" w:themeShade="BF"/>
    </w:rPr>
  </w:style>
  <w:style w:type="character" w:customStyle="1" w:styleId="70">
    <w:name w:val="标题 7 字符"/>
    <w:basedOn w:val="a0"/>
    <w:link w:val="7"/>
    <w:uiPriority w:val="9"/>
    <w:semiHidden/>
    <w:rsid w:val="008E15C1"/>
    <w:rPr>
      <w:rFonts w:cstheme="majorBidi"/>
      <w:b/>
      <w:bCs/>
      <w:color w:val="595959" w:themeColor="text1" w:themeTint="A6"/>
    </w:rPr>
  </w:style>
  <w:style w:type="character" w:customStyle="1" w:styleId="80">
    <w:name w:val="标题 8 字符"/>
    <w:basedOn w:val="a0"/>
    <w:link w:val="8"/>
    <w:uiPriority w:val="9"/>
    <w:semiHidden/>
    <w:rsid w:val="008E15C1"/>
    <w:rPr>
      <w:rFonts w:cstheme="majorBidi"/>
      <w:color w:val="595959" w:themeColor="text1" w:themeTint="A6"/>
    </w:rPr>
  </w:style>
  <w:style w:type="character" w:customStyle="1" w:styleId="90">
    <w:name w:val="标题 9 字符"/>
    <w:basedOn w:val="a0"/>
    <w:link w:val="9"/>
    <w:uiPriority w:val="9"/>
    <w:semiHidden/>
    <w:rsid w:val="008E15C1"/>
    <w:rPr>
      <w:rFonts w:eastAsiaTheme="majorEastAsia" w:cstheme="majorBidi"/>
      <w:color w:val="595959" w:themeColor="text1" w:themeTint="A6"/>
    </w:rPr>
  </w:style>
  <w:style w:type="paragraph" w:styleId="a3">
    <w:name w:val="Title"/>
    <w:basedOn w:val="a"/>
    <w:next w:val="a"/>
    <w:link w:val="a4"/>
    <w:uiPriority w:val="10"/>
    <w:qFormat/>
    <w:rsid w:val="008E15C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E1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C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E1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C1"/>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8E15C1"/>
    <w:rPr>
      <w:i/>
      <w:iCs/>
      <w:color w:val="404040" w:themeColor="text1" w:themeTint="BF"/>
    </w:rPr>
  </w:style>
  <w:style w:type="paragraph" w:styleId="a9">
    <w:name w:val="List Paragraph"/>
    <w:basedOn w:val="a"/>
    <w:uiPriority w:val="34"/>
    <w:qFormat/>
    <w:rsid w:val="008E15C1"/>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8E15C1"/>
    <w:rPr>
      <w:i/>
      <w:iCs/>
      <w:color w:val="0F4761" w:themeColor="accent1" w:themeShade="BF"/>
    </w:rPr>
  </w:style>
  <w:style w:type="paragraph" w:styleId="ab">
    <w:name w:val="Intense Quote"/>
    <w:basedOn w:val="a"/>
    <w:next w:val="a"/>
    <w:link w:val="ac"/>
    <w:uiPriority w:val="30"/>
    <w:qFormat/>
    <w:rsid w:val="008E15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8E15C1"/>
    <w:rPr>
      <w:i/>
      <w:iCs/>
      <w:color w:val="0F4761" w:themeColor="accent1" w:themeShade="BF"/>
    </w:rPr>
  </w:style>
  <w:style w:type="character" w:styleId="ad">
    <w:name w:val="Intense Reference"/>
    <w:basedOn w:val="a0"/>
    <w:uiPriority w:val="32"/>
    <w:qFormat/>
    <w:rsid w:val="008E15C1"/>
    <w:rPr>
      <w:b/>
      <w:bCs/>
      <w:smallCaps/>
      <w:color w:val="0F4761" w:themeColor="accent1" w:themeShade="BF"/>
      <w:spacing w:val="5"/>
    </w:rPr>
  </w:style>
  <w:style w:type="paragraph" w:styleId="2">
    <w:name w:val="Body Text Indent 2"/>
    <w:basedOn w:val="a"/>
    <w:link w:val="22"/>
    <w:uiPriority w:val="99"/>
    <w:semiHidden/>
    <w:unhideWhenUsed/>
    <w:qFormat/>
    <w:rsid w:val="008E15C1"/>
    <w:pPr>
      <w:spacing w:after="120" w:line="480" w:lineRule="auto"/>
      <w:ind w:leftChars="200" w:left="420"/>
    </w:pPr>
  </w:style>
  <w:style w:type="character" w:customStyle="1" w:styleId="22">
    <w:name w:val="正文文本缩进 2 字符"/>
    <w:basedOn w:val="a0"/>
    <w:link w:val="2"/>
    <w:uiPriority w:val="99"/>
    <w:semiHidden/>
    <w:rsid w:val="008E15C1"/>
    <w:rPr>
      <w:rFonts w:ascii="Times New Roman" w:eastAsia="STKaiti" w:hAnsi="Times New Roman" w:cs="Times New Roman"/>
      <w:sz w:val="21"/>
      <w:szCs w:val="15"/>
      <w14:ligatures w14:val="none"/>
    </w:rPr>
  </w:style>
  <w:style w:type="paragraph" w:styleId="ae">
    <w:name w:val="footer"/>
    <w:basedOn w:val="a"/>
    <w:link w:val="af"/>
    <w:uiPriority w:val="99"/>
    <w:qFormat/>
    <w:rsid w:val="008E15C1"/>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8E15C1"/>
    <w:rPr>
      <w:rFonts w:ascii="Times New Roman" w:eastAsia="STKaiti" w:hAnsi="Times New Roman" w:cs="Times New Roman"/>
      <w:sz w:val="18"/>
      <w:szCs w:val="18"/>
      <w14:ligatures w14:val="none"/>
    </w:rPr>
  </w:style>
  <w:style w:type="table" w:styleId="af0">
    <w:name w:val="Table Grid"/>
    <w:basedOn w:val="a1"/>
    <w:qFormat/>
    <w:rsid w:val="008E15C1"/>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2024-10-25T03:43:00Z</dcterms:created>
  <dcterms:modified xsi:type="dcterms:W3CDTF">2024-10-25T03:44:00Z</dcterms:modified>
</cp:coreProperties>
</file>