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13CA9A">
      <w:pPr>
        <w:spacing w:line="560" w:lineRule="exact"/>
        <w:jc w:val="center"/>
        <w:rPr>
          <w:rFonts w:hint="default" w:ascii="宋体" w:hAnsi="宋体"/>
          <w:sz w:val="24"/>
          <w:lang w:val="en-US"/>
        </w:rPr>
      </w:pPr>
      <w:r>
        <w:rPr>
          <w:rFonts w:hint="eastAsia" w:ascii="宋体" w:hAnsi="宋体"/>
          <w:b/>
          <w:kern w:val="0"/>
          <w:sz w:val="32"/>
          <w:szCs w:val="44"/>
          <w:lang w:val="en-US" w:eastAsia="zh-CN"/>
        </w:rPr>
        <w:t>子基金设立方案</w:t>
      </w:r>
    </w:p>
    <w:tbl>
      <w:tblPr>
        <w:tblStyle w:val="6"/>
        <w:tblW w:w="8304" w:type="dxa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3"/>
        <w:gridCol w:w="1320"/>
        <w:gridCol w:w="121"/>
        <w:gridCol w:w="1163"/>
        <w:gridCol w:w="640"/>
        <w:gridCol w:w="337"/>
        <w:gridCol w:w="547"/>
        <w:gridCol w:w="699"/>
        <w:gridCol w:w="513"/>
        <w:gridCol w:w="1181"/>
      </w:tblGrid>
      <w:tr w14:paraId="048556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1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C925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设立背景及目标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11C2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请简要阐述子基金的定位，所属行业现状及趋势分析</w:t>
            </w:r>
          </w:p>
        </w:tc>
      </w:tr>
      <w:tr w14:paraId="408D9E6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1E498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基金名称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CB312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 w14:paraId="5947D86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9F13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组织形式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6947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 w14:paraId="291E5A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4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A0C8B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注册地址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C228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 w14:paraId="5E7810C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B39C8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基金管理人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FA8A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 w14:paraId="6DBF806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2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FAA7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存续期限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CB7C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存续期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年，其中：投资期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年，退出期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经全体合伙人一致同意可延长，但不得超过上饶引导基金的存续期。</w:t>
            </w:r>
          </w:p>
        </w:tc>
      </w:tr>
      <w:tr w14:paraId="1A2E373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4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CEF09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基金认缴规模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F12D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 w14:paraId="45B79D6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783" w:type="dxa"/>
            <w:vMerge w:val="restart"/>
            <w:tcBorders>
              <w:top w:val="single" w:color="444444" w:sz="6" w:space="0"/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C9F0B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申请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上饶市现代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产业引导基金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有限合伙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132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6E8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出资金额</w:t>
            </w:r>
          </w:p>
        </w:tc>
        <w:tc>
          <w:tcPr>
            <w:tcW w:w="2261" w:type="dxa"/>
            <w:gridSpan w:val="4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 w14:paraId="0A9980D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万元</w:t>
            </w:r>
          </w:p>
        </w:tc>
        <w:tc>
          <w:tcPr>
            <w:tcW w:w="1759" w:type="dxa"/>
            <w:gridSpan w:val="3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 w14:paraId="3CB8B5A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出资比例（%）</w:t>
            </w:r>
          </w:p>
        </w:tc>
        <w:tc>
          <w:tcPr>
            <w:tcW w:w="1181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 w14:paraId="4692830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 w14:paraId="49EA401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0C20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4C1FE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出资顺序</w:t>
            </w:r>
          </w:p>
        </w:tc>
        <w:tc>
          <w:tcPr>
            <w:tcW w:w="4020" w:type="dxa"/>
            <w:gridSpan w:val="7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 w14:paraId="6F5733C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181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 w14:paraId="2022D0A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 w14:paraId="117083D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  <w:jc w:val="center"/>
        </w:trPr>
        <w:tc>
          <w:tcPr>
            <w:tcW w:w="1783" w:type="dxa"/>
            <w:vMerge w:val="restart"/>
            <w:tcBorders>
              <w:top w:val="single" w:color="444444" w:sz="6" w:space="0"/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351A5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募集资金情况</w:t>
            </w:r>
          </w:p>
          <w:p w14:paraId="57C0A59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（填列应包含普通合伙人出资）</w:t>
            </w:r>
          </w:p>
        </w:tc>
        <w:tc>
          <w:tcPr>
            <w:tcW w:w="132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8E1F7"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出资人全称</w:t>
            </w:r>
          </w:p>
        </w:tc>
        <w:tc>
          <w:tcPr>
            <w:tcW w:w="1284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 w14:paraId="6F66144A"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val="en-US" w:eastAsia="zh-CN"/>
              </w:rPr>
              <w:t>出资人性质</w:t>
            </w:r>
          </w:p>
        </w:tc>
        <w:tc>
          <w:tcPr>
            <w:tcW w:w="1524" w:type="dxa"/>
            <w:gridSpan w:val="3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 w14:paraId="5816F154"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认缴出资额</w:t>
            </w:r>
          </w:p>
          <w:p w14:paraId="15108AF4"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（万元）</w:t>
            </w:r>
          </w:p>
        </w:tc>
        <w:tc>
          <w:tcPr>
            <w:tcW w:w="1212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 w14:paraId="3F636342"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认缴出资比例（%）</w:t>
            </w:r>
          </w:p>
        </w:tc>
        <w:tc>
          <w:tcPr>
            <w:tcW w:w="1181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 w14:paraId="2B8A8C61"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募资进度</w:t>
            </w:r>
          </w:p>
        </w:tc>
      </w:tr>
      <w:tr w14:paraId="40FEC98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59E1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A02FB"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 w14:paraId="1918A330"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 w14:paraId="30306E8E"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 w14:paraId="1C7E43B8"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 w14:paraId="3BA4869B"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52C54E3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CC6EC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2F8C4"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 w14:paraId="1C2AC3F6"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 w14:paraId="533D30BD"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 w14:paraId="2E9A75BC"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 w14:paraId="25E5B029"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63D2B70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685F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320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DF493"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……</w:t>
            </w:r>
          </w:p>
        </w:tc>
        <w:tc>
          <w:tcPr>
            <w:tcW w:w="1284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 w14:paraId="43EA07E3"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524" w:type="dxa"/>
            <w:gridSpan w:val="3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 w14:paraId="0DE847A5"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212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 w14:paraId="02C88F23"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vAlign w:val="center"/>
          </w:tcPr>
          <w:p w14:paraId="64649A84">
            <w:pPr>
              <w:pStyle w:val="3"/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ind w:firstLine="0"/>
              <w:jc w:val="center"/>
              <w:textAlignment w:val="auto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</w:p>
        </w:tc>
      </w:tr>
      <w:tr w14:paraId="287E80D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4619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9326F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其中，政府出资（含申请的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上饶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市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现代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产业引导基金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中心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有限合伙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）总额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万元，出资比例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%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；</w:t>
            </w:r>
          </w:p>
        </w:tc>
      </w:tr>
      <w:tr w14:paraId="7DCF5D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1783" w:type="dxa"/>
            <w:tcBorders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F4F16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出资规划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D78A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【管理机构明确其负责募集资金的到位期限、基金成立期限，出资方式等；如果为分期出资，需说明分期出资的规划、投资进度安排及后期出资缴付条件等。】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上饶引导基金不早于其他投资人出资。</w:t>
            </w:r>
          </w:p>
        </w:tc>
      </w:tr>
      <w:tr w14:paraId="3AC3A2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3786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投资领域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380A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电子信息</w:t>
            </w:r>
            <w:r>
              <w:rPr>
                <w:rFonts w:hint="eastAsia" w:ascii="宋体" w:hAnsi="宋体" w:eastAsia="宋体" w:cs="宋体"/>
              </w:rPr>
              <w:t xml:space="preserve">   □</w:t>
            </w:r>
            <w:r>
              <w:rPr>
                <w:rFonts w:hint="eastAsia" w:ascii="宋体" w:hAnsi="宋体" w:cs="宋体"/>
                <w:lang w:val="en-US" w:eastAsia="zh-CN"/>
              </w:rPr>
              <w:t>生物医药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 xml:space="preserve"> □</w:t>
            </w:r>
            <w:r>
              <w:rPr>
                <w:rFonts w:hint="eastAsia" w:ascii="宋体" w:hAnsi="宋体" w:cs="宋体"/>
                <w:lang w:val="en-US" w:eastAsia="zh-CN"/>
              </w:rPr>
              <w:t>绿色食品</w:t>
            </w:r>
            <w:r>
              <w:rPr>
                <w:rFonts w:hint="eastAsia" w:ascii="宋体" w:hAnsi="宋体" w:eastAsia="宋体" w:cs="宋体"/>
              </w:rPr>
              <w:t xml:space="preserve">   □</w:t>
            </w:r>
            <w:r>
              <w:rPr>
                <w:rFonts w:hint="eastAsia" w:ascii="宋体" w:hAnsi="宋体" w:cs="宋体"/>
                <w:lang w:val="en-US" w:eastAsia="zh-CN"/>
              </w:rPr>
              <w:t>先进装备制造</w:t>
            </w:r>
          </w:p>
          <w:p w14:paraId="19C62C1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cs="宋体"/>
                <w:lang w:val="en-US" w:eastAsia="zh-CN"/>
              </w:rPr>
              <w:t>新材料</w:t>
            </w:r>
            <w:r>
              <w:rPr>
                <w:rFonts w:hint="eastAsia" w:ascii="宋体" w:hAnsi="宋体" w:eastAsia="宋体" w:cs="宋体"/>
              </w:rPr>
              <w:t xml:space="preserve">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新能源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sym w:font="Wingdings 2" w:char="00A3"/>
            </w:r>
            <w:r>
              <w:rPr>
                <w:rFonts w:hint="eastAsia" w:ascii="宋体" w:hAnsi="宋体" w:cs="宋体"/>
                <w:lang w:val="en-US" w:eastAsia="zh-CN"/>
              </w:rPr>
              <w:t>通用航空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</w:rPr>
              <w:t>□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其他行业</w:t>
            </w:r>
          </w:p>
        </w:tc>
      </w:tr>
      <w:tr w14:paraId="1CAA479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F98DA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投资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策略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1AF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 w14:paraId="62F332C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27CE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投资地域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AB09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投资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上饶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市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内企业资金不低于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上饶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市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现代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产业引导基金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中心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有限合伙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实缴出资额的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倍。</w:t>
            </w:r>
          </w:p>
        </w:tc>
      </w:tr>
      <w:tr w14:paraId="045800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  <w:jc w:val="center"/>
        </w:trPr>
        <w:tc>
          <w:tcPr>
            <w:tcW w:w="1783" w:type="dxa"/>
            <w:vMerge w:val="restart"/>
            <w:tcBorders>
              <w:top w:val="single" w:color="444444" w:sz="6" w:space="0"/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51A43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储备项目</w:t>
            </w:r>
          </w:p>
        </w:tc>
        <w:tc>
          <w:tcPr>
            <w:tcW w:w="1441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A86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数量（个）</w:t>
            </w:r>
          </w:p>
        </w:tc>
        <w:tc>
          <w:tcPr>
            <w:tcW w:w="1803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BC51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1583" w:type="dxa"/>
            <w:gridSpan w:val="3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F018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金额（万元）</w:t>
            </w:r>
          </w:p>
        </w:tc>
        <w:tc>
          <w:tcPr>
            <w:tcW w:w="1694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F5F02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 w14:paraId="7366F75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4B0A6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4827" w:type="dxa"/>
            <w:gridSpan w:val="7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28D03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与本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基金投资策略和领域相匹配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的项目金额占首期认缴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规模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的比例（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%）</w:t>
            </w:r>
          </w:p>
        </w:tc>
        <w:tc>
          <w:tcPr>
            <w:tcW w:w="1694" w:type="dxa"/>
            <w:gridSpan w:val="2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9891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 w14:paraId="63B4D8C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783" w:type="dxa"/>
            <w:vMerge w:val="restart"/>
            <w:tcBorders>
              <w:top w:val="single" w:color="444444" w:sz="6" w:space="0"/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C60DA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风险控制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001A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基金治理架构及相关职责划分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填写管理人对拟设基金的管理架构及相关职责划分机制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）</w:t>
            </w:r>
          </w:p>
        </w:tc>
      </w:tr>
      <w:tr w14:paraId="597B1D5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97613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2C97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资金托管机制</w:t>
            </w:r>
          </w:p>
          <w:p w14:paraId="2E0AED6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由基金管理公司决策选定，报国控基金公司备案。</w:t>
            </w:r>
          </w:p>
          <w:p w14:paraId="50C5F821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 w14:paraId="69D13F1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9872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12802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投资决策机制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上饶引导基金不委派投委，管理人委派投委，需明确投委人选，且为拟设基金的关键人士之一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 xml:space="preserve"> 江西国控私募基金管理有限公司有权委派1名观察员，对投资负面清单及返投事项享有一票否决权。</w:t>
            </w:r>
          </w:p>
        </w:tc>
      </w:tr>
      <w:tr w14:paraId="362CF0E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2A2AF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A91F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投资负面清单</w:t>
            </w:r>
          </w:p>
          <w:p w14:paraId="59F44C27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基金不得从事以下业务：1.从事融资担保以外的担保、抵押、委托贷款等业务；2.投资二级市场股票、期货、房地产、证券投资基金、评级AAA以下的企业债、信托产品、非保本型理财产品、保险计划以及其他金融衍生品；3.向任何第三方提供赞助、捐赠（经批准的公益性捐赠除外）；4.吸收或变相吸收存款，或向第三方提供贷款和资金拆借（以股权投资为目的的可转债除外，但不得从事明股实债）；5.进行承担无限连带责任的对外投资；6.发行信托或集合理财产品募集资金；7.国家法律法规禁止从事的其他业务。</w:t>
            </w:r>
          </w:p>
          <w:p w14:paraId="59362D5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 w14:paraId="014AA32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CCFBA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82F5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投资限额</w:t>
            </w:r>
          </w:p>
          <w:p w14:paraId="26EB980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原则上不应持有超过被投资企业总股权的50%，亦不应成为被投资企业的单一或并列第一大股东。</w:t>
            </w:r>
          </w:p>
          <w:p w14:paraId="157B8C0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</w:p>
        </w:tc>
      </w:tr>
      <w:tr w14:paraId="54361E8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7CDD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EA4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信息披露机制</w:t>
            </w:r>
          </w:p>
          <w:p w14:paraId="2393E869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子基金管理人应当建立重大事项披露制度，重大事项包括但不限于：投资标的重大变化、基金合伙协议修订、资本增减、高级管理人员变更、合并、清算等。应当定期向国控基金公司提交季度、年度运营报告、年度审计报告和年度托管报告。</w:t>
            </w:r>
          </w:p>
          <w:p w14:paraId="042D935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</w:p>
        </w:tc>
      </w:tr>
      <w:tr w14:paraId="27F3E25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CD57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7B9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  <w:t>投委会委员、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专职管理团队锁定机制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关键人士锁定2-3人即可，在附件7关键人锁定承诺函盖章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）</w:t>
            </w:r>
          </w:p>
          <w:p w14:paraId="6068D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锁定管理人投委、关键人士为XX。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锁定人员如发生变动须经合伙人大会等基金相关权利机构表决通过，并报国控基金公司备案。</w:t>
            </w:r>
          </w:p>
        </w:tc>
      </w:tr>
      <w:tr w14:paraId="06FADCF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F3633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333C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提前退出机制</w:t>
            </w:r>
          </w:p>
          <w:p w14:paraId="468DCBBC">
            <w:pPr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子基金有下列情况之一的，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t>上饶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引导基金可无需其他出资人同意即可选择提前退出，因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t>上饶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引导基金提前退出产生任何风险和损失由子基金管理人承担（若子基金管理人与子基金申请机构不一致，则由子基金申请机构与子基金管理人承担连带责任）：</w:t>
            </w:r>
          </w:p>
          <w:p w14:paraId="7CE3DB3A">
            <w:pPr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1.未按合伙协议或公司章程约定投资且未能有效整改的；</w:t>
            </w:r>
          </w:p>
          <w:p w14:paraId="59640559">
            <w:pPr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2.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t>上饶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引导基金与子基金管理人签订协议后，其他出资人首期资金未实际到位超过半年的；</w:t>
            </w:r>
          </w:p>
          <w:p w14:paraId="3934D0F6">
            <w:pPr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3.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t>上饶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引导基金出资拔付至子基金账户后，该子基金未开展投资业务超过一年的；</w:t>
            </w:r>
          </w:p>
          <w:p w14:paraId="32D6006D">
            <w:pPr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4.投资项目不符合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 w:bidi="ar"/>
              </w:rPr>
              <w:t>上饶</w:t>
            </w: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引导基金政策导向的;</w:t>
            </w:r>
          </w:p>
          <w:p w14:paraId="2973DB64">
            <w:pPr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5.运营有违法违规行为并被依法查处的；</w:t>
            </w:r>
          </w:p>
          <w:p w14:paraId="372E37DB">
            <w:pPr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6.子基金管理人发生实质性变化（包括但不限于控股股东、实际控制人及核心团队成员变更等）且未经子基金相关权力机构表决通过的。</w:t>
            </w:r>
          </w:p>
          <w:p w14:paraId="628F836E">
            <w:pPr>
              <w:jc w:val="left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  <w:lang w:bidi="ar"/>
              </w:rPr>
              <w:t>前款内容应当依法依规在相关约定中明确。</w:t>
            </w:r>
          </w:p>
          <w:p w14:paraId="75C52E6F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</w:p>
        </w:tc>
      </w:tr>
      <w:tr w14:paraId="450FA3F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3" w:hRule="atLeast"/>
          <w:jc w:val="center"/>
        </w:trPr>
        <w:tc>
          <w:tcPr>
            <w:tcW w:w="1783" w:type="dxa"/>
            <w:vMerge w:val="continue"/>
            <w:tcBorders>
              <w:left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75B56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34EA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其他风险控制措施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如有，请列明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）</w:t>
            </w:r>
          </w:p>
        </w:tc>
      </w:tr>
      <w:tr w14:paraId="3C7D6C9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35E3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管理费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9ED6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投资期为基金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（认缴/实缴）出资额的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%/年；</w:t>
            </w:r>
          </w:p>
          <w:p w14:paraId="426F729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退出期不超过未退出原始投资本金的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%/年；</w:t>
            </w:r>
          </w:p>
          <w:p w14:paraId="66E6AC94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延长期、清算期不收取管理费。</w:t>
            </w:r>
          </w:p>
        </w:tc>
      </w:tr>
      <w:tr w14:paraId="6DB1A1D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F9607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  <w:t>投资退出策略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66858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 w14:paraId="6B011EE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80C8D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4"/>
              </w:rPr>
              <w:t>收益分配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904C0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both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</w:p>
        </w:tc>
      </w:tr>
      <w:tr w14:paraId="2695F2D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ABAFC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投资行业影响力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C522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（近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lang w:val="en-US" w:eastAsia="zh-CN"/>
              </w:rPr>
              <w:t>两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年清科、投中等中介机构排名）</w:t>
            </w:r>
          </w:p>
        </w:tc>
      </w:tr>
      <w:tr w14:paraId="062B72B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  <w:jc w:val="center"/>
        </w:trPr>
        <w:tc>
          <w:tcPr>
            <w:tcW w:w="1783" w:type="dxa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39E59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lang w:val="en-US" w:eastAsia="zh-CN"/>
              </w:rPr>
              <w:t>其他优势</w:t>
            </w:r>
          </w:p>
        </w:tc>
        <w:tc>
          <w:tcPr>
            <w:tcW w:w="6521" w:type="dxa"/>
            <w:gridSpan w:val="9"/>
            <w:tcBorders>
              <w:top w:val="single" w:color="444444" w:sz="6" w:space="0"/>
              <w:left w:val="single" w:color="444444" w:sz="6" w:space="0"/>
              <w:bottom w:val="single" w:color="444444" w:sz="6" w:space="0"/>
              <w:right w:val="single" w:color="444444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DA810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</w:rPr>
              <w:t>（包括但不限于团队培养、产业导入、投研分享等）</w:t>
            </w:r>
          </w:p>
        </w:tc>
      </w:tr>
    </w:tbl>
    <w:p w14:paraId="3E45C3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</w:t>
      </w:r>
    </w:p>
    <w:p w14:paraId="5E82B2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cs="宋体"/>
          <w:sz w:val="24"/>
          <w:szCs w:val="24"/>
          <w:lang w:eastAsia="zh-CN"/>
        </w:rPr>
        <w:t>上述信息表格如果填不下，可另加附页，但需明确资料页码。</w:t>
      </w:r>
    </w:p>
    <w:p w14:paraId="5F387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“收益分配”需明确门槛收益，并简要说明收益分配方式（以先回本后分利为基础）。</w:t>
      </w:r>
    </w:p>
    <w:p w14:paraId="1B008D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子基金管理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公司</w:t>
      </w:r>
      <w:r>
        <w:rPr>
          <w:rFonts w:hint="eastAsia" w:ascii="宋体" w:hAnsi="宋体" w:eastAsia="宋体" w:cs="宋体"/>
          <w:sz w:val="24"/>
          <w:szCs w:val="24"/>
        </w:rPr>
        <w:t>在提交基金申报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材料</w:t>
      </w:r>
      <w:r>
        <w:rPr>
          <w:rFonts w:hint="eastAsia" w:ascii="宋体" w:hAnsi="宋体" w:eastAsia="宋体" w:cs="宋体"/>
          <w:sz w:val="24"/>
          <w:szCs w:val="24"/>
        </w:rPr>
        <w:t>时，应至少已经募集到拟设立子基金总规模</w:t>
      </w: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0%的资金（不含</w:t>
      </w:r>
      <w:r>
        <w:rPr>
          <w:rFonts w:hint="eastAsia" w:ascii="宋体" w:hAnsi="宋体" w:cs="宋体"/>
          <w:sz w:val="24"/>
          <w:szCs w:val="24"/>
          <w:lang w:val="en-US" w:eastAsia="zh-CN"/>
        </w:rPr>
        <w:t>上饶市现代产业引导基金（有限合伙）</w:t>
      </w:r>
      <w:r>
        <w:rPr>
          <w:rFonts w:hint="eastAsia" w:ascii="宋体" w:hAnsi="宋体" w:eastAsia="宋体" w:cs="宋体"/>
          <w:sz w:val="24"/>
          <w:szCs w:val="24"/>
        </w:rPr>
        <w:t>出资部分），并提供拟出资人的出资承诺</w:t>
      </w:r>
      <w:r>
        <w:rPr>
          <w:rFonts w:hint="eastAsia" w:ascii="宋体" w:hAnsi="宋体" w:cs="宋体"/>
          <w:sz w:val="24"/>
          <w:szCs w:val="24"/>
          <w:lang w:val="en-US" w:eastAsia="zh-CN"/>
        </w:rPr>
        <w:t>/意向</w:t>
      </w:r>
      <w:r>
        <w:rPr>
          <w:rFonts w:hint="eastAsia" w:ascii="宋体" w:hAnsi="宋体" w:eastAsia="宋体" w:cs="宋体"/>
          <w:sz w:val="24"/>
          <w:szCs w:val="24"/>
        </w:rPr>
        <w:t>函、出资能力证明等材料。</w:t>
      </w:r>
    </w:p>
    <w:p w14:paraId="124E8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出资人性质为：自然人、国有企业、国家级母基金、上市公司等</w:t>
      </w:r>
    </w:p>
    <w:p w14:paraId="175001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5.请提供基金结构图。</w:t>
      </w:r>
    </w:p>
    <w:p w14:paraId="2079B936">
      <w:pPr>
        <w:rPr>
          <w:rFonts w:hint="eastAsia" w:ascii="宋体" w:hAnsi="宋体" w:eastAsia="宋体"/>
          <w:b w:val="0"/>
          <w:bCs/>
          <w:sz w:val="24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/>
          <w:sz w:val="24"/>
          <w:szCs w:val="21"/>
          <w:lang w:val="en-US" w:eastAsia="zh-CN"/>
        </w:rPr>
        <w:br w:type="page"/>
      </w:r>
    </w:p>
    <w:p w14:paraId="3CC0FCBE">
      <w:pPr>
        <w:spacing w:line="560" w:lineRule="exact"/>
        <w:jc w:val="center"/>
        <w:rPr>
          <w:rFonts w:ascii="宋体" w:hAnsi="宋体"/>
          <w:sz w:val="24"/>
        </w:rPr>
      </w:pPr>
      <w:r>
        <w:rPr>
          <w:rFonts w:ascii="宋体" w:hAnsi="宋体"/>
          <w:b/>
          <w:kern w:val="0"/>
          <w:sz w:val="32"/>
          <w:szCs w:val="32"/>
        </w:rPr>
        <w:t>储备项目情况表</w:t>
      </w:r>
    </w:p>
    <w:tbl>
      <w:tblPr>
        <w:tblStyle w:val="6"/>
        <w:tblW w:w="91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555"/>
        <w:gridCol w:w="522"/>
        <w:gridCol w:w="588"/>
        <w:gridCol w:w="621"/>
        <w:gridCol w:w="621"/>
        <w:gridCol w:w="697"/>
        <w:gridCol w:w="625"/>
        <w:gridCol w:w="563"/>
        <w:gridCol w:w="937"/>
        <w:gridCol w:w="900"/>
        <w:gridCol w:w="558"/>
        <w:gridCol w:w="697"/>
        <w:gridCol w:w="697"/>
      </w:tblGrid>
      <w:tr w14:paraId="71CB1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555" w:type="dxa"/>
            <w:vAlign w:val="center"/>
          </w:tcPr>
          <w:p w14:paraId="5D39A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项目名称</w:t>
            </w:r>
          </w:p>
        </w:tc>
        <w:tc>
          <w:tcPr>
            <w:tcW w:w="555" w:type="dxa"/>
            <w:vAlign w:val="center"/>
          </w:tcPr>
          <w:p w14:paraId="3F0306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所属行业</w:t>
            </w:r>
          </w:p>
        </w:tc>
        <w:tc>
          <w:tcPr>
            <w:tcW w:w="522" w:type="dxa"/>
            <w:vAlign w:val="center"/>
          </w:tcPr>
          <w:p w14:paraId="4A3C3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注册地</w:t>
            </w:r>
          </w:p>
        </w:tc>
        <w:tc>
          <w:tcPr>
            <w:tcW w:w="588" w:type="dxa"/>
            <w:vAlign w:val="center"/>
          </w:tcPr>
          <w:p w14:paraId="0456D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拟投资金额</w:t>
            </w:r>
          </w:p>
        </w:tc>
        <w:tc>
          <w:tcPr>
            <w:tcW w:w="621" w:type="dxa"/>
            <w:vAlign w:val="center"/>
          </w:tcPr>
          <w:p w14:paraId="42AD3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项目情况简介</w:t>
            </w:r>
          </w:p>
        </w:tc>
        <w:tc>
          <w:tcPr>
            <w:tcW w:w="621" w:type="dxa"/>
            <w:vAlign w:val="center"/>
          </w:tcPr>
          <w:p w14:paraId="51E74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项目所处阶段</w:t>
            </w:r>
          </w:p>
        </w:tc>
        <w:tc>
          <w:tcPr>
            <w:tcW w:w="697" w:type="dxa"/>
            <w:vAlign w:val="center"/>
          </w:tcPr>
          <w:p w14:paraId="098EA0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营收</w:t>
            </w:r>
          </w:p>
        </w:tc>
        <w:tc>
          <w:tcPr>
            <w:tcW w:w="625" w:type="dxa"/>
            <w:vAlign w:val="center"/>
          </w:tcPr>
          <w:p w14:paraId="4E745C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净利润</w:t>
            </w:r>
          </w:p>
        </w:tc>
        <w:tc>
          <w:tcPr>
            <w:tcW w:w="563" w:type="dxa"/>
            <w:vAlign w:val="center"/>
          </w:tcPr>
          <w:p w14:paraId="707B02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资产负债率</w:t>
            </w:r>
          </w:p>
        </w:tc>
        <w:tc>
          <w:tcPr>
            <w:tcW w:w="937" w:type="dxa"/>
            <w:vAlign w:val="center"/>
          </w:tcPr>
          <w:p w14:paraId="460698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项目跟踪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阶段</w:t>
            </w:r>
          </w:p>
        </w:tc>
        <w:tc>
          <w:tcPr>
            <w:tcW w:w="900" w:type="dxa"/>
            <w:vAlign w:val="center"/>
          </w:tcPr>
          <w:p w14:paraId="7062E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投资价值分析</w:t>
            </w:r>
          </w:p>
        </w:tc>
        <w:tc>
          <w:tcPr>
            <w:tcW w:w="558" w:type="dxa"/>
            <w:vAlign w:val="center"/>
          </w:tcPr>
          <w:p w14:paraId="78C13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本轮融资目的</w:t>
            </w:r>
          </w:p>
        </w:tc>
        <w:tc>
          <w:tcPr>
            <w:tcW w:w="697" w:type="dxa"/>
            <w:vAlign w:val="center"/>
          </w:tcPr>
          <w:p w14:paraId="6402E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拟落地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上饶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的意愿</w:t>
            </w:r>
          </w:p>
        </w:tc>
        <w:tc>
          <w:tcPr>
            <w:tcW w:w="697" w:type="dxa"/>
            <w:vAlign w:val="center"/>
          </w:tcPr>
          <w:p w14:paraId="65630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已签署意向合作协议的情况</w:t>
            </w:r>
          </w:p>
        </w:tc>
      </w:tr>
      <w:tr w14:paraId="4DEA8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55" w:type="dxa"/>
            <w:vAlign w:val="center"/>
          </w:tcPr>
          <w:p w14:paraId="7C6BA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5" w:type="dxa"/>
            <w:vAlign w:val="center"/>
          </w:tcPr>
          <w:p w14:paraId="4E45AD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2" w:type="dxa"/>
            <w:vAlign w:val="center"/>
          </w:tcPr>
          <w:p w14:paraId="2E8B3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8" w:type="dxa"/>
            <w:vAlign w:val="center"/>
          </w:tcPr>
          <w:p w14:paraId="25DDD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1" w:type="dxa"/>
            <w:vAlign w:val="center"/>
          </w:tcPr>
          <w:p w14:paraId="7CFA7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1" w:type="dxa"/>
            <w:vAlign w:val="center"/>
          </w:tcPr>
          <w:p w14:paraId="07908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 w14:paraId="359915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625" w:type="dxa"/>
            <w:vAlign w:val="center"/>
          </w:tcPr>
          <w:p w14:paraId="51C22B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63" w:type="dxa"/>
            <w:vAlign w:val="center"/>
          </w:tcPr>
          <w:p w14:paraId="6529C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310B1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43A2B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8" w:type="dxa"/>
            <w:vAlign w:val="center"/>
          </w:tcPr>
          <w:p w14:paraId="319B9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 w14:paraId="70898E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 w14:paraId="72C98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73282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555" w:type="dxa"/>
            <w:vAlign w:val="center"/>
          </w:tcPr>
          <w:p w14:paraId="42087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5" w:type="dxa"/>
            <w:vAlign w:val="center"/>
          </w:tcPr>
          <w:p w14:paraId="77B176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2" w:type="dxa"/>
            <w:vAlign w:val="center"/>
          </w:tcPr>
          <w:p w14:paraId="6535A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8" w:type="dxa"/>
            <w:vAlign w:val="center"/>
          </w:tcPr>
          <w:p w14:paraId="16374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1" w:type="dxa"/>
            <w:vAlign w:val="center"/>
          </w:tcPr>
          <w:p w14:paraId="6349A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1" w:type="dxa"/>
            <w:vAlign w:val="center"/>
          </w:tcPr>
          <w:p w14:paraId="3CD7D9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 w14:paraId="3B114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5" w:type="dxa"/>
            <w:vAlign w:val="center"/>
          </w:tcPr>
          <w:p w14:paraId="601BC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63" w:type="dxa"/>
            <w:vAlign w:val="center"/>
          </w:tcPr>
          <w:p w14:paraId="1F38F2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678D6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AA36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8" w:type="dxa"/>
            <w:vAlign w:val="center"/>
          </w:tcPr>
          <w:p w14:paraId="3C1D4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 w14:paraId="29596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 w14:paraId="6A4162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20EE6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555" w:type="dxa"/>
            <w:vAlign w:val="center"/>
          </w:tcPr>
          <w:p w14:paraId="6A2CB7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5" w:type="dxa"/>
            <w:vAlign w:val="center"/>
          </w:tcPr>
          <w:p w14:paraId="5A0DD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2" w:type="dxa"/>
            <w:vAlign w:val="center"/>
          </w:tcPr>
          <w:p w14:paraId="03EE7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8" w:type="dxa"/>
            <w:vAlign w:val="center"/>
          </w:tcPr>
          <w:p w14:paraId="3CD559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1" w:type="dxa"/>
            <w:vAlign w:val="center"/>
          </w:tcPr>
          <w:p w14:paraId="4AB1D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1" w:type="dxa"/>
            <w:vAlign w:val="center"/>
          </w:tcPr>
          <w:p w14:paraId="7B3E7F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 w14:paraId="2127F1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5" w:type="dxa"/>
            <w:vAlign w:val="center"/>
          </w:tcPr>
          <w:p w14:paraId="48F71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63" w:type="dxa"/>
            <w:vAlign w:val="center"/>
          </w:tcPr>
          <w:p w14:paraId="19B129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18FB0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7BFA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8" w:type="dxa"/>
            <w:vAlign w:val="center"/>
          </w:tcPr>
          <w:p w14:paraId="285E4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 w14:paraId="76676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 w14:paraId="2A56D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113B6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555" w:type="dxa"/>
            <w:vAlign w:val="center"/>
          </w:tcPr>
          <w:p w14:paraId="5AEB6E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5" w:type="dxa"/>
            <w:vAlign w:val="center"/>
          </w:tcPr>
          <w:p w14:paraId="1F8F0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22" w:type="dxa"/>
            <w:vAlign w:val="center"/>
          </w:tcPr>
          <w:p w14:paraId="41D99B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88" w:type="dxa"/>
            <w:vAlign w:val="center"/>
          </w:tcPr>
          <w:p w14:paraId="2A7EE9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1" w:type="dxa"/>
            <w:vAlign w:val="center"/>
          </w:tcPr>
          <w:p w14:paraId="12B898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1" w:type="dxa"/>
            <w:vAlign w:val="center"/>
          </w:tcPr>
          <w:p w14:paraId="58504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 w14:paraId="6211B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25" w:type="dxa"/>
            <w:vAlign w:val="center"/>
          </w:tcPr>
          <w:p w14:paraId="32CA3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63" w:type="dxa"/>
            <w:vAlign w:val="center"/>
          </w:tcPr>
          <w:p w14:paraId="2A2CE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37" w:type="dxa"/>
            <w:vAlign w:val="center"/>
          </w:tcPr>
          <w:p w14:paraId="7AFF10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FA789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58" w:type="dxa"/>
            <w:vAlign w:val="center"/>
          </w:tcPr>
          <w:p w14:paraId="0DC90F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 w14:paraId="7F7DB4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697" w:type="dxa"/>
            <w:vAlign w:val="center"/>
          </w:tcPr>
          <w:p w14:paraId="2E05B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7FC220CD">
      <w:pPr>
        <w:pStyle w:val="3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0" w:firstLineChars="0"/>
        <w:textAlignment w:val="auto"/>
        <w:rPr>
          <w:rFonts w:hint="eastAsia" w:ascii="宋体" w:hAnsi="宋体" w:eastAsia="宋体" w:cs="宋体"/>
          <w:bCs/>
          <w:sz w:val="24"/>
          <w:szCs w:val="24"/>
        </w:rPr>
      </w:pPr>
      <w:r>
        <w:rPr>
          <w:rFonts w:hint="eastAsia" w:ascii="宋体" w:hAnsi="宋体" w:eastAsia="宋体" w:cs="宋体"/>
          <w:bCs/>
          <w:sz w:val="24"/>
          <w:szCs w:val="24"/>
        </w:rPr>
        <w:t>注：</w:t>
      </w:r>
    </w:p>
    <w:p w14:paraId="38838D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1.“项目名称”请填写全称。</w:t>
      </w:r>
    </w:p>
    <w:p w14:paraId="432574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</w:rPr>
        <w:t>2.“所属行业”参考中国证监会上市公司行业分类指引。</w:t>
      </w:r>
    </w:p>
    <w:p w14:paraId="70B4701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3.“项目所处阶段”请填写种子期、初创期、成长期等。</w:t>
      </w:r>
    </w:p>
    <w:p w14:paraId="22C114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4.营收、净利润、资产负债率提供最近一期的年度数据。</w:t>
      </w:r>
    </w:p>
    <w:p w14:paraId="78A562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  <w:rPr>
          <w:rFonts w:hint="eastAsia" w:ascii="宋体" w:hAnsi="宋体" w:cs="宋体"/>
          <w:color w:val="000000"/>
          <w:kern w:val="2"/>
          <w:sz w:val="24"/>
          <w:szCs w:val="24"/>
          <w:highlight w:val="none"/>
          <w:lang w:val="en-US" w:eastAsia="zh-CN" w:bidi="ar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.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提供不少于子基金首期</w:t>
      </w:r>
      <w:r>
        <w:rPr>
          <w:rFonts w:hint="eastAsia" w:ascii="宋体" w:hAnsi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实缴规模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50%的储备投资项目</w:t>
      </w:r>
      <w:r>
        <w:rPr>
          <w:rFonts w:hint="eastAsia" w:ascii="宋体" w:hAnsi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应该具备实质项目清单及拟投资项目资料，储备项目与子基金投资策略和领域相匹配，拟投资项目应该具备实质性进展，如已完成初步尽调、已有落地</w:t>
      </w:r>
      <w:r>
        <w:rPr>
          <w:rFonts w:hint="eastAsia" w:ascii="宋体" w:hAnsi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上饶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的强烈意愿、已签订投资意向协议等</w:t>
      </w:r>
      <w:r>
        <w:rPr>
          <w:rFonts w:hint="eastAsia" w:ascii="宋体" w:hAnsi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；</w:t>
      </w:r>
    </w:p>
    <w:p w14:paraId="00F4F0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textAlignment w:val="auto"/>
      </w:pPr>
      <w:r>
        <w:rPr>
          <w:rFonts w:hint="eastAsia" w:ascii="宋体" w:hAnsi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6.储备项目中至少1（含）以上与落地政府签订了意向协议。</w:t>
      </w:r>
    </w:p>
    <w:p w14:paraId="614862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wZDJkZGY3ZmY4OTU3ODkxNWQ1YzliNWE0NjlkNGMifQ=="/>
    <w:docVar w:name="KSO_WPS_MARK_KEY" w:val="e36cfe6b-20dd-4584-8da6-ebeb3602153b"/>
  </w:docVars>
  <w:rsids>
    <w:rsidRoot w:val="00000000"/>
    <w:rsid w:val="02C16816"/>
    <w:rsid w:val="03265180"/>
    <w:rsid w:val="042C0B64"/>
    <w:rsid w:val="07D22FE3"/>
    <w:rsid w:val="0A5847B8"/>
    <w:rsid w:val="0A9B5F1B"/>
    <w:rsid w:val="0AAF12B7"/>
    <w:rsid w:val="127C4394"/>
    <w:rsid w:val="159E4522"/>
    <w:rsid w:val="177E2F9C"/>
    <w:rsid w:val="17FA7705"/>
    <w:rsid w:val="195F670B"/>
    <w:rsid w:val="1E3649B9"/>
    <w:rsid w:val="1F460C2C"/>
    <w:rsid w:val="21A433D9"/>
    <w:rsid w:val="21D00610"/>
    <w:rsid w:val="22EA1EC4"/>
    <w:rsid w:val="2393640A"/>
    <w:rsid w:val="24BD373E"/>
    <w:rsid w:val="284C3770"/>
    <w:rsid w:val="298E38FB"/>
    <w:rsid w:val="2B8F4C2E"/>
    <w:rsid w:val="2FCE6088"/>
    <w:rsid w:val="32D4660A"/>
    <w:rsid w:val="35727E08"/>
    <w:rsid w:val="3BBD597A"/>
    <w:rsid w:val="3CCF005B"/>
    <w:rsid w:val="4AAA733B"/>
    <w:rsid w:val="4B781645"/>
    <w:rsid w:val="4BEF7DD1"/>
    <w:rsid w:val="53F262BF"/>
    <w:rsid w:val="540E0272"/>
    <w:rsid w:val="5BEC7506"/>
    <w:rsid w:val="608F34D9"/>
    <w:rsid w:val="61CC0192"/>
    <w:rsid w:val="636B1FDC"/>
    <w:rsid w:val="64A01811"/>
    <w:rsid w:val="65693613"/>
    <w:rsid w:val="68AB28E3"/>
    <w:rsid w:val="694C471F"/>
    <w:rsid w:val="699D6C67"/>
    <w:rsid w:val="6EC2716E"/>
    <w:rsid w:val="737369F5"/>
    <w:rsid w:val="7706157E"/>
    <w:rsid w:val="787E1A12"/>
    <w:rsid w:val="7A500BB8"/>
    <w:rsid w:val="7B3665D4"/>
    <w:rsid w:val="7CF84488"/>
    <w:rsid w:val="7D4E48E8"/>
    <w:rsid w:val="7DDB3462"/>
    <w:rsid w:val="7F135CE0"/>
    <w:rsid w:val="7FBC5E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列表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2104</Words>
  <Characters>2141</Characters>
  <Lines>0</Lines>
  <Paragraphs>0</Paragraphs>
  <TotalTime>5</TotalTime>
  <ScaleCrop>false</ScaleCrop>
  <LinksUpToDate>false</LinksUpToDate>
  <CharactersWithSpaces>2207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15509</dc:creator>
  <cp:lastModifiedBy>劉文麒</cp:lastModifiedBy>
  <cp:lastPrinted>2024-11-04T02:33:30Z</cp:lastPrinted>
  <dcterms:modified xsi:type="dcterms:W3CDTF">2024-11-04T02:40:01Z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C89C9B660F54409A862D125A1DEFD83F</vt:lpwstr>
  </property>
</Properties>
</file>