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jc w:val="left"/>
        <w:rPr>
          <w:rFonts w:hint="default" w:ascii="Times New Roman" w:hAnsi="Times New Roman" w:eastAsia="方正仿宋简体" w:cs="Times New Roman"/>
          <w:sz w:val="32"/>
          <w:szCs w:val="32"/>
          <w:lang w:val="en-US" w:eastAsia="zh-CN"/>
        </w:rPr>
      </w:pPr>
      <w:r>
        <w:rPr>
          <w:rFonts w:hint="eastAsia" w:ascii="Times New Roman" w:hAnsi="Times New Roman" w:eastAsia="方正仿宋简体" w:cs="Times New Roman"/>
          <w:sz w:val="32"/>
          <w:szCs w:val="32"/>
        </w:rPr>
        <w:t>附件</w:t>
      </w:r>
      <w:r>
        <w:rPr>
          <w:rFonts w:hint="eastAsia" w:ascii="Times New Roman" w:hAnsi="Times New Roman" w:eastAsia="方正仿宋简体" w:cs="Times New Roman"/>
          <w:sz w:val="32"/>
          <w:szCs w:val="32"/>
          <w:lang w:val="en-US" w:eastAsia="zh-CN"/>
        </w:rPr>
        <w:t>1-1</w:t>
      </w:r>
    </w:p>
    <w:p>
      <w:pPr>
        <w:jc w:val="center"/>
        <w:rPr>
          <w:rFonts w:hint="eastAsia" w:ascii="方正小标宋简体" w:hAnsi="宋体" w:eastAsia="方正小标宋简体" w:cs="Times New Roman"/>
          <w:b/>
          <w:bCs/>
          <w:sz w:val="36"/>
          <w:szCs w:val="36"/>
          <w:lang w:eastAsia="zh-CN"/>
        </w:rPr>
      </w:pPr>
      <w:r>
        <w:rPr>
          <w:rFonts w:hint="eastAsia" w:ascii="方正小标宋简体" w:hAnsi="宋体" w:eastAsia="方正小标宋简体" w:cs="Times New Roman"/>
          <w:b/>
          <w:bCs/>
          <w:sz w:val="36"/>
          <w:szCs w:val="36"/>
          <w:lang w:eastAsia="zh-CN"/>
        </w:rPr>
        <w:t>“</w:t>
      </w:r>
      <w:r>
        <w:rPr>
          <w:rFonts w:hint="eastAsia" w:ascii="方正小标宋简体" w:hAnsi="宋体" w:eastAsia="方正小标宋简体" w:cs="Times New Roman"/>
          <w:b/>
          <w:bCs/>
          <w:sz w:val="36"/>
          <w:szCs w:val="36"/>
          <w:lang w:val="en-US" w:eastAsia="zh-CN"/>
        </w:rPr>
        <w:t>院所</w:t>
      </w:r>
      <w:r>
        <w:rPr>
          <w:rFonts w:hint="eastAsia" w:ascii="方正小标宋简体" w:hAnsi="宋体" w:eastAsia="方正小标宋简体" w:cs="Times New Roman"/>
          <w:b/>
          <w:bCs/>
          <w:sz w:val="36"/>
          <w:szCs w:val="36"/>
          <w:lang w:eastAsia="zh-CN"/>
        </w:rPr>
        <w:t>”</w:t>
      </w:r>
      <w:r>
        <w:rPr>
          <w:rFonts w:hint="eastAsia" w:ascii="方正小标宋简体" w:hAnsi="宋体" w:eastAsia="方正小标宋简体" w:cs="Times New Roman"/>
          <w:b/>
          <w:bCs/>
          <w:sz w:val="36"/>
          <w:szCs w:val="36"/>
          <w:lang w:val="en-US" w:eastAsia="zh-CN"/>
        </w:rPr>
        <w:t>/</w:t>
      </w:r>
      <w:r>
        <w:rPr>
          <w:rFonts w:hint="eastAsia" w:ascii="方正小标宋简体" w:hAnsi="宋体" w:eastAsia="方正小标宋简体" w:cs="Times New Roman"/>
          <w:b/>
          <w:bCs/>
          <w:sz w:val="36"/>
          <w:szCs w:val="36"/>
          <w:lang w:eastAsia="zh-CN"/>
        </w:rPr>
        <w:t>“</w:t>
      </w:r>
      <w:r>
        <w:rPr>
          <w:rFonts w:hint="eastAsia" w:ascii="方正小标宋简体" w:hAnsi="宋体" w:eastAsia="方正小标宋简体" w:cs="Times New Roman"/>
          <w:b/>
          <w:bCs/>
          <w:sz w:val="36"/>
          <w:szCs w:val="36"/>
          <w:lang w:val="en-US" w:eastAsia="zh-CN"/>
        </w:rPr>
        <w:t>链主</w:t>
      </w:r>
      <w:r>
        <w:rPr>
          <w:rFonts w:hint="eastAsia" w:ascii="方正小标宋简体" w:hAnsi="宋体" w:eastAsia="方正小标宋简体" w:cs="Times New Roman"/>
          <w:b/>
          <w:bCs/>
          <w:sz w:val="36"/>
          <w:szCs w:val="36"/>
          <w:lang w:eastAsia="zh-CN"/>
        </w:rPr>
        <w:t>”</w:t>
      </w:r>
      <w:r>
        <w:rPr>
          <w:rFonts w:hint="eastAsia" w:ascii="方正小标宋简体" w:hAnsi="宋体" w:eastAsia="方正小标宋简体" w:cs="Times New Roman"/>
          <w:b/>
          <w:bCs/>
          <w:sz w:val="36"/>
          <w:szCs w:val="36"/>
          <w:lang w:val="en-US" w:eastAsia="zh-CN"/>
        </w:rPr>
        <w:t>/园区</w:t>
      </w:r>
      <w:r>
        <w:rPr>
          <w:rFonts w:hint="eastAsia" w:ascii="方正小标宋简体" w:hAnsi="宋体" w:eastAsia="方正小标宋简体" w:cs="Times New Roman"/>
          <w:b/>
          <w:bCs/>
          <w:sz w:val="36"/>
          <w:szCs w:val="36"/>
        </w:rPr>
        <w:t>子基金</w:t>
      </w:r>
      <w:r>
        <w:rPr>
          <w:rFonts w:hint="eastAsia" w:ascii="方正小标宋简体" w:hAnsi="宋体" w:eastAsia="方正小标宋简体" w:cs="Times New Roman"/>
          <w:b/>
          <w:bCs/>
          <w:sz w:val="36"/>
          <w:szCs w:val="36"/>
          <w:lang w:val="en-US" w:eastAsia="zh-CN"/>
        </w:rPr>
        <w:t>评分要点</w:t>
      </w:r>
    </w:p>
    <w:tbl>
      <w:tblPr>
        <w:tblW w:w="849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Layout w:type="fixed"/>
        <w:tblCellMar>
          <w:top w:w="0" w:type="dxa"/>
          <w:left w:w="108" w:type="dxa"/>
          <w:bottom w:w="0" w:type="dxa"/>
          <w:right w:w="108" w:type="dxa"/>
        </w:tblCellMar>
      </w:tblPr>
      <w:tblGrid>
        <w:gridCol w:w="1163"/>
        <w:gridCol w:w="2260"/>
        <w:gridCol w:w="50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tcBorders>
              <w:top w:val="single" w:color="000000" w:sz="8" w:space="0"/>
              <w:left w:val="single" w:color="000000" w:sz="8" w:space="0"/>
              <w:bottom w:val="nil"/>
              <w:right w:val="single" w:color="000000" w:sz="8" w:space="0"/>
            </w:tcBorders>
            <w:shd w:val="clear" w:color="auto" w:fill="E8E8E8"/>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bdr w:val="none" w:color="auto" w:sz="0" w:space="0"/>
                <w:lang w:val="en-US" w:eastAsia="zh-CN" w:bidi="ar"/>
              </w:rPr>
              <w:t>一级指标</w:t>
            </w:r>
          </w:p>
        </w:tc>
        <w:tc>
          <w:tcPr>
            <w:tcW w:w="2260" w:type="dxa"/>
            <w:tcBorders>
              <w:top w:val="single" w:color="000000" w:sz="8" w:space="0"/>
              <w:left w:val="nil"/>
              <w:bottom w:val="nil"/>
              <w:right w:val="single" w:color="000000" w:sz="8" w:space="0"/>
            </w:tcBorders>
            <w:shd w:val="clear" w:color="auto" w:fill="E8E8E8"/>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bdr w:val="none" w:color="auto" w:sz="0" w:space="0"/>
                <w:lang w:val="en-US" w:eastAsia="zh-CN" w:bidi="ar"/>
              </w:rPr>
              <w:t>二级指标</w:t>
            </w:r>
          </w:p>
        </w:tc>
        <w:tc>
          <w:tcPr>
            <w:tcW w:w="5067" w:type="dxa"/>
            <w:tcBorders>
              <w:top w:val="single" w:color="000000" w:sz="8" w:space="0"/>
              <w:left w:val="nil"/>
              <w:bottom w:val="nil"/>
              <w:right w:val="single" w:color="000000" w:sz="8" w:space="0"/>
            </w:tcBorders>
            <w:shd w:val="clear" w:color="auto" w:fill="E8E8E8"/>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bdr w:val="none" w:color="auto" w:sz="0" w:space="0"/>
                <w:lang w:val="en-US" w:eastAsia="zh-CN" w:bidi="ar"/>
              </w:rPr>
              <w:t>指标内容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机构实力（8分）</w:t>
            </w:r>
          </w:p>
        </w:tc>
        <w:tc>
          <w:tcPr>
            <w:tcW w:w="2260" w:type="dxa"/>
            <w:vMerge w:val="restart"/>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机构排名</w:t>
            </w:r>
          </w:p>
        </w:tc>
        <w:tc>
          <w:tcPr>
            <w:tcW w:w="5067"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1.近3年子基金管理机构进入清科、投中主榜单排名前50；</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2.近3年子基金管理机构进入与拟设基金投资方向一致的清科、投中细分榜单排名前10；</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 xml:space="preserve">双GP以子基金管理人或管理人所属投资平台为准。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84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restart"/>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团队稳</w:t>
            </w:r>
            <w:bookmarkStart w:id="0" w:name="_GoBack"/>
            <w:bookmarkEnd w:id="0"/>
            <w:r>
              <w:rPr>
                <w:rFonts w:hint="eastAsia" w:ascii="宋体" w:hAnsi="宋体" w:eastAsia="宋体" w:cs="宋体"/>
                <w:i w:val="0"/>
                <w:iCs w:val="0"/>
                <w:color w:val="000000"/>
                <w:kern w:val="0"/>
                <w:sz w:val="22"/>
                <w:szCs w:val="22"/>
                <w:u w:val="none"/>
                <w:bdr w:val="none" w:color="auto" w:sz="0" w:space="0"/>
                <w:lang w:val="en-US" w:eastAsia="zh-CN" w:bidi="ar"/>
              </w:rPr>
              <w:t>定</w:t>
            </w:r>
          </w:p>
        </w:tc>
        <w:tc>
          <w:tcPr>
            <w:tcW w:w="5067"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1.基金管理机构每两个共事3年以上的合伙人组合数</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2.子基金核心管理团队成员在管理公司或GP持股比例</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3.提供了明确的激励约束机制和跟投机制的</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4.过去5年离职的合伙人、MD、ED以上的人数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112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投资项目来源</w:t>
            </w:r>
          </w:p>
        </w:tc>
        <w:tc>
          <w:tcPr>
            <w:tcW w:w="5067"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管理机构与以下机构签署了战略合作协议（需在申报前签署）或成立合作平台（提供股权关系证明，双方合计占股需大于50%）：</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1.股权投资管理机构（在清科、投中最近一年综合排名前50）；</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2.上市及行业龙头企业；</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3.技术源头单位；</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4.国际知名技术转移机构；</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5.国家级科技企业孵化器。</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以上合作机构需与子基金主投方向一致。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840" w:hRule="atLeast"/>
        </w:trPr>
        <w:tc>
          <w:tcPr>
            <w:tcW w:w="1163"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团队能力（64分）</w:t>
            </w:r>
          </w:p>
        </w:tc>
        <w:tc>
          <w:tcPr>
            <w:tcW w:w="2260" w:type="dxa"/>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投资能力匹配度</w:t>
            </w:r>
          </w:p>
        </w:tc>
        <w:tc>
          <w:tcPr>
            <w:tcW w:w="50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本基金投资期内管理机构年度计划投资项目个数和金额，过去5年平均每年实际投资项目个数和金额</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restart"/>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投资效率</w:t>
            </w:r>
          </w:p>
        </w:tc>
        <w:tc>
          <w:tcPr>
            <w:tcW w:w="5067"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1.投资期结束，完成基金认缴规模85%的盲池基金的数量</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2.本基金投资期内管理机构年度计划投资金额和过去5年平均每年实际投资金额情况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restart"/>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领投能力</w:t>
            </w:r>
          </w:p>
        </w:tc>
        <w:tc>
          <w:tcPr>
            <w:tcW w:w="5067"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1.作为首两轮外部机构投资者的项目数量</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2.作为领投方项目占比情况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restart"/>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返投能力</w:t>
            </w:r>
          </w:p>
        </w:tc>
        <w:tc>
          <w:tcPr>
            <w:tcW w:w="5067"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子基金管理机构与地方引导基金合作经历：</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1.返投完成达到1.5倍的基金数</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2.和同一地方政府合作基金数量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84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restart"/>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成员构成</w:t>
            </w:r>
          </w:p>
        </w:tc>
        <w:tc>
          <w:tcPr>
            <w:tcW w:w="5067"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 子基金核心管理团队成员数量</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2. 子基金核心管理团队成员中有近5年获得清科、投中、财富等投资家排名前30的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84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restart"/>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投资经验</w:t>
            </w:r>
          </w:p>
        </w:tc>
        <w:tc>
          <w:tcPr>
            <w:tcW w:w="5067" w:type="dxa"/>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子基金配备有3名及以上具备3年及以上早期项目投资经验或相关行业经验的子基金核心管理团队成员的数量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84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子基金核心管理团队成员累计参与管理的创业投资或天使投资基金数量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 子基金核心管理团队成员累计管理创业投资基金实缴规模</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2. 子基金核心管理团队成员曾管理天使基金规模</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3. 子基金核心管理团队成员以自有资金及管理的基金累计投资天使类项目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84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84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子基金核心管理团队成员有子基金主投方向的投资数量及金额情况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84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84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restart"/>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投资业绩</w:t>
            </w:r>
          </w:p>
        </w:tc>
        <w:tc>
          <w:tcPr>
            <w:tcW w:w="5067" w:type="dxa"/>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子基金核心管理团队成员主导投资项目成功上市的、被上市公司并购的天使类项目数量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已投天使类项目获得后续轮融资的项目比率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84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子基金核心管理团队成员作为核心成员参与管理的基金，年均DPI（DPI/基金存续时间）达到0.16的基金数量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子基金核心管理团队成员实施的投资项目账面回报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84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子基金核心管理团队成员退出项目回收金额与主导投资项目投资金额</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16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子基金核心管理团队成员参与管理每支基金netIRR和IRR</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16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restart"/>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风控能力</w:t>
            </w:r>
          </w:p>
        </w:tc>
        <w:tc>
          <w:tcPr>
            <w:tcW w:w="5067"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1.管理机构风控负责人从事风控至少3年工作经验</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2.风控负责人有法律职业资格或注册会计师资格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1120" w:hRule="atLeast"/>
        </w:trPr>
        <w:tc>
          <w:tcPr>
            <w:tcW w:w="1163"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基金要素（18分）</w:t>
            </w:r>
          </w:p>
        </w:tc>
        <w:tc>
          <w:tcPr>
            <w:tcW w:w="2260" w:type="dxa"/>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募资进展</w:t>
            </w:r>
          </w:p>
        </w:tc>
        <w:tc>
          <w:tcPr>
            <w:tcW w:w="5067" w:type="dxa"/>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子基金已募集资金规模（以提供出资意向函或出资确认函等证明材料的为准），提供的出资意向函在签署LPA时至少20%不能变动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84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restart"/>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LP结构</w:t>
            </w:r>
          </w:p>
        </w:tc>
        <w:tc>
          <w:tcPr>
            <w:tcW w:w="5067"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子基金拟出资LP中（需提供出资意向函或出资确认函证明材料）包括以下类型的：</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1.上市及行业龙头企业（与拟设基金投资方向一致）；</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2.技术源头单位；</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3.国际知名技术转移机构；</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4.国家级科技企业孵化器。</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5.知名榜单LP：投中（最佳母基金、最佳创业投资领域有限合伙人）、融中（最佳市场化母基金、最佳机构投资人、最佳险资LP、最佳券商母基金）、母基金研究中心（最佳国资市场化母基金、最佳外资母基金、最佳民营市场化母基金、最佳险资LP）等榜单上榜机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19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84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restart"/>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储备项目</w:t>
            </w:r>
          </w:p>
        </w:tc>
        <w:tc>
          <w:tcPr>
            <w:tcW w:w="5067" w:type="dxa"/>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对子基金储备项目（具备完整项目要素）拟投资总额</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子基金管理机构拟投资引入成都高新区的储备项目个数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restart"/>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团队出资</w:t>
            </w:r>
          </w:p>
        </w:tc>
        <w:tc>
          <w:tcPr>
            <w:tcW w:w="5067"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GP或管理人及其子基金核心管理团队成员在子基金的出资比例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restart"/>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方案有利程度</w:t>
            </w:r>
          </w:p>
        </w:tc>
        <w:tc>
          <w:tcPr>
            <w:tcW w:w="5067"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1.母基金出资放大倍数</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2.管理费</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3.收益分配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1120" w:hRule="atLeast"/>
        </w:trPr>
        <w:tc>
          <w:tcPr>
            <w:tcW w:w="1163"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本地活跃度（10分）</w:t>
            </w:r>
          </w:p>
        </w:tc>
        <w:tc>
          <w:tcPr>
            <w:tcW w:w="2260" w:type="dxa"/>
            <w:vMerge w:val="restart"/>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本地项目投资情况</w:t>
            </w:r>
          </w:p>
        </w:tc>
        <w:tc>
          <w:tcPr>
            <w:tcW w:w="5067"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重点支持深耕本地、有投资本地项目业绩的基金，子基金管理机构管理基金（或子基金核心管理团队成员以自有资金或管理资金）过往曾投资注册地于成都高新区内项目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8490" w:type="dxa"/>
            <w:gridSpan w:val="3"/>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合计分值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加分项（10分）</w:t>
            </w:r>
          </w:p>
        </w:tc>
        <w:tc>
          <w:tcPr>
            <w:tcW w:w="2260"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与“院所”“链主”联结</w:t>
            </w:r>
          </w:p>
        </w:tc>
        <w:tc>
          <w:tcPr>
            <w:tcW w:w="5067"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1.与“院所”联结机制</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（1）“院所”（包括其实际控制的主体）或其关联方参股子基金管理机构，且持股比例不低于20%；</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（2）“院所”（包括其实际控制的主体）或其关联方作为LP在子基金中出资不低于20%；</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（3）“院所”（包括其实际控制的主体）或其关联方在子基金中出资不低于10%，且担任普通合伙人或SLP，并派员参与子基金投资决策。</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2.与“链主”联结机制</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（1）“链主”（包括其实际控制的主体）或其关联方参股子基金管理机构，且持股比例不低于20%；</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（2）“链主”（包括其实际控制的主体）或其关联方作为LP在子基金中出资不低于30%；</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（3）“链主”（包括其实际控制的主体）或其关联方在子基金中出资不低于10%，且担任普通合伙人或SLP，并派员参与子基金投资决策。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84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84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112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84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84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112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84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5067"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1.过往投资“院所”衍生、孵化的科技成果转化项目或技术转移项目；或“链主”关联的项目数量；</w:t>
            </w:r>
            <w:r>
              <w:rPr>
                <w:rFonts w:hint="eastAsia" w:ascii="宋体" w:hAnsi="宋体" w:eastAsia="宋体" w:cs="宋体"/>
                <w:i w:val="0"/>
                <w:iCs w:val="0"/>
                <w:color w:val="000000"/>
                <w:kern w:val="0"/>
                <w:sz w:val="22"/>
                <w:szCs w:val="22"/>
                <w:u w:val="none"/>
                <w:bdr w:val="none" w:color="auto" w:sz="0" w:space="0"/>
                <w:lang w:val="en-US" w:eastAsia="zh-CN" w:bidi="ar"/>
              </w:rPr>
              <w:br w:type="textWrapping"/>
            </w:r>
            <w:r>
              <w:rPr>
                <w:rFonts w:hint="eastAsia" w:ascii="宋体" w:hAnsi="宋体" w:eastAsia="宋体" w:cs="宋体"/>
                <w:i w:val="0"/>
                <w:iCs w:val="0"/>
                <w:color w:val="000000"/>
                <w:kern w:val="0"/>
                <w:sz w:val="22"/>
                <w:szCs w:val="22"/>
                <w:u w:val="none"/>
                <w:bdr w:val="none" w:color="auto" w:sz="0" w:space="0"/>
                <w:lang w:val="en-US" w:eastAsia="zh-CN" w:bidi="ar"/>
              </w:rPr>
              <w:t>2.过往与“院所”“链主”合作基金的数量（需提供基金合伙协议等参与证明）。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1163"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扣分项（10分）</w:t>
            </w:r>
          </w:p>
        </w:tc>
        <w:tc>
          <w:tcPr>
            <w:tcW w:w="2260" w:type="dxa"/>
            <w:vMerge w:val="restart"/>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在管规模</w:t>
            </w:r>
          </w:p>
        </w:tc>
        <w:tc>
          <w:tcPr>
            <w:tcW w:w="5067" w:type="dxa"/>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管理机构中子基金核心管理团队成员人均在管尚未对外投资的基金规模/</w:t>
            </w:r>
            <w:r>
              <w:rPr>
                <w:rStyle w:val="18"/>
                <w:bdr w:val="none" w:color="auto" w:sz="0" w:space="0"/>
                <w:lang w:val="en-US" w:eastAsia="zh-CN" w:bidi="ar"/>
              </w:rPr>
              <w:t>历年人均年投资金额</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1163"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2"/>
                <w:szCs w:val="22"/>
                <w:u w:val="none"/>
              </w:rPr>
            </w:pPr>
          </w:p>
        </w:tc>
        <w:tc>
          <w:tcPr>
            <w:tcW w:w="2260" w:type="dxa"/>
            <w:vMerge w:val="continue"/>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2"/>
                <w:szCs w:val="22"/>
                <w:u w:val="none"/>
              </w:rPr>
            </w:pPr>
          </w:p>
        </w:tc>
        <w:tc>
          <w:tcPr>
            <w:tcW w:w="5067" w:type="dxa"/>
            <w:vMerge w:val="continue"/>
            <w:tcBorders>
              <w:top w:val="single" w:color="000000" w:sz="4" w:space="0"/>
              <w:left w:val="single" w:color="000000" w:sz="4" w:space="0"/>
              <w:bottom w:val="single" w:color="000000" w:sz="4" w:space="0"/>
              <w:right w:val="single" w:color="000000" w:sz="4" w:space="0"/>
            </w:tcBorders>
            <w:shd w:val="clear"/>
            <w:vAlign w:val="center"/>
          </w:tcPr>
          <w:p>
            <w:pPr>
              <w:jc w:val="both"/>
              <w:rPr>
                <w:rFonts w:hint="eastAsia" w:ascii="宋体" w:hAnsi="宋体" w:eastAsia="宋体" w:cs="宋体"/>
                <w:i w:val="0"/>
                <w:iCs w:val="0"/>
                <w:color w:val="000000"/>
                <w:sz w:val="22"/>
                <w:szCs w:val="22"/>
                <w:u w:val="none"/>
              </w:rPr>
            </w:pPr>
          </w:p>
        </w:tc>
      </w:tr>
    </w:tbl>
    <w:p>
      <w:pPr>
        <w:widowControl/>
        <w:jc w:val="left"/>
        <w:rPr>
          <w:rFonts w:hint="default" w:ascii="Times New Roman" w:hAnsi="Times New Roman" w:eastAsia="方正仿宋简体" w:cs="Times New Roman"/>
          <w:sz w:val="32"/>
          <w:szCs w:val="32"/>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E0209198-273F-438E-B679-54AC064322AA}"/>
  </w:font>
  <w:font w:name="Arial">
    <w:panose1 w:val="020B0604020202020204"/>
    <w:charset w:val="01"/>
    <w:family w:val="swiss"/>
    <w:pitch w:val="default"/>
    <w:sig w:usb0="E0002EFF" w:usb1="C000785B" w:usb2="00000009" w:usb3="00000000" w:csb0="400001FF" w:csb1="FFFF0000"/>
    <w:embedRegular r:id="rId2" w:fontKey="{31DE905A-3E7F-4E88-A344-96A3B297E0F5}"/>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047ED895-9AE4-463C-870E-80D64B09D774}"/>
  </w:font>
  <w:font w:name="Symbol">
    <w:panose1 w:val="05050102010706020507"/>
    <w:charset w:val="02"/>
    <w:family w:val="roman"/>
    <w:pitch w:val="default"/>
    <w:sig w:usb0="00000000" w:usb1="00000000" w:usb2="00000000" w:usb3="00000000" w:csb0="80000000" w:csb1="00000000"/>
    <w:embedRegular r:id="rId4" w:fontKey="{6A86F2FE-00FD-439F-816A-0FB4180AF2D6}"/>
  </w:font>
  <w:font w:name="Calibri">
    <w:panose1 w:val="020F0502020204030204"/>
    <w:charset w:val="00"/>
    <w:family w:val="swiss"/>
    <w:pitch w:val="default"/>
    <w:sig w:usb0="E4002EFF" w:usb1="C200247B" w:usb2="00000009" w:usb3="00000000" w:csb0="200001FF" w:csb1="00000000"/>
    <w:embedRegular r:id="rId5" w:fontKey="{5DED3D35-1332-4664-84D2-990FB8F318B3}"/>
  </w:font>
  <w:font w:name="等线">
    <w:panose1 w:val="02010600030101010101"/>
    <w:charset w:val="86"/>
    <w:family w:val="auto"/>
    <w:pitch w:val="default"/>
    <w:sig w:usb0="A00002BF" w:usb1="38CF7CFA" w:usb2="00000016" w:usb3="00000000" w:csb0="0004000F" w:csb1="00000000"/>
  </w:font>
  <w:font w:name="方正仿宋简体">
    <w:panose1 w:val="03000509000000000000"/>
    <w:charset w:val="86"/>
    <w:family w:val="script"/>
    <w:pitch w:val="default"/>
    <w:sig w:usb0="00000001" w:usb1="080E0000" w:usb2="00000000" w:usb3="00000000" w:csb0="00040000" w:csb1="00000000"/>
    <w:embedRegular r:id="rId6" w:fontKey="{62F17FEB-1D97-43AD-8323-6EC7693843CC}"/>
  </w:font>
  <w:font w:name="方正小标宋简体">
    <w:panose1 w:val="03000509000000000000"/>
    <w:charset w:val="86"/>
    <w:family w:val="script"/>
    <w:pitch w:val="default"/>
    <w:sig w:usb0="00000001" w:usb1="080E0000" w:usb2="00000000" w:usb3="00000000" w:csb0="00040000" w:csb1="00000000"/>
    <w:embedRegular r:id="rId7" w:fontKey="{0772D434-52CC-4278-9997-E4DF0DDF813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TrueType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ViMjRlOGJiMDI0NjIzODkwYTA1NGVjZWU1ZWIyMzMifQ=="/>
    <w:docVar w:name="KSO_WPS_MARK_KEY" w:val="7cd38b28-71c5-4b2a-864c-a613007c5f23"/>
  </w:docVars>
  <w:rsids>
    <w:rsidRoot w:val="006202C4"/>
    <w:rsid w:val="00006135"/>
    <w:rsid w:val="00006575"/>
    <w:rsid w:val="00011550"/>
    <w:rsid w:val="00017C0D"/>
    <w:rsid w:val="00024D02"/>
    <w:rsid w:val="0004236A"/>
    <w:rsid w:val="000427B8"/>
    <w:rsid w:val="0005121D"/>
    <w:rsid w:val="000529BA"/>
    <w:rsid w:val="00064E8C"/>
    <w:rsid w:val="00065341"/>
    <w:rsid w:val="000660B6"/>
    <w:rsid w:val="0006703D"/>
    <w:rsid w:val="00075B15"/>
    <w:rsid w:val="00083E32"/>
    <w:rsid w:val="0009505C"/>
    <w:rsid w:val="00095B35"/>
    <w:rsid w:val="000B2F99"/>
    <w:rsid w:val="000C1CE1"/>
    <w:rsid w:val="000C47DC"/>
    <w:rsid w:val="000D09E5"/>
    <w:rsid w:val="000D0AC0"/>
    <w:rsid w:val="000F3299"/>
    <w:rsid w:val="00114DC9"/>
    <w:rsid w:val="00130313"/>
    <w:rsid w:val="00132A97"/>
    <w:rsid w:val="00134887"/>
    <w:rsid w:val="00142078"/>
    <w:rsid w:val="00142650"/>
    <w:rsid w:val="001429DD"/>
    <w:rsid w:val="001431E2"/>
    <w:rsid w:val="001504B5"/>
    <w:rsid w:val="00156961"/>
    <w:rsid w:val="001618C7"/>
    <w:rsid w:val="001652A0"/>
    <w:rsid w:val="00166A53"/>
    <w:rsid w:val="00174F63"/>
    <w:rsid w:val="00176B45"/>
    <w:rsid w:val="001815D8"/>
    <w:rsid w:val="00184187"/>
    <w:rsid w:val="00187F60"/>
    <w:rsid w:val="001A230E"/>
    <w:rsid w:val="001A6AD5"/>
    <w:rsid w:val="001D36FE"/>
    <w:rsid w:val="001F0B92"/>
    <w:rsid w:val="002029F5"/>
    <w:rsid w:val="002047C5"/>
    <w:rsid w:val="002163AD"/>
    <w:rsid w:val="00220B09"/>
    <w:rsid w:val="00247006"/>
    <w:rsid w:val="00255E00"/>
    <w:rsid w:val="00284243"/>
    <w:rsid w:val="00285D61"/>
    <w:rsid w:val="0029670E"/>
    <w:rsid w:val="002A0705"/>
    <w:rsid w:val="002B17C2"/>
    <w:rsid w:val="002D48DF"/>
    <w:rsid w:val="002E0BA8"/>
    <w:rsid w:val="002E1BE8"/>
    <w:rsid w:val="002F320C"/>
    <w:rsid w:val="002F4C9D"/>
    <w:rsid w:val="00302A7F"/>
    <w:rsid w:val="00307B39"/>
    <w:rsid w:val="00312239"/>
    <w:rsid w:val="00340324"/>
    <w:rsid w:val="003407E8"/>
    <w:rsid w:val="003445F6"/>
    <w:rsid w:val="003864F7"/>
    <w:rsid w:val="003A0742"/>
    <w:rsid w:val="003A24AF"/>
    <w:rsid w:val="003E7ADD"/>
    <w:rsid w:val="003F3781"/>
    <w:rsid w:val="004006A6"/>
    <w:rsid w:val="004032B6"/>
    <w:rsid w:val="004120C1"/>
    <w:rsid w:val="0042558B"/>
    <w:rsid w:val="0042570D"/>
    <w:rsid w:val="00452F81"/>
    <w:rsid w:val="004541B6"/>
    <w:rsid w:val="004574E3"/>
    <w:rsid w:val="004575F6"/>
    <w:rsid w:val="00465C45"/>
    <w:rsid w:val="0046649C"/>
    <w:rsid w:val="00476B3A"/>
    <w:rsid w:val="0048132D"/>
    <w:rsid w:val="00487528"/>
    <w:rsid w:val="004A4ACC"/>
    <w:rsid w:val="004A5290"/>
    <w:rsid w:val="004C314E"/>
    <w:rsid w:val="004E010C"/>
    <w:rsid w:val="004E78CD"/>
    <w:rsid w:val="004F0DA8"/>
    <w:rsid w:val="00515AA3"/>
    <w:rsid w:val="0051735E"/>
    <w:rsid w:val="00521515"/>
    <w:rsid w:val="00527878"/>
    <w:rsid w:val="00530DE1"/>
    <w:rsid w:val="00536A0A"/>
    <w:rsid w:val="00542B51"/>
    <w:rsid w:val="005539DF"/>
    <w:rsid w:val="005765E1"/>
    <w:rsid w:val="005807E6"/>
    <w:rsid w:val="005808BC"/>
    <w:rsid w:val="005915A2"/>
    <w:rsid w:val="005E11C6"/>
    <w:rsid w:val="005E71F3"/>
    <w:rsid w:val="005F2E5B"/>
    <w:rsid w:val="006054AD"/>
    <w:rsid w:val="006056C1"/>
    <w:rsid w:val="00615E5B"/>
    <w:rsid w:val="006202C4"/>
    <w:rsid w:val="00625681"/>
    <w:rsid w:val="006265CF"/>
    <w:rsid w:val="0066113C"/>
    <w:rsid w:val="00676133"/>
    <w:rsid w:val="00680718"/>
    <w:rsid w:val="0068738E"/>
    <w:rsid w:val="006A7EFC"/>
    <w:rsid w:val="006D2FE1"/>
    <w:rsid w:val="006D3B4D"/>
    <w:rsid w:val="006E30D0"/>
    <w:rsid w:val="006F540D"/>
    <w:rsid w:val="0071579A"/>
    <w:rsid w:val="00734DB9"/>
    <w:rsid w:val="0074717C"/>
    <w:rsid w:val="007501C7"/>
    <w:rsid w:val="00760F72"/>
    <w:rsid w:val="00764C18"/>
    <w:rsid w:val="00773AAF"/>
    <w:rsid w:val="0077466D"/>
    <w:rsid w:val="007C02F3"/>
    <w:rsid w:val="007C1F4A"/>
    <w:rsid w:val="007D124A"/>
    <w:rsid w:val="007D552E"/>
    <w:rsid w:val="007D6952"/>
    <w:rsid w:val="007D6B80"/>
    <w:rsid w:val="00803E28"/>
    <w:rsid w:val="008168C6"/>
    <w:rsid w:val="008235DF"/>
    <w:rsid w:val="0083192D"/>
    <w:rsid w:val="00834DCC"/>
    <w:rsid w:val="00840B75"/>
    <w:rsid w:val="0085650F"/>
    <w:rsid w:val="008620F7"/>
    <w:rsid w:val="00873E77"/>
    <w:rsid w:val="0087422D"/>
    <w:rsid w:val="00876AA7"/>
    <w:rsid w:val="00891345"/>
    <w:rsid w:val="00892875"/>
    <w:rsid w:val="008A3BBE"/>
    <w:rsid w:val="008B3BC8"/>
    <w:rsid w:val="008C5186"/>
    <w:rsid w:val="008D30F0"/>
    <w:rsid w:val="008D37CD"/>
    <w:rsid w:val="008E2914"/>
    <w:rsid w:val="008E3DA4"/>
    <w:rsid w:val="008F1426"/>
    <w:rsid w:val="008F6A5F"/>
    <w:rsid w:val="009019DE"/>
    <w:rsid w:val="009058F6"/>
    <w:rsid w:val="009146FD"/>
    <w:rsid w:val="009206EE"/>
    <w:rsid w:val="00932C4A"/>
    <w:rsid w:val="009446CB"/>
    <w:rsid w:val="00954A17"/>
    <w:rsid w:val="00954E74"/>
    <w:rsid w:val="00977FF5"/>
    <w:rsid w:val="009832C8"/>
    <w:rsid w:val="00990B8C"/>
    <w:rsid w:val="009943A9"/>
    <w:rsid w:val="009C2FD2"/>
    <w:rsid w:val="009E680B"/>
    <w:rsid w:val="009E77E3"/>
    <w:rsid w:val="00A059A7"/>
    <w:rsid w:val="00A0697A"/>
    <w:rsid w:val="00A10DAC"/>
    <w:rsid w:val="00A1624E"/>
    <w:rsid w:val="00A234D7"/>
    <w:rsid w:val="00A24EB7"/>
    <w:rsid w:val="00A468D5"/>
    <w:rsid w:val="00A52577"/>
    <w:rsid w:val="00A645CB"/>
    <w:rsid w:val="00A65C78"/>
    <w:rsid w:val="00A75F63"/>
    <w:rsid w:val="00A76833"/>
    <w:rsid w:val="00A77EFB"/>
    <w:rsid w:val="00A804C8"/>
    <w:rsid w:val="00A84752"/>
    <w:rsid w:val="00AA302B"/>
    <w:rsid w:val="00AA5434"/>
    <w:rsid w:val="00AA5BCB"/>
    <w:rsid w:val="00AB57B5"/>
    <w:rsid w:val="00AD1B42"/>
    <w:rsid w:val="00AD3665"/>
    <w:rsid w:val="00AD3EE1"/>
    <w:rsid w:val="00AE686B"/>
    <w:rsid w:val="00AF56FF"/>
    <w:rsid w:val="00B00D7D"/>
    <w:rsid w:val="00B1194D"/>
    <w:rsid w:val="00B1367B"/>
    <w:rsid w:val="00B15C69"/>
    <w:rsid w:val="00B15FD5"/>
    <w:rsid w:val="00B23B2D"/>
    <w:rsid w:val="00B5472A"/>
    <w:rsid w:val="00B80A60"/>
    <w:rsid w:val="00B87C1D"/>
    <w:rsid w:val="00BA2C1A"/>
    <w:rsid w:val="00BB12C4"/>
    <w:rsid w:val="00BD6C0C"/>
    <w:rsid w:val="00BE0470"/>
    <w:rsid w:val="00C02E63"/>
    <w:rsid w:val="00C14745"/>
    <w:rsid w:val="00C2589F"/>
    <w:rsid w:val="00C264E5"/>
    <w:rsid w:val="00C32274"/>
    <w:rsid w:val="00C43CDC"/>
    <w:rsid w:val="00C611F4"/>
    <w:rsid w:val="00CA0EF0"/>
    <w:rsid w:val="00CA27F3"/>
    <w:rsid w:val="00CB1B5B"/>
    <w:rsid w:val="00CD607A"/>
    <w:rsid w:val="00CF45BF"/>
    <w:rsid w:val="00D00D06"/>
    <w:rsid w:val="00D04F3D"/>
    <w:rsid w:val="00D07A67"/>
    <w:rsid w:val="00D333A3"/>
    <w:rsid w:val="00D34F90"/>
    <w:rsid w:val="00D426E8"/>
    <w:rsid w:val="00D44ACD"/>
    <w:rsid w:val="00DA1980"/>
    <w:rsid w:val="00DB6855"/>
    <w:rsid w:val="00DC432F"/>
    <w:rsid w:val="00DD3A45"/>
    <w:rsid w:val="00DD6AE4"/>
    <w:rsid w:val="00DE38D5"/>
    <w:rsid w:val="00DF7BB8"/>
    <w:rsid w:val="00E0131B"/>
    <w:rsid w:val="00E0604F"/>
    <w:rsid w:val="00E12B20"/>
    <w:rsid w:val="00E220C0"/>
    <w:rsid w:val="00E30E40"/>
    <w:rsid w:val="00E33C96"/>
    <w:rsid w:val="00E57C68"/>
    <w:rsid w:val="00E60D38"/>
    <w:rsid w:val="00E67A7D"/>
    <w:rsid w:val="00E72EAC"/>
    <w:rsid w:val="00E94C94"/>
    <w:rsid w:val="00E955B0"/>
    <w:rsid w:val="00E96460"/>
    <w:rsid w:val="00ED722E"/>
    <w:rsid w:val="00EE463B"/>
    <w:rsid w:val="00F12AF7"/>
    <w:rsid w:val="00F202F0"/>
    <w:rsid w:val="00F26736"/>
    <w:rsid w:val="00F26CF6"/>
    <w:rsid w:val="00F321DC"/>
    <w:rsid w:val="00F54525"/>
    <w:rsid w:val="00F71887"/>
    <w:rsid w:val="00F777D1"/>
    <w:rsid w:val="00F87E98"/>
    <w:rsid w:val="00F9170D"/>
    <w:rsid w:val="00F93682"/>
    <w:rsid w:val="00FA2769"/>
    <w:rsid w:val="00FA3E81"/>
    <w:rsid w:val="00FA6635"/>
    <w:rsid w:val="00FC4DE7"/>
    <w:rsid w:val="00FD7502"/>
    <w:rsid w:val="02B83262"/>
    <w:rsid w:val="0ADF3527"/>
    <w:rsid w:val="0CF87E93"/>
    <w:rsid w:val="0D9F3F26"/>
    <w:rsid w:val="0E3303E0"/>
    <w:rsid w:val="0E811F50"/>
    <w:rsid w:val="100950BA"/>
    <w:rsid w:val="136549FA"/>
    <w:rsid w:val="1A322090"/>
    <w:rsid w:val="20D17745"/>
    <w:rsid w:val="20F12BDF"/>
    <w:rsid w:val="21DD6E2A"/>
    <w:rsid w:val="22AC3AFD"/>
    <w:rsid w:val="32F03343"/>
    <w:rsid w:val="38396419"/>
    <w:rsid w:val="3B1E1C3B"/>
    <w:rsid w:val="3D373C4E"/>
    <w:rsid w:val="40275E48"/>
    <w:rsid w:val="48B11978"/>
    <w:rsid w:val="4B893ACB"/>
    <w:rsid w:val="4BBE3F65"/>
    <w:rsid w:val="4CAB59C5"/>
    <w:rsid w:val="51A07F49"/>
    <w:rsid w:val="569577C7"/>
    <w:rsid w:val="64AF2FC2"/>
    <w:rsid w:val="6D20163A"/>
    <w:rsid w:val="6DF42BCE"/>
    <w:rsid w:val="6F26325B"/>
    <w:rsid w:val="7568637B"/>
    <w:rsid w:val="77752F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4"/>
    <w:unhideWhenUsed/>
    <w:qFormat/>
    <w:uiPriority w:val="99"/>
    <w:pPr>
      <w:jc w:val="left"/>
    </w:pPr>
  </w:style>
  <w:style w:type="paragraph" w:styleId="3">
    <w:name w:val="footer"/>
    <w:basedOn w:val="1"/>
    <w:link w:val="13"/>
    <w:unhideWhenUsed/>
    <w:qFormat/>
    <w:uiPriority w:val="99"/>
    <w:pPr>
      <w:tabs>
        <w:tab w:val="center" w:pos="4153"/>
        <w:tab w:val="right" w:pos="8306"/>
      </w:tabs>
      <w:snapToGrid w:val="0"/>
      <w:jc w:val="left"/>
    </w:pPr>
    <w:rPr>
      <w:sz w:val="18"/>
      <w:szCs w:val="18"/>
    </w:rPr>
  </w:style>
  <w:style w:type="paragraph" w:styleId="4">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annotation subject"/>
    <w:basedOn w:val="2"/>
    <w:next w:val="2"/>
    <w:link w:val="15"/>
    <w:semiHidden/>
    <w:unhideWhenUsed/>
    <w:qFormat/>
    <w:uiPriority w:val="99"/>
    <w:rPr>
      <w:b/>
      <w:bCs/>
    </w:rPr>
  </w:style>
  <w:style w:type="table" w:styleId="7">
    <w:name w:val="Table Grid"/>
    <w:basedOn w:val="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annotation reference"/>
    <w:basedOn w:val="8"/>
    <w:semiHidden/>
    <w:unhideWhenUsed/>
    <w:qFormat/>
    <w:uiPriority w:val="99"/>
    <w:rPr>
      <w:sz w:val="21"/>
      <w:szCs w:val="21"/>
    </w:rPr>
  </w:style>
  <w:style w:type="paragraph" w:styleId="10">
    <w:name w:val="List Paragraph"/>
    <w:basedOn w:val="1"/>
    <w:qFormat/>
    <w:uiPriority w:val="34"/>
    <w:pPr>
      <w:ind w:firstLine="420" w:firstLineChars="200"/>
    </w:pPr>
  </w:style>
  <w:style w:type="paragraph" w:customStyle="1" w:styleId="11">
    <w:name w:val="table_tr_td &gt; any"/>
    <w:basedOn w:val="1"/>
    <w:qFormat/>
    <w:uiPriority w:val="0"/>
    <w:pPr>
      <w:widowControl/>
      <w:jc w:val="left"/>
    </w:pPr>
    <w:rPr>
      <w:rFonts w:ascii="宋体" w:hAnsi="宋体" w:eastAsia="宋体" w:cs="宋体"/>
      <w:kern w:val="0"/>
      <w:sz w:val="24"/>
      <w:szCs w:val="24"/>
    </w:rPr>
  </w:style>
  <w:style w:type="character" w:customStyle="1" w:styleId="12">
    <w:name w:val="页眉 字符"/>
    <w:basedOn w:val="8"/>
    <w:link w:val="4"/>
    <w:qFormat/>
    <w:uiPriority w:val="99"/>
    <w:rPr>
      <w:sz w:val="18"/>
      <w:szCs w:val="18"/>
    </w:rPr>
  </w:style>
  <w:style w:type="character" w:customStyle="1" w:styleId="13">
    <w:name w:val="页脚 字符"/>
    <w:basedOn w:val="8"/>
    <w:link w:val="3"/>
    <w:qFormat/>
    <w:uiPriority w:val="99"/>
    <w:rPr>
      <w:sz w:val="18"/>
      <w:szCs w:val="18"/>
    </w:rPr>
  </w:style>
  <w:style w:type="character" w:customStyle="1" w:styleId="14">
    <w:name w:val="批注文字 字符"/>
    <w:basedOn w:val="8"/>
    <w:link w:val="2"/>
    <w:qFormat/>
    <w:uiPriority w:val="99"/>
  </w:style>
  <w:style w:type="character" w:customStyle="1" w:styleId="15">
    <w:name w:val="批注主题 字符"/>
    <w:basedOn w:val="14"/>
    <w:link w:val="5"/>
    <w:semiHidden/>
    <w:qFormat/>
    <w:uiPriority w:val="99"/>
    <w:rPr>
      <w:b/>
      <w:bCs/>
    </w:rPr>
  </w:style>
  <w:style w:type="paragraph" w:customStyle="1" w:styleId="16">
    <w:name w:val="修订1"/>
    <w:hidden/>
    <w:semiHidden/>
    <w:qFormat/>
    <w:uiPriority w:val="99"/>
    <w:rPr>
      <w:rFonts w:asciiTheme="minorHAnsi" w:hAnsiTheme="minorHAnsi" w:eastAsiaTheme="minorEastAsia" w:cstheme="minorBidi"/>
      <w:kern w:val="2"/>
      <w:sz w:val="21"/>
      <w:szCs w:val="22"/>
      <w:lang w:val="en-US" w:eastAsia="zh-CN" w:bidi="ar-SA"/>
    </w:rPr>
  </w:style>
  <w:style w:type="paragraph" w:customStyle="1" w:styleId="17">
    <w:name w:val="Revision"/>
    <w:hidden/>
    <w:unhideWhenUsed/>
    <w:qFormat/>
    <w:uiPriority w:val="99"/>
    <w:rPr>
      <w:rFonts w:asciiTheme="minorHAnsi" w:hAnsiTheme="minorHAnsi" w:eastAsiaTheme="minorEastAsia" w:cstheme="minorBidi"/>
      <w:kern w:val="2"/>
      <w:sz w:val="21"/>
      <w:szCs w:val="22"/>
      <w:lang w:val="en-US" w:eastAsia="zh-CN" w:bidi="ar-SA"/>
    </w:rPr>
  </w:style>
  <w:style w:type="character" w:customStyle="1" w:styleId="18">
    <w:name w:val="font01"/>
    <w:basedOn w:val="8"/>
    <w:uiPriority w:val="0"/>
    <w:rPr>
      <w:rFonts w:hint="eastAsia" w:ascii="宋体" w:hAnsi="宋体" w:eastAsia="宋体" w:cs="宋体"/>
      <w:color w:val="000000"/>
      <w:sz w:val="22"/>
      <w:szCs w:val="22"/>
      <w:u w:val="none"/>
    </w:rPr>
  </w:style>
</w:styles>
</file>

<file path=word/_rels/document.xml.rels><?xml version="1.0" encoding="UTF-8" standalone="yes"?>
<Relationships xmlns="http://schemas.openxmlformats.org/package/2006/relationships"><Relationship Id="rId4" Type="http://schemas.openxmlformats.org/officeDocument/2006/relationships/fontTable" Target="fontTable.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5</Pages>
  <Words>1991</Words>
  <Characters>2091</Characters>
  <Lines>1</Lines>
  <Paragraphs>1</Paragraphs>
  <TotalTime>63</TotalTime>
  <ScaleCrop>false</ScaleCrop>
  <LinksUpToDate>false</LinksUpToDate>
  <CharactersWithSpaces>2097</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2024-08-27T01:18:00Z</dcterms:created>
  <dc:creator>lius</dc:creator>
  <cp:lastModifiedBy>lius</cp:lastModifiedBy>
  <cp:lastPrinted>2024-12-02T09:00:00Z</cp:lastPrinted>
  <dcterms:modified xsi:type="dcterms:W3CDTF">2024-12-09T02:01:38Z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799B47D310B6463885D3CE05646971F6</vt:lpwstr>
  </property>
</Properties>
</file>