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方正小标宋简体" w:hAnsi="宋体" w:eastAsia="方正小标宋简体" w:cs="Times New Roman"/>
          <w:b/>
          <w:bCs/>
          <w:sz w:val="36"/>
          <w:szCs w:val="36"/>
        </w:rPr>
      </w:pPr>
      <w:r>
        <w:rPr>
          <w:rFonts w:hint="eastAsia" w:ascii="Times New Roman" w:hAnsi="Times New Roman" w:eastAsia="方正仿宋简体" w:cs="Times New Roman"/>
          <w:sz w:val="32"/>
          <w:szCs w:val="32"/>
        </w:rPr>
        <w:t>附件</w:t>
      </w:r>
      <w:r>
        <w:rPr>
          <w:rFonts w:hint="eastAsia" w:ascii="Times New Roman" w:hAnsi="Times New Roman" w:eastAsia="方正仿宋简体" w:cs="Times New Roman"/>
          <w:sz w:val="32"/>
          <w:szCs w:val="32"/>
          <w:lang w:val="en-US" w:eastAsia="zh-CN"/>
        </w:rPr>
        <w:t>6</w:t>
      </w:r>
    </w:p>
    <w:p>
      <w:pPr>
        <w:spacing w:line="590" w:lineRule="exact"/>
        <w:jc w:val="center"/>
        <w:rPr>
          <w:rFonts w:hint="eastAsia" w:ascii="方正小标宋简体" w:hAnsi="宋体" w:eastAsia="方正小标宋简体" w:cs="Times New Roman"/>
          <w:b/>
          <w:bCs/>
          <w:sz w:val="36"/>
          <w:szCs w:val="36"/>
        </w:rPr>
      </w:pPr>
      <w:r>
        <w:rPr>
          <w:rFonts w:hint="eastAsia" w:ascii="方正小标宋简体" w:hAnsi="宋体" w:eastAsia="方正小标宋简体" w:cs="Times New Roman"/>
          <w:b/>
          <w:bCs/>
          <w:sz w:val="36"/>
          <w:szCs w:val="36"/>
        </w:rPr>
        <w:t>合规</w:t>
      </w:r>
      <w:r>
        <w:rPr>
          <w:rFonts w:hint="eastAsia" w:ascii="方正小标宋简体" w:hAnsi="宋体" w:eastAsia="方正小标宋简体" w:cs="Times New Roman"/>
          <w:b/>
          <w:bCs/>
          <w:sz w:val="36"/>
          <w:szCs w:val="36"/>
          <w:lang w:val="en-US" w:eastAsia="zh-CN"/>
        </w:rPr>
        <w:t>自查</w:t>
      </w:r>
      <w:r>
        <w:rPr>
          <w:rFonts w:hint="eastAsia" w:ascii="方正小标宋简体" w:hAnsi="宋体" w:eastAsia="方正小标宋简体" w:cs="Times New Roman"/>
          <w:b/>
          <w:bCs/>
          <w:sz w:val="36"/>
          <w:szCs w:val="36"/>
        </w:rPr>
        <w:t>表</w:t>
      </w:r>
    </w:p>
    <w:tbl>
      <w:tblPr>
        <w:tblStyle w:val="2"/>
        <w:tblW w:w="55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45" w:type="dxa"/>
          <w:bottom w:w="0" w:type="dxa"/>
          <w:right w:w="45" w:type="dxa"/>
        </w:tblCellMar>
      </w:tblPr>
      <w:tblGrid>
        <w:gridCol w:w="1268"/>
        <w:gridCol w:w="5623"/>
        <w:gridCol w:w="1008"/>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3691" w:type="pct"/>
            <w:gridSpan w:val="2"/>
            <w:tcMar>
              <w:top w:w="52" w:type="dxa"/>
              <w:left w:w="52" w:type="dxa"/>
              <w:bottom w:w="52" w:type="dxa"/>
              <w:right w:w="52" w:type="dxa"/>
            </w:tcMar>
            <w:vAlign w:val="center"/>
          </w:tcPr>
          <w:p>
            <w:pPr>
              <w:pStyle w:val="4"/>
              <w:spacing w:line="400" w:lineRule="exact"/>
              <w:jc w:val="center"/>
              <w:rPr>
                <w:rFonts w:hint="eastAsia" w:cs="Times New Roman"/>
                <w:b/>
                <w:kern w:val="2"/>
                <w:sz w:val="22"/>
                <w:szCs w:val="22"/>
              </w:rPr>
            </w:pPr>
            <w:r>
              <w:rPr>
                <w:rFonts w:cs="Times New Roman"/>
                <w:b/>
                <w:kern w:val="2"/>
                <w:sz w:val="22"/>
                <w:szCs w:val="22"/>
              </w:rPr>
              <w:t>项目</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
                <w:kern w:val="2"/>
                <w:sz w:val="22"/>
                <w:szCs w:val="22"/>
              </w:rPr>
            </w:pPr>
            <w:r>
              <w:rPr>
                <w:rFonts w:cs="Times New Roman"/>
                <w:b/>
                <w:kern w:val="2"/>
                <w:sz w:val="22"/>
                <w:szCs w:val="22"/>
              </w:rPr>
              <w:t>是否符合</w:t>
            </w:r>
          </w:p>
        </w:tc>
        <w:tc>
          <w:tcPr>
            <w:tcW w:w="769" w:type="pct"/>
            <w:tcMar>
              <w:top w:w="52" w:type="dxa"/>
              <w:left w:w="52" w:type="dxa"/>
              <w:bottom w:w="52" w:type="dxa"/>
              <w:right w:w="52" w:type="dxa"/>
            </w:tcMar>
            <w:vAlign w:val="center"/>
          </w:tcPr>
          <w:p>
            <w:pPr>
              <w:pStyle w:val="4"/>
              <w:spacing w:line="400" w:lineRule="exact"/>
              <w:jc w:val="center"/>
              <w:rPr>
                <w:rFonts w:hint="eastAsia" w:cs="Times New Roman"/>
                <w:b/>
                <w:kern w:val="2"/>
                <w:sz w:val="22"/>
                <w:szCs w:val="22"/>
              </w:rPr>
            </w:pPr>
            <w:r>
              <w:rPr>
                <w:rFonts w:cs="Times New Roman"/>
                <w:b/>
                <w:kern w:val="2"/>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5000" w:type="pct"/>
            <w:gridSpan w:val="4"/>
            <w:tcMar>
              <w:top w:w="52" w:type="dxa"/>
              <w:left w:w="52" w:type="dxa"/>
              <w:bottom w:w="52" w:type="dxa"/>
              <w:right w:w="52" w:type="dxa"/>
            </w:tcMar>
            <w:vAlign w:val="center"/>
          </w:tcPr>
          <w:p>
            <w:pPr>
              <w:pStyle w:val="4"/>
              <w:spacing w:line="400" w:lineRule="exact"/>
              <w:rPr>
                <w:rFonts w:hint="eastAsia" w:cs="Times New Roman"/>
                <w:b/>
                <w:bCs/>
                <w:kern w:val="2"/>
                <w:sz w:val="22"/>
                <w:szCs w:val="22"/>
              </w:rPr>
            </w:pPr>
            <w:r>
              <w:rPr>
                <w:rFonts w:cs="Times New Roman"/>
                <w:b/>
                <w:bCs/>
                <w:kern w:val="2"/>
                <w:sz w:val="22"/>
                <w:szCs w:val="22"/>
              </w:rPr>
              <w:t>一、子基金管理机构应符合以下条件：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9"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实缴资本</w:t>
            </w:r>
          </w:p>
        </w:tc>
        <w:tc>
          <w:tcPr>
            <w:tcW w:w="3012" w:type="pct"/>
            <w:tcMar>
              <w:top w:w="52" w:type="dxa"/>
              <w:left w:w="52" w:type="dxa"/>
              <w:bottom w:w="52" w:type="dxa"/>
              <w:right w:w="52" w:type="dxa"/>
            </w:tcMar>
            <w:vAlign w:val="center"/>
          </w:tcPr>
          <w:p>
            <w:pPr>
              <w:pStyle w:val="4"/>
              <w:spacing w:line="400" w:lineRule="exact"/>
              <w:jc w:val="both"/>
              <w:rPr>
                <w:rFonts w:hint="eastAsia" w:cs="Times New Roman"/>
                <w:bCs/>
                <w:kern w:val="2"/>
                <w:sz w:val="22"/>
                <w:szCs w:val="22"/>
              </w:rPr>
            </w:pPr>
            <w:r>
              <w:rPr>
                <w:rFonts w:cs="Times New Roman"/>
                <w:bCs/>
                <w:kern w:val="2"/>
                <w:sz w:val="22"/>
                <w:szCs w:val="22"/>
              </w:rPr>
              <w:t>实缴注册资本不低于</w:t>
            </w:r>
            <w:r>
              <w:rPr>
                <w:rFonts w:hint="eastAsia" w:cs="Times New Roman"/>
                <w:bCs/>
                <w:kern w:val="2"/>
                <w:sz w:val="22"/>
                <w:szCs w:val="22"/>
              </w:rPr>
              <w:t>1000</w:t>
            </w:r>
            <w:r>
              <w:rPr>
                <w:rFonts w:cs="Times New Roman"/>
                <w:bCs/>
                <w:kern w:val="2"/>
                <w:sz w:val="22"/>
                <w:szCs w:val="22"/>
              </w:rPr>
              <w:t>万元人民币（若不满足，应提供限期整改承诺）</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管理资质</w:t>
            </w:r>
          </w:p>
        </w:tc>
        <w:tc>
          <w:tcPr>
            <w:tcW w:w="3012" w:type="pct"/>
            <w:tcMar>
              <w:top w:w="52" w:type="dxa"/>
              <w:left w:w="52" w:type="dxa"/>
              <w:bottom w:w="52" w:type="dxa"/>
              <w:right w:w="52" w:type="dxa"/>
            </w:tcMar>
            <w:vAlign w:val="center"/>
          </w:tcPr>
          <w:p>
            <w:pPr>
              <w:pStyle w:val="4"/>
              <w:spacing w:line="400" w:lineRule="exact"/>
              <w:jc w:val="both"/>
              <w:rPr>
                <w:rFonts w:hint="eastAsia" w:cs="Times New Roman"/>
                <w:bCs/>
                <w:kern w:val="2"/>
                <w:sz w:val="22"/>
                <w:szCs w:val="22"/>
              </w:rPr>
            </w:pPr>
            <w:r>
              <w:rPr>
                <w:rFonts w:cs="Times New Roman"/>
                <w:bCs/>
                <w:kern w:val="2"/>
                <w:sz w:val="22"/>
                <w:szCs w:val="22"/>
              </w:rPr>
              <w:t>应在中基协登记备案（若不满足，应提供限期整改承诺）</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vMerge w:val="restart"/>
            <w:vAlign w:val="center"/>
          </w:tcPr>
          <w:p>
            <w:pPr>
              <w:spacing w:line="400" w:lineRule="exact"/>
              <w:jc w:val="center"/>
              <w:rPr>
                <w:rFonts w:hint="eastAsia" w:ascii="宋体" w:hAnsi="宋体" w:eastAsia="宋体" w:cs="Times New Roman"/>
                <w:bCs/>
                <w:sz w:val="22"/>
              </w:rPr>
            </w:pPr>
            <w:r>
              <w:rPr>
                <w:rFonts w:ascii="宋体" w:hAnsi="宋体" w:eastAsia="宋体" w:cs="Times New Roman"/>
                <w:bCs/>
                <w:sz w:val="22"/>
              </w:rPr>
              <w:t>管理</w:t>
            </w:r>
          </w:p>
          <w:p>
            <w:pPr>
              <w:spacing w:line="400" w:lineRule="exact"/>
              <w:jc w:val="center"/>
              <w:rPr>
                <w:rFonts w:hint="eastAsia" w:ascii="宋体" w:hAnsi="宋体" w:eastAsia="宋体" w:cs="Times New Roman"/>
                <w:bCs/>
                <w:sz w:val="22"/>
              </w:rPr>
            </w:pPr>
            <w:r>
              <w:rPr>
                <w:rFonts w:ascii="宋体" w:hAnsi="宋体" w:eastAsia="宋体" w:cs="Times New Roman"/>
                <w:bCs/>
                <w:sz w:val="22"/>
              </w:rPr>
              <w:t>团队</w:t>
            </w:r>
          </w:p>
        </w:tc>
        <w:tc>
          <w:tcPr>
            <w:tcW w:w="3012" w:type="pct"/>
            <w:tcMar>
              <w:top w:w="52" w:type="dxa"/>
              <w:left w:w="52" w:type="dxa"/>
              <w:bottom w:w="52" w:type="dxa"/>
              <w:right w:w="52" w:type="dxa"/>
            </w:tcMar>
            <w:vAlign w:val="center"/>
          </w:tcPr>
          <w:p>
            <w:pPr>
              <w:pStyle w:val="4"/>
              <w:spacing w:line="400" w:lineRule="exact"/>
              <w:jc w:val="both"/>
              <w:rPr>
                <w:rFonts w:hint="eastAsia" w:cs="Times New Roman"/>
                <w:bCs/>
                <w:kern w:val="2"/>
                <w:sz w:val="22"/>
                <w:szCs w:val="22"/>
              </w:rPr>
            </w:pPr>
            <w:r>
              <w:rPr>
                <w:rFonts w:cs="Times New Roman"/>
                <w:bCs/>
                <w:kern w:val="2"/>
                <w:sz w:val="22"/>
                <w:szCs w:val="22"/>
              </w:rPr>
              <w:t>子基金管理机构至少有3名具备3年以上早期项目投资经验或相关行业经验的</w:t>
            </w:r>
            <w:r>
              <w:rPr>
                <w:rFonts w:hint="eastAsia" w:cs="Times New Roman"/>
                <w:bCs/>
                <w:kern w:val="2"/>
                <w:sz w:val="22"/>
                <w:szCs w:val="22"/>
              </w:rPr>
              <w:t>核心管理团队成员</w:t>
            </w:r>
            <w:r>
              <w:rPr>
                <w:rFonts w:cs="Times New Roman"/>
                <w:bCs/>
                <w:kern w:val="2"/>
                <w:sz w:val="22"/>
                <w:szCs w:val="22"/>
              </w:rPr>
              <w:t>。</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vMerge w:val="continue"/>
            <w:vAlign w:val="center"/>
          </w:tcPr>
          <w:p>
            <w:pPr>
              <w:spacing w:line="400" w:lineRule="exact"/>
              <w:rPr>
                <w:rFonts w:hint="eastAsia" w:ascii="宋体" w:hAnsi="宋体" w:eastAsia="宋体" w:cs="Times New Roman"/>
                <w:bCs/>
                <w:sz w:val="22"/>
              </w:rPr>
            </w:pPr>
          </w:p>
        </w:tc>
        <w:tc>
          <w:tcPr>
            <w:tcW w:w="3012" w:type="pct"/>
            <w:tcMar>
              <w:top w:w="52" w:type="dxa"/>
              <w:left w:w="52" w:type="dxa"/>
              <w:bottom w:w="52" w:type="dxa"/>
              <w:right w:w="52" w:type="dxa"/>
            </w:tcMar>
            <w:vAlign w:val="center"/>
          </w:tcPr>
          <w:p>
            <w:pPr>
              <w:pStyle w:val="4"/>
              <w:spacing w:line="400" w:lineRule="exact"/>
              <w:jc w:val="both"/>
              <w:rPr>
                <w:rFonts w:hint="eastAsia" w:cs="Times New Roman"/>
                <w:bCs/>
                <w:kern w:val="2"/>
                <w:sz w:val="22"/>
                <w:szCs w:val="22"/>
              </w:rPr>
            </w:pPr>
            <w:r>
              <w:rPr>
                <w:rFonts w:cs="Times New Roman"/>
                <w:bCs/>
                <w:kern w:val="2"/>
                <w:sz w:val="22"/>
                <w:szCs w:val="22"/>
              </w:rPr>
              <w:t>子基金</w:t>
            </w:r>
            <w:r>
              <w:rPr>
                <w:rFonts w:hint="eastAsia" w:cs="Times New Roman"/>
                <w:bCs/>
                <w:kern w:val="2"/>
                <w:sz w:val="22"/>
                <w:szCs w:val="22"/>
              </w:rPr>
              <w:t>核心管理团队成员</w:t>
            </w:r>
            <w:r>
              <w:rPr>
                <w:rFonts w:cs="Times New Roman"/>
                <w:bCs/>
                <w:kern w:val="2"/>
                <w:sz w:val="22"/>
                <w:szCs w:val="22"/>
              </w:rPr>
              <w:t>须至少满足以下条件之一：</w:t>
            </w:r>
          </w:p>
          <w:p>
            <w:pPr>
              <w:pStyle w:val="4"/>
              <w:spacing w:line="400" w:lineRule="exact"/>
              <w:jc w:val="both"/>
              <w:rPr>
                <w:rFonts w:hint="eastAsia" w:cs="Times New Roman"/>
                <w:bCs/>
                <w:kern w:val="2"/>
                <w:sz w:val="22"/>
                <w:szCs w:val="22"/>
              </w:rPr>
            </w:pPr>
            <w:r>
              <w:rPr>
                <w:rFonts w:cs="Times New Roman"/>
                <w:bCs/>
                <w:kern w:val="2"/>
                <w:sz w:val="22"/>
                <w:szCs w:val="22"/>
              </w:rPr>
              <w:t>1.主要成员累计管理创业投资基金实缴规模不低于5亿元或至少管理过一只1亿元以上规模的天使投资基金，且有3个（含）以上成功投资退出案例。</w:t>
            </w:r>
          </w:p>
          <w:p>
            <w:pPr>
              <w:pStyle w:val="4"/>
              <w:spacing w:line="400" w:lineRule="exact"/>
              <w:jc w:val="both"/>
              <w:rPr>
                <w:rFonts w:hint="eastAsia" w:cs="Times New Roman"/>
                <w:bCs/>
                <w:kern w:val="2"/>
                <w:sz w:val="22"/>
                <w:szCs w:val="22"/>
              </w:rPr>
            </w:pPr>
            <w:r>
              <w:rPr>
                <w:rFonts w:cs="Times New Roman"/>
                <w:bCs/>
                <w:kern w:val="2"/>
                <w:sz w:val="22"/>
                <w:szCs w:val="22"/>
              </w:rPr>
              <w:t>2.主要成员以自有资金及管理的基金累计投资天使类项目资金规模不低于5000万元，且有3个（含）以上成功投资退出案例。</w:t>
            </w:r>
          </w:p>
          <w:p>
            <w:r>
              <w:rPr>
                <w:rFonts w:cs="Times New Roman"/>
                <w:bCs/>
                <w:kern w:val="2"/>
                <w:sz w:val="22"/>
                <w:szCs w:val="22"/>
              </w:rPr>
              <w:t>成功投资退出案例是指首两轮外部机构投资项目或者初创期、早中期项目，以现金方式退出部分或全部股权，且该退出部分股权投资收益率超过50%。</w:t>
            </w:r>
          </w:p>
          <w:p>
            <w:pPr>
              <w:pStyle w:val="4"/>
              <w:spacing w:line="400" w:lineRule="exact"/>
              <w:jc w:val="both"/>
              <w:rPr>
                <w:rFonts w:hint="eastAsia" w:cs="Times New Roman"/>
                <w:bCs/>
                <w:kern w:val="2"/>
                <w:sz w:val="22"/>
                <w:szCs w:val="22"/>
              </w:rPr>
            </w:pP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9"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r>
              <w:rPr>
                <w:rFonts w:cs="Times New Roman"/>
                <w:bCs/>
                <w:kern w:val="2"/>
                <w:sz w:val="22"/>
                <w:szCs w:val="22"/>
              </w:rPr>
              <w:t>风险控制</w:t>
            </w:r>
          </w:p>
        </w:tc>
        <w:tc>
          <w:tcPr>
            <w:tcW w:w="3012" w:type="pct"/>
            <w:tcMar>
              <w:top w:w="52" w:type="dxa"/>
              <w:left w:w="52" w:type="dxa"/>
              <w:bottom w:w="52" w:type="dxa"/>
              <w:right w:w="52" w:type="dxa"/>
            </w:tcMar>
            <w:vAlign w:val="center"/>
          </w:tcPr>
          <w:p>
            <w:pPr>
              <w:pStyle w:val="4"/>
              <w:spacing w:line="400" w:lineRule="exact"/>
              <w:jc w:val="both"/>
              <w:rPr>
                <w:rFonts w:hint="eastAsia" w:cs="Times New Roman"/>
                <w:bCs/>
                <w:kern w:val="2"/>
                <w:sz w:val="22"/>
                <w:szCs w:val="22"/>
              </w:rPr>
            </w:pPr>
            <w:r>
              <w:rPr>
                <w:rFonts w:cs="Times New Roman"/>
                <w:bCs/>
                <w:kern w:val="2"/>
                <w:sz w:val="22"/>
                <w:szCs w:val="22"/>
              </w:rPr>
              <w:t>子基金管理机构的管理和投资运作规范，具有完整的投资决策程序、全面的风险控制机制和健全的财务管理制度。近3年内，机构和管理团队主要成员未有受过行政主管机关或司法机关处罚的不良记录。</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tcMar>
              <w:top w:w="52" w:type="dxa"/>
              <w:left w:w="52" w:type="dxa"/>
              <w:bottom w:w="52" w:type="dxa"/>
              <w:right w:w="52" w:type="dxa"/>
            </w:tcMar>
            <w:vAlign w:val="center"/>
          </w:tcPr>
          <w:p>
            <w:pPr>
              <w:pStyle w:val="4"/>
              <w:spacing w:line="400" w:lineRule="exact"/>
              <w:jc w:val="center"/>
              <w:rPr>
                <w:rFonts w:hint="default" w:eastAsia="宋体" w:cs="Times New Roman"/>
                <w:bCs/>
                <w:kern w:val="2"/>
                <w:sz w:val="22"/>
                <w:szCs w:val="22"/>
                <w:lang w:val="en-US" w:eastAsia="zh-CN"/>
              </w:rPr>
            </w:pPr>
            <w:r>
              <w:rPr>
                <w:rFonts w:hint="eastAsia" w:cs="Times New Roman"/>
                <w:bCs/>
                <w:kern w:val="2"/>
                <w:sz w:val="22"/>
                <w:szCs w:val="22"/>
                <w:lang w:eastAsia="zh-CN"/>
              </w:rPr>
              <w:t>“</w:t>
            </w:r>
            <w:r>
              <w:rPr>
                <w:rFonts w:hint="eastAsia" w:cs="Times New Roman"/>
                <w:bCs/>
                <w:kern w:val="2"/>
                <w:sz w:val="22"/>
                <w:szCs w:val="22"/>
                <w:lang w:val="en-US" w:eastAsia="zh-CN"/>
              </w:rPr>
              <w:t>院所</w:t>
            </w:r>
            <w:r>
              <w:rPr>
                <w:rFonts w:hint="eastAsia" w:cs="Times New Roman"/>
                <w:bCs/>
                <w:kern w:val="2"/>
                <w:sz w:val="22"/>
                <w:szCs w:val="22"/>
                <w:lang w:eastAsia="zh-CN"/>
              </w:rPr>
              <w:t>”</w:t>
            </w:r>
            <w:r>
              <w:rPr>
                <w:rFonts w:hint="eastAsia" w:cs="Times New Roman"/>
                <w:bCs/>
                <w:kern w:val="2"/>
                <w:sz w:val="22"/>
                <w:szCs w:val="22"/>
                <w:lang w:val="en-US" w:eastAsia="zh-CN"/>
              </w:rPr>
              <w:t>基金要求</w:t>
            </w:r>
          </w:p>
        </w:tc>
        <w:tc>
          <w:tcPr>
            <w:tcW w:w="3012" w:type="pct"/>
            <w:tcMar>
              <w:top w:w="52" w:type="dxa"/>
              <w:left w:w="52" w:type="dxa"/>
              <w:bottom w:w="52" w:type="dxa"/>
              <w:right w:w="52" w:type="dxa"/>
            </w:tcMar>
            <w:vAlign w:val="center"/>
          </w:tcPr>
          <w:p>
            <w:pPr>
              <w:pStyle w:val="4"/>
              <w:spacing w:line="400" w:lineRule="exact"/>
              <w:jc w:val="both"/>
              <w:rPr>
                <w:rFonts w:hint="eastAsia" w:cs="Times New Roman"/>
                <w:bCs/>
                <w:kern w:val="2"/>
                <w:sz w:val="22"/>
                <w:szCs w:val="22"/>
              </w:rPr>
            </w:pPr>
            <w:r>
              <w:rPr>
                <w:rFonts w:hint="eastAsia" w:cs="Times New Roman"/>
                <w:bCs/>
                <w:kern w:val="2"/>
                <w:sz w:val="22"/>
                <w:szCs w:val="22"/>
              </w:rPr>
              <w:t>（1）国内外知名高等院校（具体参考国家“双一流”建设高校名单或近三年世界知名高校综合排名前100名高校名单）；</w:t>
            </w:r>
          </w:p>
          <w:p>
            <w:pPr>
              <w:pStyle w:val="4"/>
              <w:spacing w:line="400" w:lineRule="exact"/>
              <w:jc w:val="both"/>
              <w:rPr>
                <w:rFonts w:hint="eastAsia" w:cs="Times New Roman"/>
                <w:bCs/>
                <w:kern w:val="2"/>
                <w:sz w:val="22"/>
                <w:szCs w:val="22"/>
              </w:rPr>
            </w:pPr>
            <w:r>
              <w:rPr>
                <w:rFonts w:hint="eastAsia" w:cs="Times New Roman"/>
                <w:bCs/>
                <w:kern w:val="2"/>
                <w:sz w:val="22"/>
                <w:szCs w:val="22"/>
              </w:rPr>
              <w:t>（2）科研院所（具体参考在国家、省、市事业单位登记管理局登记的科研院所）；</w:t>
            </w:r>
          </w:p>
          <w:p>
            <w:pPr>
              <w:pStyle w:val="4"/>
              <w:spacing w:line="400" w:lineRule="exact"/>
              <w:jc w:val="both"/>
              <w:rPr>
                <w:rFonts w:hint="eastAsia" w:cs="Times New Roman"/>
                <w:bCs/>
                <w:kern w:val="2"/>
                <w:sz w:val="22"/>
                <w:szCs w:val="22"/>
              </w:rPr>
            </w:pPr>
            <w:r>
              <w:rPr>
                <w:rFonts w:hint="eastAsia" w:cs="Times New Roman"/>
                <w:bCs/>
                <w:kern w:val="2"/>
                <w:sz w:val="22"/>
                <w:szCs w:val="22"/>
              </w:rPr>
              <w:t>（3）成都高新区内的新型研发事业单位（具体参考在省级科技部门备案的、以及成都高新区管委会或区属平台公司作为其举办单位的新型研发事业单位）；</w:t>
            </w:r>
          </w:p>
          <w:p>
            <w:pPr>
              <w:pStyle w:val="4"/>
              <w:spacing w:line="400" w:lineRule="exact"/>
              <w:jc w:val="both"/>
              <w:rPr>
                <w:rFonts w:hint="eastAsia" w:cs="Times New Roman"/>
                <w:bCs/>
                <w:kern w:val="2"/>
                <w:sz w:val="22"/>
                <w:szCs w:val="22"/>
              </w:rPr>
            </w:pPr>
            <w:r>
              <w:rPr>
                <w:rFonts w:hint="eastAsia" w:cs="Times New Roman"/>
                <w:bCs/>
                <w:kern w:val="2"/>
                <w:sz w:val="22"/>
                <w:szCs w:val="22"/>
              </w:rPr>
              <w:t>（4）成都高新区内的技术转移机构（具体参考科技部国家技术转移示范机构，且最近一次国家技术转移示范机构定期考核评价结果为“优秀”或“良好”）；</w:t>
            </w:r>
          </w:p>
          <w:p>
            <w:pPr>
              <w:pStyle w:val="4"/>
              <w:spacing w:line="400" w:lineRule="exact"/>
              <w:jc w:val="both"/>
              <w:rPr>
                <w:rFonts w:hint="eastAsia" w:cs="Times New Roman"/>
                <w:bCs/>
                <w:kern w:val="2"/>
                <w:sz w:val="22"/>
                <w:szCs w:val="22"/>
              </w:rPr>
            </w:pPr>
            <w:r>
              <w:rPr>
                <w:rFonts w:hint="eastAsia" w:cs="Times New Roman"/>
                <w:bCs/>
                <w:kern w:val="2"/>
                <w:sz w:val="22"/>
                <w:szCs w:val="22"/>
              </w:rPr>
              <w:t>（5）成都高新区内的国家级孵化器（符合《科技企业孵化器管理办法》（国科发区〔2018〕300号）有关规定，经国家科技部认定并公示的科技企业孵化器，且申请机构最近一次国家级科技企业孵化器年度考核评价结果为“优秀”或“良好”）。</w:t>
            </w:r>
          </w:p>
          <w:p>
            <w:pPr>
              <w:pStyle w:val="4"/>
              <w:spacing w:line="400" w:lineRule="exact"/>
              <w:jc w:val="both"/>
              <w:rPr>
                <w:rFonts w:hint="eastAsia" w:cs="Times New Roman"/>
                <w:bCs/>
                <w:kern w:val="2"/>
                <w:sz w:val="22"/>
                <w:szCs w:val="22"/>
              </w:rPr>
            </w:pPr>
            <w:r>
              <w:rPr>
                <w:rFonts w:hint="eastAsia" w:cs="Times New Roman"/>
                <w:bCs/>
                <w:kern w:val="2"/>
                <w:sz w:val="22"/>
                <w:szCs w:val="22"/>
              </w:rPr>
              <w:t>（6）成都高新区内的重大战略平台。</w:t>
            </w:r>
          </w:p>
          <w:p>
            <w:pPr>
              <w:pStyle w:val="4"/>
              <w:spacing w:line="400" w:lineRule="exact"/>
              <w:jc w:val="both"/>
              <w:rPr>
                <w:rFonts w:hint="eastAsia" w:cs="Times New Roman"/>
                <w:bCs/>
                <w:kern w:val="2"/>
                <w:sz w:val="22"/>
                <w:szCs w:val="22"/>
              </w:rPr>
            </w:pPr>
            <w:r>
              <w:rPr>
                <w:rFonts w:hint="eastAsia" w:cs="Times New Roman"/>
                <w:bCs/>
                <w:kern w:val="2"/>
                <w:sz w:val="22"/>
                <w:szCs w:val="22"/>
              </w:rPr>
              <w:t>2.上述“院所”须与子基金建立利益联结机制，满足以下条件之一：</w:t>
            </w:r>
          </w:p>
          <w:p>
            <w:pPr>
              <w:pStyle w:val="4"/>
              <w:spacing w:line="400" w:lineRule="exact"/>
              <w:jc w:val="both"/>
              <w:rPr>
                <w:rFonts w:hint="eastAsia" w:cs="Times New Roman"/>
                <w:bCs/>
                <w:kern w:val="2"/>
                <w:sz w:val="22"/>
                <w:szCs w:val="22"/>
              </w:rPr>
            </w:pPr>
            <w:r>
              <w:rPr>
                <w:rFonts w:hint="eastAsia" w:cs="Times New Roman"/>
                <w:bCs/>
                <w:kern w:val="2"/>
                <w:sz w:val="22"/>
                <w:szCs w:val="22"/>
              </w:rPr>
              <w:t>（1）“院所”（包括其实际控制的主体）或其关联方参股子基金管理机构，且持股比例不低于20%；</w:t>
            </w:r>
          </w:p>
          <w:p>
            <w:pPr>
              <w:pStyle w:val="4"/>
              <w:spacing w:line="400" w:lineRule="exact"/>
              <w:jc w:val="both"/>
              <w:rPr>
                <w:rFonts w:hint="eastAsia" w:cs="Times New Roman"/>
                <w:bCs/>
                <w:kern w:val="2"/>
                <w:sz w:val="22"/>
                <w:szCs w:val="22"/>
              </w:rPr>
            </w:pPr>
            <w:r>
              <w:rPr>
                <w:rFonts w:hint="eastAsia" w:cs="Times New Roman"/>
                <w:bCs/>
                <w:kern w:val="2"/>
                <w:sz w:val="22"/>
                <w:szCs w:val="22"/>
              </w:rPr>
              <w:t>（2）“院所”（包括其实际控制的主体）或其关联方作为LP在子基金中出资不低于20%；</w:t>
            </w:r>
          </w:p>
          <w:p>
            <w:pPr>
              <w:pStyle w:val="4"/>
              <w:spacing w:line="400" w:lineRule="exact"/>
              <w:jc w:val="both"/>
              <w:rPr>
                <w:rFonts w:hint="eastAsia" w:cs="Times New Roman"/>
                <w:bCs/>
                <w:kern w:val="2"/>
                <w:sz w:val="22"/>
                <w:szCs w:val="22"/>
              </w:rPr>
            </w:pPr>
            <w:r>
              <w:rPr>
                <w:rFonts w:hint="eastAsia" w:cs="Times New Roman"/>
                <w:bCs/>
                <w:kern w:val="2"/>
                <w:sz w:val="22"/>
                <w:szCs w:val="22"/>
              </w:rPr>
              <w:t>（3）“院所”（包括其实际控制的主体）或其关联方在子基金中出资不低于10%，且担任普通合伙人或SLP，并派员参与子基金投资决策。</w:t>
            </w:r>
          </w:p>
          <w:p>
            <w:pPr>
              <w:pStyle w:val="4"/>
              <w:spacing w:line="400" w:lineRule="exact"/>
              <w:jc w:val="both"/>
              <w:rPr>
                <w:rFonts w:hint="eastAsia" w:cs="Times New Roman"/>
                <w:bCs/>
                <w:kern w:val="2"/>
                <w:sz w:val="22"/>
                <w:szCs w:val="22"/>
              </w:rPr>
            </w:pPr>
            <w:r>
              <w:rPr>
                <w:rFonts w:hint="eastAsia" w:cs="Times New Roman"/>
                <w:bCs/>
                <w:kern w:val="2"/>
                <w:sz w:val="22"/>
                <w:szCs w:val="22"/>
              </w:rPr>
              <w:t>3.上述“院所”衍生、孵化的科技成果转化项目或技术转移项目（须注册在成都高新区）获得股权融资金额累计不低于2000万元人民币（或等值货币，仅包含社会资本），或项目数量不低于2个。（截至2024年12月1日）</w:t>
            </w:r>
          </w:p>
          <w:p>
            <w:pPr>
              <w:pStyle w:val="4"/>
              <w:spacing w:line="400" w:lineRule="exact"/>
              <w:jc w:val="both"/>
              <w:rPr>
                <w:rFonts w:cs="Times New Roman"/>
                <w:bCs/>
                <w:kern w:val="2"/>
                <w:sz w:val="22"/>
                <w:szCs w:val="22"/>
              </w:rPr>
            </w:pPr>
            <w:r>
              <w:rPr>
                <w:rFonts w:hint="eastAsia" w:cs="Times New Roman"/>
                <w:bCs/>
                <w:kern w:val="2"/>
                <w:sz w:val="22"/>
                <w:szCs w:val="22"/>
              </w:rPr>
              <w:t>衍生、孵化的范围指项目创始人、核心团队成员来源于“院所”</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tcMar>
              <w:top w:w="52" w:type="dxa"/>
              <w:left w:w="52" w:type="dxa"/>
              <w:bottom w:w="52" w:type="dxa"/>
              <w:right w:w="52" w:type="dxa"/>
            </w:tcMar>
            <w:vAlign w:val="center"/>
          </w:tcPr>
          <w:p>
            <w:pPr>
              <w:pStyle w:val="4"/>
              <w:spacing w:line="400" w:lineRule="exact"/>
              <w:jc w:val="center"/>
              <w:rPr>
                <w:rFonts w:hint="default" w:eastAsia="宋体" w:cs="Times New Roman"/>
                <w:bCs/>
                <w:kern w:val="2"/>
                <w:sz w:val="22"/>
                <w:szCs w:val="22"/>
                <w:lang w:val="en-US" w:eastAsia="zh-CN"/>
              </w:rPr>
            </w:pPr>
            <w:r>
              <w:rPr>
                <w:rFonts w:hint="eastAsia" w:cs="Times New Roman"/>
                <w:bCs/>
                <w:kern w:val="2"/>
                <w:sz w:val="22"/>
                <w:szCs w:val="22"/>
                <w:lang w:eastAsia="zh-CN"/>
              </w:rPr>
              <w:t>“</w:t>
            </w:r>
            <w:r>
              <w:rPr>
                <w:rFonts w:hint="eastAsia" w:cs="Times New Roman"/>
                <w:bCs/>
                <w:kern w:val="2"/>
                <w:sz w:val="22"/>
                <w:szCs w:val="22"/>
                <w:lang w:val="en-US" w:eastAsia="zh-CN"/>
              </w:rPr>
              <w:t>链主</w:t>
            </w:r>
            <w:r>
              <w:rPr>
                <w:rFonts w:hint="eastAsia" w:cs="Times New Roman"/>
                <w:bCs/>
                <w:kern w:val="2"/>
                <w:sz w:val="22"/>
                <w:szCs w:val="22"/>
                <w:lang w:eastAsia="zh-CN"/>
              </w:rPr>
              <w:t>”</w:t>
            </w:r>
            <w:r>
              <w:rPr>
                <w:rFonts w:hint="eastAsia" w:cs="Times New Roman"/>
                <w:bCs/>
                <w:kern w:val="2"/>
                <w:sz w:val="22"/>
                <w:szCs w:val="22"/>
                <w:lang w:val="en-US" w:eastAsia="zh-CN"/>
              </w:rPr>
              <w:t>基金要求</w:t>
            </w:r>
          </w:p>
        </w:tc>
        <w:tc>
          <w:tcPr>
            <w:tcW w:w="3012" w:type="pct"/>
            <w:tcMar>
              <w:top w:w="52" w:type="dxa"/>
              <w:left w:w="52" w:type="dxa"/>
              <w:bottom w:w="52" w:type="dxa"/>
              <w:right w:w="52" w:type="dxa"/>
            </w:tcMar>
            <w:vAlign w:val="center"/>
          </w:tcPr>
          <w:p>
            <w:pPr>
              <w:pStyle w:val="4"/>
              <w:spacing w:line="400" w:lineRule="exact"/>
              <w:jc w:val="both"/>
              <w:rPr>
                <w:rFonts w:hint="eastAsia" w:cs="Times New Roman"/>
                <w:bCs/>
                <w:kern w:val="2"/>
                <w:sz w:val="22"/>
                <w:szCs w:val="22"/>
              </w:rPr>
            </w:pPr>
            <w:r>
              <w:rPr>
                <w:rFonts w:hint="eastAsia" w:cs="Times New Roman"/>
                <w:bCs/>
                <w:kern w:val="2"/>
                <w:sz w:val="22"/>
                <w:szCs w:val="22"/>
              </w:rPr>
              <w:t>1.“链主”须满足以下条件之一：</w:t>
            </w:r>
          </w:p>
          <w:p>
            <w:pPr>
              <w:pStyle w:val="4"/>
              <w:spacing w:line="400" w:lineRule="exact"/>
              <w:jc w:val="both"/>
              <w:rPr>
                <w:rFonts w:hint="eastAsia" w:cs="Times New Roman"/>
                <w:bCs/>
                <w:kern w:val="2"/>
                <w:sz w:val="22"/>
                <w:szCs w:val="22"/>
              </w:rPr>
            </w:pPr>
            <w:r>
              <w:rPr>
                <w:rFonts w:hint="eastAsia" w:cs="Times New Roman"/>
                <w:bCs/>
                <w:kern w:val="2"/>
                <w:sz w:val="22"/>
                <w:szCs w:val="22"/>
              </w:rPr>
              <w:t>（1）上市企业，是指在境内主要资本市场首次公开发行股票并上市且注册在高新区的企业，或经认定的在境外主要资本市场首次公开发行股票并上市、上市主体在境外且主要经营主体注册在高新区的企业。</w:t>
            </w:r>
          </w:p>
          <w:p>
            <w:pPr>
              <w:pStyle w:val="4"/>
              <w:spacing w:line="400" w:lineRule="exact"/>
              <w:jc w:val="both"/>
              <w:rPr>
                <w:rFonts w:hint="eastAsia" w:cs="Times New Roman"/>
                <w:bCs/>
                <w:kern w:val="2"/>
                <w:sz w:val="22"/>
                <w:szCs w:val="22"/>
              </w:rPr>
            </w:pPr>
            <w:r>
              <w:rPr>
                <w:rFonts w:hint="eastAsia" w:cs="Times New Roman"/>
                <w:bCs/>
                <w:kern w:val="2"/>
                <w:sz w:val="22"/>
                <w:szCs w:val="22"/>
              </w:rPr>
              <w:t>（2）注册在成都高新区的行业龙头企业（具体参考财富、胡润、中国工商联、中国企业联合会等第三方知名机构近期发布的各类500强企业）。</w:t>
            </w:r>
          </w:p>
          <w:p>
            <w:pPr>
              <w:pStyle w:val="4"/>
              <w:spacing w:line="400" w:lineRule="exact"/>
              <w:jc w:val="both"/>
              <w:rPr>
                <w:rFonts w:hint="eastAsia" w:cs="Times New Roman"/>
                <w:bCs/>
                <w:kern w:val="2"/>
                <w:sz w:val="22"/>
                <w:szCs w:val="22"/>
              </w:rPr>
            </w:pPr>
            <w:r>
              <w:rPr>
                <w:rFonts w:hint="eastAsia" w:cs="Times New Roman"/>
                <w:bCs/>
                <w:kern w:val="2"/>
                <w:sz w:val="22"/>
                <w:szCs w:val="22"/>
              </w:rPr>
              <w:t>（3）注册在成都高新区的链主企业（具体参考近三年成都市经济和信息化局评选发布的“成都市产业建圈强链人才计划”产业链链主企业名单）</w:t>
            </w:r>
          </w:p>
          <w:p>
            <w:pPr>
              <w:pStyle w:val="4"/>
              <w:spacing w:line="400" w:lineRule="exact"/>
              <w:jc w:val="both"/>
              <w:rPr>
                <w:rFonts w:hint="eastAsia" w:cs="Times New Roman"/>
                <w:bCs/>
                <w:kern w:val="2"/>
                <w:sz w:val="22"/>
                <w:szCs w:val="22"/>
              </w:rPr>
            </w:pPr>
            <w:r>
              <w:rPr>
                <w:rFonts w:hint="eastAsia" w:cs="Times New Roman"/>
                <w:bCs/>
                <w:kern w:val="2"/>
                <w:sz w:val="22"/>
                <w:szCs w:val="22"/>
              </w:rPr>
              <w:t>2.上述“链主”须与子基金建立利益联结机制，满足以下条件之一：</w:t>
            </w:r>
          </w:p>
          <w:p>
            <w:pPr>
              <w:pStyle w:val="4"/>
              <w:spacing w:line="400" w:lineRule="exact"/>
              <w:jc w:val="both"/>
              <w:rPr>
                <w:rFonts w:hint="eastAsia" w:cs="Times New Roman"/>
                <w:bCs/>
                <w:kern w:val="2"/>
                <w:sz w:val="22"/>
                <w:szCs w:val="22"/>
              </w:rPr>
            </w:pPr>
            <w:r>
              <w:rPr>
                <w:rFonts w:hint="eastAsia" w:cs="Times New Roman"/>
                <w:bCs/>
                <w:kern w:val="2"/>
                <w:sz w:val="22"/>
                <w:szCs w:val="22"/>
              </w:rPr>
              <w:t>（1）“链主”（包括其实际控制的主体）或其关联方参股子基金管理机构，且持股比例不低于20%；</w:t>
            </w:r>
          </w:p>
          <w:p>
            <w:pPr>
              <w:pStyle w:val="4"/>
              <w:spacing w:line="400" w:lineRule="exact"/>
              <w:jc w:val="both"/>
              <w:rPr>
                <w:rFonts w:hint="eastAsia" w:cs="Times New Roman"/>
                <w:bCs/>
                <w:kern w:val="2"/>
                <w:sz w:val="22"/>
                <w:szCs w:val="22"/>
              </w:rPr>
            </w:pPr>
            <w:r>
              <w:rPr>
                <w:rFonts w:hint="eastAsia" w:cs="Times New Roman"/>
                <w:bCs/>
                <w:kern w:val="2"/>
                <w:sz w:val="22"/>
                <w:szCs w:val="22"/>
              </w:rPr>
              <w:t>（2）“链主”（包括其实际控制的主体）或其关联方作为LP在子基金中出资不低于30%；</w:t>
            </w:r>
          </w:p>
          <w:p>
            <w:pPr>
              <w:pStyle w:val="4"/>
              <w:spacing w:line="400" w:lineRule="exact"/>
              <w:jc w:val="both"/>
              <w:rPr>
                <w:rFonts w:cs="Times New Roman"/>
                <w:bCs/>
                <w:kern w:val="2"/>
                <w:sz w:val="22"/>
                <w:szCs w:val="22"/>
              </w:rPr>
            </w:pPr>
            <w:r>
              <w:rPr>
                <w:rFonts w:hint="eastAsia" w:cs="Times New Roman"/>
                <w:bCs/>
                <w:kern w:val="2"/>
                <w:sz w:val="22"/>
                <w:szCs w:val="22"/>
              </w:rPr>
              <w:t>（3）“链主”（包括其实际控制的主体）或其关联方在子基金中出资不低于10%，且担任普通合伙人或SLP，并派员参与子基金投资决策。</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r>
              <w:rPr>
                <w:rFonts w:hint="eastAsia" w:cs="Times New Roman"/>
                <w:bCs/>
                <w:kern w:val="2"/>
                <w:sz w:val="22"/>
                <w:szCs w:val="22"/>
              </w:rPr>
              <w:t>专业化园区基金</w:t>
            </w:r>
          </w:p>
          <w:p>
            <w:pPr>
              <w:pStyle w:val="4"/>
              <w:spacing w:line="400" w:lineRule="exact"/>
              <w:jc w:val="center"/>
              <w:rPr>
                <w:rFonts w:hint="eastAsia" w:cs="Times New Roman"/>
                <w:bCs/>
                <w:kern w:val="2"/>
                <w:sz w:val="22"/>
                <w:szCs w:val="22"/>
                <w:lang w:eastAsia="zh-CN"/>
              </w:rPr>
            </w:pPr>
            <w:r>
              <w:rPr>
                <w:rFonts w:hint="eastAsia" w:cs="Times New Roman"/>
                <w:bCs/>
                <w:kern w:val="2"/>
                <w:sz w:val="22"/>
                <w:szCs w:val="22"/>
              </w:rPr>
              <w:t>（生物医药方向）</w:t>
            </w:r>
          </w:p>
        </w:tc>
        <w:tc>
          <w:tcPr>
            <w:tcW w:w="3012" w:type="pct"/>
            <w:tcMar>
              <w:top w:w="52" w:type="dxa"/>
              <w:left w:w="52" w:type="dxa"/>
              <w:bottom w:w="52" w:type="dxa"/>
              <w:right w:w="52" w:type="dxa"/>
            </w:tcMar>
            <w:vAlign w:val="center"/>
          </w:tcPr>
          <w:p>
            <w:pPr>
              <w:pStyle w:val="4"/>
              <w:spacing w:line="400" w:lineRule="exact"/>
              <w:jc w:val="both"/>
              <w:rPr>
                <w:rFonts w:cs="Times New Roman"/>
                <w:bCs/>
                <w:kern w:val="2"/>
                <w:sz w:val="22"/>
                <w:szCs w:val="22"/>
              </w:rPr>
            </w:pPr>
            <w:r>
              <w:rPr>
                <w:rFonts w:hint="eastAsia" w:cs="Times New Roman"/>
                <w:bCs/>
                <w:kern w:val="2"/>
                <w:sz w:val="22"/>
                <w:szCs w:val="22"/>
              </w:rPr>
              <w:t>申请机构需提供成都高新区生物产业局出具的推荐函。</w:t>
            </w:r>
          </w:p>
        </w:tc>
        <w:tc>
          <w:tcPr>
            <w:tcW w:w="540" w:type="pct"/>
            <w:tcMar>
              <w:top w:w="52" w:type="dxa"/>
              <w:left w:w="52" w:type="dxa"/>
              <w:bottom w:w="52" w:type="dxa"/>
              <w:right w:w="52" w:type="dxa"/>
            </w:tcMar>
            <w:vAlign w:val="center"/>
          </w:tcPr>
          <w:p>
            <w:pPr>
              <w:pStyle w:val="4"/>
              <w:spacing w:line="400" w:lineRule="exact"/>
              <w:jc w:val="center"/>
              <w:rPr>
                <w:rFonts w:hint="eastAsia" w:cs="Times New Roman"/>
                <w:bCs/>
                <w:kern w:val="2"/>
                <w:sz w:val="22"/>
                <w:szCs w:val="22"/>
              </w:rPr>
            </w:pPr>
          </w:p>
        </w:tc>
        <w:tc>
          <w:tcPr>
            <w:tcW w:w="769" w:type="pct"/>
            <w:tcMar>
              <w:top w:w="52" w:type="dxa"/>
              <w:left w:w="52" w:type="dxa"/>
              <w:bottom w:w="52" w:type="dxa"/>
              <w:right w:w="52" w:type="dxa"/>
            </w:tcMar>
            <w:vAlign w:val="center"/>
          </w:tcPr>
          <w:p>
            <w:pPr>
              <w:spacing w:line="400" w:lineRule="exact"/>
              <w:rPr>
                <w:rFonts w:hint="eastAsia" w:ascii="宋体" w:hAnsi="宋体" w:eastAsia="宋体"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5000" w:type="pct"/>
            <w:gridSpan w:val="4"/>
            <w:tcMar>
              <w:top w:w="52" w:type="dxa"/>
              <w:left w:w="52" w:type="dxa"/>
              <w:bottom w:w="52" w:type="dxa"/>
              <w:right w:w="52" w:type="dxa"/>
            </w:tcMar>
            <w:vAlign w:val="center"/>
          </w:tcPr>
          <w:p>
            <w:pPr>
              <w:spacing w:line="400" w:lineRule="exact"/>
              <w:rPr>
                <w:rFonts w:hint="eastAsia" w:ascii="宋体" w:hAnsi="宋体" w:eastAsia="宋体" w:cs="Times New Roman"/>
                <w:bCs/>
                <w:sz w:val="22"/>
              </w:rPr>
            </w:pPr>
            <w:r>
              <w:rPr>
                <w:rFonts w:ascii="宋体" w:hAnsi="宋体" w:eastAsia="宋体" w:cs="Times New Roman"/>
                <w:b/>
                <w:bCs/>
                <w:sz w:val="22"/>
              </w:rPr>
              <w:t>二、子基金应符合以下条件：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注册地</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原则上注册于成都市高新区。</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pStyle w:val="4"/>
              <w:spacing w:line="400" w:lineRule="exact"/>
              <w:rPr>
                <w:rFonts w:hint="eastAsia" w:cs="Times New Roman"/>
                <w:bCs/>
                <w:kern w:val="2"/>
                <w:sz w:val="22"/>
                <w:szCs w:val="22"/>
              </w:rPr>
            </w:pPr>
            <w:r>
              <w:rPr>
                <w:rFonts w:cs="Times New Roman"/>
                <w:bCs/>
                <w:kern w:val="2"/>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基金</w:t>
            </w:r>
          </w:p>
          <w:p>
            <w:pPr>
              <w:pStyle w:val="4"/>
              <w:spacing w:line="400" w:lineRule="exact"/>
              <w:jc w:val="center"/>
              <w:rPr>
                <w:rFonts w:hint="eastAsia" w:cs="Times New Roman"/>
                <w:bCs/>
                <w:kern w:val="2"/>
                <w:sz w:val="22"/>
                <w:szCs w:val="22"/>
              </w:rPr>
            </w:pPr>
            <w:r>
              <w:rPr>
                <w:rFonts w:cs="Times New Roman"/>
                <w:bCs/>
                <w:kern w:val="2"/>
                <w:sz w:val="22"/>
                <w:szCs w:val="22"/>
              </w:rPr>
              <w:t>规模</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子基金单支规模原则上不</w:t>
            </w:r>
            <w:r>
              <w:rPr>
                <w:rFonts w:cs="Times New Roman"/>
                <w:bCs/>
                <w:kern w:val="2"/>
                <w:sz w:val="22"/>
                <w:szCs w:val="22"/>
                <w:highlight w:val="none"/>
              </w:rPr>
              <w:t>超过5亿元人民</w:t>
            </w:r>
            <w:r>
              <w:rPr>
                <w:rFonts w:cs="Times New Roman"/>
                <w:bCs/>
                <w:kern w:val="2"/>
                <w:sz w:val="22"/>
                <w:szCs w:val="22"/>
              </w:rPr>
              <w:t>币。</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pStyle w:val="4"/>
              <w:spacing w:line="400" w:lineRule="exact"/>
              <w:rPr>
                <w:rFonts w:hint="eastAsia" w:cs="Times New Roman"/>
                <w:bCs/>
                <w:kern w:val="2"/>
                <w:sz w:val="22"/>
                <w:szCs w:val="22"/>
              </w:rPr>
            </w:pPr>
            <w:r>
              <w:rPr>
                <w:rFonts w:cs="Times New Roman"/>
                <w:bCs/>
                <w:kern w:val="2"/>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存续</w:t>
            </w:r>
          </w:p>
          <w:p>
            <w:pPr>
              <w:pStyle w:val="4"/>
              <w:spacing w:line="400" w:lineRule="exact"/>
              <w:jc w:val="center"/>
              <w:rPr>
                <w:rFonts w:hint="eastAsia" w:cs="Times New Roman"/>
                <w:bCs/>
                <w:kern w:val="2"/>
                <w:sz w:val="22"/>
                <w:szCs w:val="22"/>
              </w:rPr>
            </w:pPr>
            <w:r>
              <w:rPr>
                <w:rFonts w:cs="Times New Roman"/>
                <w:bCs/>
                <w:kern w:val="2"/>
                <w:sz w:val="22"/>
                <w:szCs w:val="22"/>
              </w:rPr>
              <w:t>期限</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子基金存续期原则上不超过10年</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pStyle w:val="4"/>
              <w:spacing w:line="400" w:lineRule="exact"/>
              <w:rPr>
                <w:rFonts w:hint="eastAsia" w:cs="Times New Roman"/>
                <w:bCs/>
                <w:kern w:val="2"/>
                <w:sz w:val="22"/>
                <w:szCs w:val="22"/>
              </w:rPr>
            </w:pPr>
            <w:r>
              <w:rPr>
                <w:rFonts w:cs="Times New Roman"/>
                <w:bCs/>
                <w:kern w:val="2"/>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出资</w:t>
            </w:r>
          </w:p>
          <w:p>
            <w:pPr>
              <w:pStyle w:val="4"/>
              <w:spacing w:line="400" w:lineRule="exact"/>
              <w:jc w:val="center"/>
              <w:rPr>
                <w:rFonts w:hint="eastAsia" w:cs="Times New Roman"/>
                <w:bCs/>
                <w:kern w:val="2"/>
                <w:sz w:val="22"/>
                <w:szCs w:val="22"/>
              </w:rPr>
            </w:pPr>
            <w:r>
              <w:rPr>
                <w:rFonts w:cs="Times New Roman"/>
                <w:bCs/>
                <w:kern w:val="2"/>
                <w:sz w:val="22"/>
                <w:szCs w:val="22"/>
              </w:rPr>
              <w:t>比例</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天使母基金对单只子基金出资比例原则上不超过该子基金实缴出资规模的50%，且原则上不超过</w:t>
            </w:r>
            <w:r>
              <w:rPr>
                <w:rFonts w:hint="eastAsia" w:cs="Times New Roman"/>
                <w:bCs/>
                <w:kern w:val="2"/>
                <w:sz w:val="22"/>
                <w:szCs w:val="22"/>
              </w:rPr>
              <w:t>2</w:t>
            </w:r>
            <w:r>
              <w:rPr>
                <w:rFonts w:cs="Times New Roman"/>
                <w:bCs/>
                <w:kern w:val="2"/>
                <w:sz w:val="22"/>
                <w:szCs w:val="22"/>
              </w:rPr>
              <w:t>.5亿元。</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出资要求</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普通合伙人出资比例不低于1%</w:t>
            </w:r>
          </w:p>
        </w:tc>
        <w:tc>
          <w:tcPr>
            <w:tcW w:w="540" w:type="pct"/>
            <w:vAlign w:val="center"/>
          </w:tcPr>
          <w:p>
            <w:pPr>
              <w:pStyle w:val="4"/>
              <w:spacing w:line="400" w:lineRule="exact"/>
              <w:jc w:val="center"/>
              <w:rPr>
                <w:rFonts w:hint="eastAsia" w:cs="Times New Roman"/>
                <w:bCs/>
                <w:kern w:val="2"/>
                <w:sz w:val="22"/>
                <w:szCs w:val="22"/>
              </w:rPr>
            </w:pPr>
          </w:p>
        </w:tc>
        <w:tc>
          <w:tcPr>
            <w:tcW w:w="769" w:type="pct"/>
            <w:vAlign w:val="center"/>
          </w:tcPr>
          <w:p>
            <w:pPr>
              <w:spacing w:line="400" w:lineRule="exact"/>
              <w:rPr>
                <w:rFonts w:hint="eastAsia" w:ascii="宋体" w:hAnsi="宋体" w:eastAsia="宋体"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vMerge w:val="restart"/>
            <w:vAlign w:val="center"/>
          </w:tcPr>
          <w:p>
            <w:pPr>
              <w:pStyle w:val="4"/>
              <w:spacing w:line="400" w:lineRule="exact"/>
              <w:jc w:val="center"/>
              <w:rPr>
                <w:rFonts w:hint="eastAsia" w:cs="Times New Roman"/>
                <w:bCs/>
                <w:kern w:val="2"/>
                <w:sz w:val="22"/>
                <w:szCs w:val="22"/>
                <w:highlight w:val="none"/>
              </w:rPr>
            </w:pPr>
            <w:r>
              <w:rPr>
                <w:rFonts w:cs="Times New Roman"/>
                <w:bCs/>
                <w:kern w:val="2"/>
                <w:sz w:val="22"/>
                <w:szCs w:val="22"/>
                <w:highlight w:val="none"/>
              </w:rPr>
              <w:t>基金</w:t>
            </w:r>
          </w:p>
          <w:p>
            <w:pPr>
              <w:pStyle w:val="4"/>
              <w:spacing w:line="400" w:lineRule="exact"/>
              <w:jc w:val="center"/>
              <w:rPr>
                <w:rFonts w:hint="eastAsia" w:cs="Times New Roman"/>
                <w:bCs/>
                <w:kern w:val="2"/>
                <w:sz w:val="22"/>
                <w:szCs w:val="22"/>
              </w:rPr>
            </w:pPr>
            <w:r>
              <w:rPr>
                <w:rFonts w:cs="Times New Roman"/>
                <w:bCs/>
                <w:kern w:val="2"/>
                <w:sz w:val="22"/>
                <w:szCs w:val="22"/>
                <w:highlight w:val="none"/>
              </w:rPr>
              <w:t>投向</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“特长生”方向的子基金在其申报方向的项目投资金额原则上应不低于子基金实缴规模的50%。</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679" w:type="pct"/>
            <w:vMerge w:val="continue"/>
          </w:tcPr>
          <w:p>
            <w:pPr>
              <w:pStyle w:val="4"/>
              <w:spacing w:line="400" w:lineRule="exact"/>
              <w:jc w:val="center"/>
              <w:rPr>
                <w:rFonts w:hint="eastAsia" w:cs="Times New Roman"/>
                <w:bCs/>
                <w:kern w:val="2"/>
                <w:sz w:val="22"/>
                <w:szCs w:val="22"/>
              </w:rPr>
            </w:pP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投资于天使类项目的金额不低于子基金总规模的60%，在投资期内对子基金已投天使类项目的追加投资可纳入天使类项目认定。</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投资限额</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1. 子基金对单个项目单次投资金额原则上不超过子基金总规模的10%，追加投资后对单个项目累计投资额原则上不超过子基金总规模的20%。</w:t>
            </w:r>
          </w:p>
          <w:p>
            <w:pPr>
              <w:pStyle w:val="4"/>
              <w:spacing w:line="400" w:lineRule="exact"/>
              <w:jc w:val="both"/>
              <w:rPr>
                <w:rFonts w:hint="eastAsia" w:cs="Times New Roman"/>
                <w:bCs/>
                <w:kern w:val="2"/>
                <w:sz w:val="22"/>
                <w:szCs w:val="22"/>
              </w:rPr>
            </w:pPr>
            <w:r>
              <w:rPr>
                <w:rFonts w:cs="Times New Roman"/>
                <w:bCs/>
                <w:kern w:val="2"/>
                <w:sz w:val="22"/>
                <w:szCs w:val="22"/>
              </w:rPr>
              <w:t>2.子基金投资的项目总数原则上不低于15个（主投生物医药类子基金不低于10个）。其中，投资于成立时间不超过2年（生物医药类企业为5年）的企业数原则上不低于2个。</w:t>
            </w:r>
          </w:p>
        </w:tc>
        <w:tc>
          <w:tcPr>
            <w:tcW w:w="540" w:type="pct"/>
            <w:vAlign w:val="center"/>
          </w:tcPr>
          <w:p>
            <w:pPr>
              <w:pStyle w:val="4"/>
              <w:spacing w:line="400" w:lineRule="exact"/>
              <w:jc w:val="center"/>
              <w:rPr>
                <w:rFonts w:hint="eastAsia" w:cs="Times New Roman"/>
                <w:bCs/>
                <w:kern w:val="2"/>
                <w:sz w:val="22"/>
                <w:szCs w:val="22"/>
              </w:rPr>
            </w:pPr>
          </w:p>
        </w:tc>
        <w:tc>
          <w:tcPr>
            <w:tcW w:w="769" w:type="pct"/>
            <w:vAlign w:val="center"/>
          </w:tcPr>
          <w:p>
            <w:pPr>
              <w:spacing w:line="400" w:lineRule="exact"/>
              <w:rPr>
                <w:rFonts w:hint="eastAsia" w:ascii="宋体" w:hAnsi="宋体" w:eastAsia="宋体" w:cs="Times New Roman"/>
                <w:bCs/>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管理费</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子基金年度管理费率原则上不超过实缴规模的2.5%，且对天使母基金收取管理费的标准不得高于其他出资人。</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收益</w:t>
            </w:r>
          </w:p>
          <w:p>
            <w:pPr>
              <w:pStyle w:val="4"/>
              <w:spacing w:line="400" w:lineRule="exact"/>
              <w:jc w:val="center"/>
              <w:rPr>
                <w:rFonts w:hint="eastAsia" w:cs="Times New Roman"/>
                <w:bCs/>
                <w:kern w:val="2"/>
                <w:sz w:val="22"/>
                <w:szCs w:val="22"/>
              </w:rPr>
            </w:pPr>
            <w:r>
              <w:rPr>
                <w:rFonts w:cs="Times New Roman"/>
                <w:bCs/>
                <w:kern w:val="2"/>
                <w:sz w:val="22"/>
                <w:szCs w:val="22"/>
              </w:rPr>
              <w:t>分配</w:t>
            </w:r>
          </w:p>
        </w:tc>
        <w:tc>
          <w:tcPr>
            <w:tcW w:w="3012" w:type="pct"/>
            <w:vAlign w:val="center"/>
          </w:tcPr>
          <w:p>
            <w:pPr>
              <w:pStyle w:val="4"/>
              <w:spacing w:line="400" w:lineRule="exact"/>
              <w:jc w:val="both"/>
              <w:rPr>
                <w:rFonts w:hint="eastAsia" w:cs="Times New Roman"/>
                <w:bCs/>
                <w:kern w:val="2"/>
                <w:sz w:val="22"/>
                <w:szCs w:val="22"/>
              </w:rPr>
            </w:pPr>
            <w:r>
              <w:rPr>
                <w:rFonts w:cs="Times New Roman"/>
                <w:bCs/>
                <w:kern w:val="2"/>
                <w:sz w:val="22"/>
                <w:szCs w:val="22"/>
              </w:rPr>
              <w:t>子基金投资项目退出后，投资回收资金不得再用于对外投资，需及时按合伙协议约定向投资人进行分配，分配采取整体“先回本后分利”方式。</w:t>
            </w:r>
          </w:p>
        </w:tc>
        <w:tc>
          <w:tcPr>
            <w:tcW w:w="540" w:type="pct"/>
            <w:vAlign w:val="center"/>
          </w:tcPr>
          <w:p>
            <w:pPr>
              <w:pStyle w:val="4"/>
              <w:spacing w:line="400" w:lineRule="exact"/>
              <w:jc w:val="center"/>
              <w:rPr>
                <w:rFonts w:hint="eastAsia" w:cs="Times New Roman"/>
                <w:bCs/>
                <w:kern w:val="2"/>
                <w:sz w:val="22"/>
                <w:szCs w:val="22"/>
              </w:rPr>
            </w:pPr>
            <w:r>
              <w:rPr>
                <w:rFonts w:cs="Times New Roman"/>
                <w:bCs/>
                <w:kern w:val="2"/>
                <w:sz w:val="22"/>
                <w:szCs w:val="22"/>
              </w:rPr>
              <w:t>　</w:t>
            </w:r>
          </w:p>
        </w:tc>
        <w:tc>
          <w:tcPr>
            <w:tcW w:w="769" w:type="pct"/>
            <w:vAlign w:val="center"/>
          </w:tcPr>
          <w:p>
            <w:pPr>
              <w:spacing w:line="400" w:lineRule="exact"/>
              <w:rPr>
                <w:rFonts w:hint="eastAsia" w:ascii="宋体" w:hAnsi="宋体" w:eastAsia="宋体" w:cs="Times New Roman"/>
                <w:bCs/>
                <w:sz w:val="22"/>
              </w:rPr>
            </w:pPr>
            <w:r>
              <w:rPr>
                <w:rFonts w:ascii="宋体" w:hAnsi="宋体" w:eastAsia="宋体" w:cs="Times New Roman"/>
                <w:bCs/>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jc w:val="center"/>
        </w:trPr>
        <w:tc>
          <w:tcPr>
            <w:tcW w:w="0" w:type="auto"/>
            <w:vAlign w:val="center"/>
          </w:tcPr>
          <w:p>
            <w:pPr>
              <w:pStyle w:val="4"/>
              <w:spacing w:line="400" w:lineRule="exact"/>
              <w:jc w:val="center"/>
              <w:rPr>
                <w:rFonts w:hint="eastAsia" w:cs="Times New Roman"/>
                <w:bCs/>
                <w:kern w:val="2"/>
                <w:sz w:val="22"/>
                <w:szCs w:val="22"/>
              </w:rPr>
            </w:pPr>
            <w:r>
              <w:rPr>
                <w:rFonts w:cs="Times New Roman"/>
                <w:bCs/>
                <w:kern w:val="2"/>
                <w:sz w:val="22"/>
                <w:szCs w:val="22"/>
              </w:rPr>
              <w:t>资金</w:t>
            </w:r>
          </w:p>
          <w:p>
            <w:pPr>
              <w:pStyle w:val="4"/>
              <w:spacing w:line="400" w:lineRule="exact"/>
              <w:jc w:val="center"/>
              <w:rPr>
                <w:rFonts w:hint="eastAsia" w:cs="Times New Roman"/>
                <w:bCs/>
                <w:kern w:val="2"/>
                <w:sz w:val="22"/>
                <w:szCs w:val="22"/>
              </w:rPr>
            </w:pPr>
            <w:r>
              <w:rPr>
                <w:rFonts w:cs="Times New Roman"/>
                <w:bCs/>
                <w:kern w:val="2"/>
                <w:sz w:val="22"/>
                <w:szCs w:val="22"/>
              </w:rPr>
              <w:t>托管</w:t>
            </w:r>
          </w:p>
        </w:tc>
        <w:tc>
          <w:tcPr>
            <w:tcW w:w="3012" w:type="pct"/>
            <w:vAlign w:val="center"/>
          </w:tcPr>
          <w:p>
            <w:pPr>
              <w:pStyle w:val="4"/>
              <w:spacing w:line="400" w:lineRule="exact"/>
              <w:jc w:val="both"/>
              <w:rPr>
                <w:rFonts w:hint="eastAsia" w:cs="Times New Roman"/>
                <w:bCs/>
                <w:kern w:val="2"/>
                <w:sz w:val="22"/>
                <w:szCs w:val="22"/>
              </w:rPr>
            </w:pPr>
            <w:r>
              <w:rPr>
                <w:rFonts w:hint="eastAsia" w:cs="Times New Roman"/>
                <w:bCs/>
                <w:kern w:val="2"/>
                <w:sz w:val="22"/>
                <w:szCs w:val="22"/>
              </w:rPr>
              <w:t>原则上托管户一般应在工商和税收关系位于成都高新区的各商业银行中择优确定开立。</w:t>
            </w:r>
          </w:p>
        </w:tc>
        <w:tc>
          <w:tcPr>
            <w:tcW w:w="540" w:type="pct"/>
            <w:vAlign w:val="center"/>
          </w:tcPr>
          <w:p>
            <w:pPr>
              <w:pStyle w:val="4"/>
              <w:spacing w:line="400" w:lineRule="exact"/>
              <w:jc w:val="center"/>
              <w:rPr>
                <w:rFonts w:hint="eastAsia" w:cs="Times New Roman"/>
                <w:bCs/>
                <w:kern w:val="2"/>
                <w:sz w:val="22"/>
                <w:szCs w:val="22"/>
              </w:rPr>
            </w:pPr>
          </w:p>
        </w:tc>
        <w:tc>
          <w:tcPr>
            <w:tcW w:w="769" w:type="pct"/>
            <w:vAlign w:val="center"/>
          </w:tcPr>
          <w:p>
            <w:pPr>
              <w:spacing w:line="400" w:lineRule="exact"/>
              <w:rPr>
                <w:rFonts w:hint="eastAsia" w:ascii="宋体" w:hAnsi="宋体" w:eastAsia="宋体" w:cs="Times New Roman"/>
                <w:bCs/>
                <w:sz w:val="22"/>
              </w:rPr>
            </w:pPr>
          </w:p>
        </w:tc>
      </w:tr>
    </w:tbl>
    <w:p>
      <w:pPr>
        <w:rPr>
          <w:rFonts w:ascii="Times New Roman" w:hAnsi="Times New Roman" w:eastAsia="方正仿宋_GBK" w:cs="Times New Roman"/>
          <w:b/>
          <w:sz w:val="24"/>
          <w:szCs w:val="24"/>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方正仿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MjRlOGJiMDI0NjIzODkwYTA1NGVjZWU1ZWIyMzMifQ=="/>
    <w:docVar w:name="KSO_WPS_MARK_KEY" w:val="cf872e9e-e3ce-4308-8af9-7628fda245e5"/>
  </w:docVars>
  <w:rsids>
    <w:rsidRoot w:val="54E91A7C"/>
    <w:rsid w:val="47762036"/>
    <w:rsid w:val="54E91A7C"/>
    <w:rsid w:val="688A4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_tr_td &gt; any"/>
    <w:basedOn w:val="1"/>
    <w:qFormat/>
    <w:uiPriority w:val="0"/>
    <w:pPr>
      <w:widowControl/>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2185</Words>
  <Characters>2254</Characters>
  <Lines>0</Lines>
  <Paragraphs>0</Paragraphs>
  <TotalTime>1</TotalTime>
  <ScaleCrop>false</ScaleCrop>
  <LinksUpToDate>false</LinksUpToDate>
  <CharactersWithSpaces>2278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2024-12-09T02:02:00Z</dcterms:created>
  <dc:creator>lius</dc:creator>
  <cp:lastModifiedBy>lius</cp:lastModifiedBy>
  <dcterms:modified xsi:type="dcterms:W3CDTF">2024-12-09T02:04:38Z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210736418E9D4CD4AC9B064D48706928</vt:lpwstr>
  </property>
</Properties>
</file>