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sz w:val="32"/>
          <w:szCs w:val="28"/>
        </w:rPr>
      </w:pPr>
      <w:r>
        <w:rPr>
          <w:rFonts w:hint="eastAsia" w:ascii="黑体" w:hAnsi="黑体" w:eastAsia="黑体" w:cs="黑体"/>
          <w:bCs/>
          <w:sz w:val="32"/>
          <w:szCs w:val="28"/>
        </w:rPr>
        <w:t>附件4</w:t>
      </w:r>
    </w:p>
    <w:p>
      <w:pPr>
        <w:spacing w:line="560" w:lineRule="exact"/>
        <w:jc w:val="center"/>
        <w:rPr>
          <w:rFonts w:ascii="方正小标宋_GBK" w:hAnsi="方正小标宋_GBK" w:eastAsia="方正小标宋_GBK" w:cs="方正小标宋_GBK"/>
          <w:bCs/>
          <w:sz w:val="36"/>
          <w:szCs w:val="24"/>
        </w:rPr>
      </w:pPr>
      <w:r>
        <w:rPr>
          <w:rFonts w:hint="eastAsia" w:ascii="方正小标宋_GBK" w:hAnsi="方正小标宋_GBK" w:eastAsia="方正小标宋_GBK" w:cs="方正小标宋_GBK"/>
          <w:bCs/>
          <w:sz w:val="36"/>
          <w:szCs w:val="24"/>
        </w:rPr>
        <w:t>子基金合规性自查表</w:t>
      </w:r>
    </w:p>
    <w:p>
      <w:pPr>
        <w:spacing w:line="560" w:lineRule="exact"/>
        <w:jc w:val="left"/>
        <w:rPr>
          <w:rFonts w:ascii="仿宋_GB2312" w:hAnsi="仿宋_GB2312" w:eastAsia="仿宋_GB2312" w:cs="仿宋_GB2312"/>
          <w:b/>
          <w:sz w:val="28"/>
          <w:szCs w:val="24"/>
        </w:rPr>
      </w:pPr>
    </w:p>
    <w:p>
      <w:pPr>
        <w:spacing w:line="560" w:lineRule="exact"/>
        <w:jc w:val="left"/>
        <w:rPr>
          <w:b/>
          <w:sz w:val="28"/>
          <w:szCs w:val="24"/>
        </w:rPr>
      </w:pPr>
      <w:r>
        <w:rPr>
          <w:rFonts w:hint="eastAsia" w:ascii="仿宋_GB2312" w:hAnsi="仿宋_GB2312" w:eastAsia="仿宋_GB2312" w:cs="仿宋_GB2312"/>
          <w:b/>
          <w:sz w:val="28"/>
          <w:szCs w:val="24"/>
        </w:rPr>
        <w:t>拟申报子基金名称：福建省生物医药产业引导基金</w:t>
      </w:r>
      <w:r>
        <w:rPr>
          <w:rFonts w:hint="eastAsia"/>
          <w:b/>
          <w:sz w:val="28"/>
          <w:szCs w:val="24"/>
        </w:rPr>
        <w:t xml:space="preserve">              </w:t>
      </w:r>
    </w:p>
    <w:p>
      <w:pPr>
        <w:spacing w:line="560" w:lineRule="exact"/>
        <w:jc w:val="left"/>
        <w:rPr>
          <w:b/>
          <w:sz w:val="24"/>
          <w:u w:val="single"/>
        </w:rPr>
      </w:pP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3665"/>
        <w:gridCol w:w="1128"/>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blHeader/>
          <w:jc w:val="center"/>
        </w:trPr>
        <w:tc>
          <w:tcPr>
            <w:tcW w:w="2773" w:type="pct"/>
            <w:gridSpan w:val="2"/>
            <w:shd w:val="clear" w:color="auto" w:fill="auto"/>
            <w:vAlign w:val="center"/>
          </w:tcPr>
          <w:p>
            <w:pPr>
              <w:spacing w:line="360" w:lineRule="exact"/>
              <w:jc w:val="center"/>
              <w:rPr>
                <w:rFonts w:ascii="仿宋_GB2312" w:hAnsi="仿宋_GB2312" w:eastAsia="仿宋_GB2312" w:cs="仿宋_GB2312"/>
                <w:b/>
                <w:sz w:val="22"/>
                <w:szCs w:val="24"/>
              </w:rPr>
            </w:pPr>
            <w:r>
              <w:rPr>
                <w:rFonts w:hint="eastAsia" w:ascii="仿宋_GB2312" w:hAnsi="仿宋_GB2312" w:eastAsia="仿宋_GB2312" w:cs="仿宋_GB2312"/>
                <w:b/>
                <w:sz w:val="22"/>
                <w:szCs w:val="24"/>
              </w:rPr>
              <w:t>项目</w:t>
            </w:r>
          </w:p>
        </w:tc>
        <w:tc>
          <w:tcPr>
            <w:tcW w:w="662" w:type="pct"/>
            <w:shd w:val="clear" w:color="auto" w:fill="auto"/>
            <w:vAlign w:val="center"/>
          </w:tcPr>
          <w:p>
            <w:pPr>
              <w:spacing w:line="360" w:lineRule="exact"/>
              <w:jc w:val="center"/>
              <w:rPr>
                <w:rFonts w:ascii="仿宋_GB2312" w:hAnsi="仿宋_GB2312" w:eastAsia="仿宋_GB2312" w:cs="仿宋_GB2312"/>
                <w:b/>
                <w:color w:val="000000"/>
                <w:sz w:val="22"/>
                <w:szCs w:val="24"/>
              </w:rPr>
            </w:pPr>
            <w:r>
              <w:rPr>
                <w:rFonts w:hint="eastAsia" w:ascii="仿宋_GB2312" w:hAnsi="仿宋_GB2312" w:eastAsia="仿宋_GB2312" w:cs="仿宋_GB2312"/>
                <w:b/>
                <w:color w:val="000000"/>
                <w:sz w:val="22"/>
                <w:szCs w:val="24"/>
              </w:rPr>
              <w:t>是否符合</w:t>
            </w:r>
          </w:p>
        </w:tc>
        <w:tc>
          <w:tcPr>
            <w:tcW w:w="1564" w:type="pct"/>
            <w:shd w:val="clear" w:color="auto" w:fill="auto"/>
            <w:vAlign w:val="center"/>
          </w:tcPr>
          <w:p>
            <w:pPr>
              <w:spacing w:line="360" w:lineRule="exact"/>
              <w:jc w:val="center"/>
              <w:rPr>
                <w:rFonts w:ascii="仿宋_GB2312" w:hAnsi="仿宋_GB2312" w:eastAsia="仿宋_GB2312" w:cs="仿宋_GB2312"/>
                <w:b/>
                <w:color w:val="000000"/>
                <w:sz w:val="22"/>
                <w:szCs w:val="24"/>
              </w:rPr>
            </w:pPr>
            <w:r>
              <w:rPr>
                <w:rFonts w:hint="eastAsia" w:ascii="仿宋_GB2312" w:hAnsi="仿宋_GB2312" w:eastAsia="仿宋_GB2312" w:cs="仿宋_GB2312"/>
                <w:b/>
                <w:color w:val="000000"/>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000" w:type="pct"/>
            <w:gridSpan w:val="4"/>
            <w:shd w:val="clear" w:color="auto" w:fill="auto"/>
            <w:vAlign w:val="center"/>
          </w:tcPr>
          <w:p>
            <w:pPr>
              <w:spacing w:line="360" w:lineRule="exact"/>
              <w:rPr>
                <w:rFonts w:cs="Arial"/>
                <w:b/>
                <w:color w:val="000000"/>
                <w:szCs w:val="21"/>
              </w:rPr>
            </w:pPr>
            <w:r>
              <w:rPr>
                <w:rFonts w:hint="eastAsia" w:ascii="黑体" w:hAnsi="黑体" w:eastAsia="黑体" w:cs="黑体"/>
                <w:bCs/>
                <w:color w:val="000000"/>
                <w:szCs w:val="21"/>
              </w:rPr>
              <w:t>一、</w:t>
            </w:r>
            <w:r>
              <w:rPr>
                <w:rFonts w:hint="eastAsia" w:ascii="黑体" w:hAnsi="黑体" w:eastAsia="黑体" w:cs="黑体"/>
                <w:bCs/>
                <w:szCs w:val="21"/>
              </w:rPr>
              <w:t>子基金管理机构应符合以下条件</w:t>
            </w:r>
            <w:r>
              <w:rPr>
                <w:rFonts w:hint="eastAsia" w:ascii="黑体" w:hAnsi="黑体" w:eastAsia="黑体" w:cs="黑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restar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基本要求</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依法设立的公司或企业，实收资本不低于1000万元人民币，在中国证券投资基金业协会登记为私募股权、创业投资基金管理人。</w:t>
            </w:r>
          </w:p>
        </w:tc>
        <w:tc>
          <w:tcPr>
            <w:tcW w:w="662" w:type="pct"/>
            <w:shd w:val="clear" w:color="auto" w:fill="auto"/>
            <w:vAlign w:val="center"/>
          </w:tcPr>
          <w:p>
            <w:pPr>
              <w:spacing w:line="360" w:lineRule="exact"/>
              <w:rPr>
                <w:rFonts w:ascii="仿宋_GB2312" w:hAnsi="仿宋_GB2312" w:eastAsia="仿宋_GB2312" w:cs="仿宋_GB2312"/>
                <w:b/>
                <w:color w:val="000000"/>
                <w:szCs w:val="21"/>
              </w:rPr>
            </w:pPr>
          </w:p>
        </w:tc>
        <w:tc>
          <w:tcPr>
            <w:tcW w:w="1564" w:type="pct"/>
            <w:shd w:val="clear" w:color="auto" w:fill="auto"/>
            <w:vAlign w:val="center"/>
          </w:tcPr>
          <w:p>
            <w:pPr>
              <w:spacing w:line="360" w:lineRule="exact"/>
              <w:rPr>
                <w:rFonts w:ascii="仿宋_GB2312" w:hAnsi="仿宋_GB2312" w:eastAsia="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至少有3名具备3年以上资产管理工作经验的高级管理人员。</w:t>
            </w:r>
          </w:p>
        </w:tc>
        <w:tc>
          <w:tcPr>
            <w:tcW w:w="662" w:type="pct"/>
            <w:shd w:val="clear" w:color="auto" w:fill="auto"/>
            <w:vAlign w:val="center"/>
          </w:tcPr>
          <w:p>
            <w:pPr>
              <w:spacing w:line="360" w:lineRule="exact"/>
              <w:rPr>
                <w:rFonts w:ascii="仿宋_GB2312" w:hAnsi="仿宋_GB2312" w:eastAsia="仿宋_GB2312" w:cs="仿宋_GB2312"/>
                <w:b/>
                <w:color w:val="000000"/>
                <w:szCs w:val="21"/>
              </w:rPr>
            </w:pPr>
          </w:p>
        </w:tc>
        <w:tc>
          <w:tcPr>
            <w:tcW w:w="1564" w:type="pct"/>
            <w:shd w:val="clear" w:color="auto" w:fill="auto"/>
            <w:vAlign w:val="center"/>
          </w:tcPr>
          <w:p>
            <w:pPr>
              <w:spacing w:line="360" w:lineRule="exact"/>
              <w:rPr>
                <w:rFonts w:ascii="仿宋_GB2312" w:hAnsi="仿宋_GB2312" w:eastAsia="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rPr>
              <w:t>基金管理机构及其董事、监事、高级管理人员及其他从业人员在最近三年无重大违法行为；基金管理机构最近三年无明显违反有关政策或以申领财政奖励为目的的政府投资基金投资行为。</w:t>
            </w:r>
          </w:p>
        </w:tc>
        <w:tc>
          <w:tcPr>
            <w:tcW w:w="662" w:type="pct"/>
            <w:shd w:val="clear" w:color="auto" w:fill="auto"/>
            <w:vAlign w:val="center"/>
          </w:tcPr>
          <w:p>
            <w:pPr>
              <w:spacing w:line="360" w:lineRule="exact"/>
              <w:rPr>
                <w:rFonts w:ascii="仿宋_GB2312" w:hAnsi="仿宋_GB2312" w:eastAsia="仿宋_GB2312" w:cs="仿宋_GB2312"/>
                <w:b/>
                <w:color w:val="000000"/>
                <w:szCs w:val="21"/>
              </w:rPr>
            </w:pPr>
          </w:p>
        </w:tc>
        <w:tc>
          <w:tcPr>
            <w:tcW w:w="1564" w:type="pct"/>
            <w:shd w:val="clear" w:color="auto" w:fill="auto"/>
            <w:vAlign w:val="center"/>
          </w:tcPr>
          <w:p>
            <w:pPr>
              <w:spacing w:line="360" w:lineRule="exact"/>
              <w:rPr>
                <w:rFonts w:ascii="仿宋_GB2312" w:hAnsi="仿宋_GB2312" w:eastAsia="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rPr>
              <w:t>有符合要求的营业场所、安全防范设施和与基金管理业务有关的其他设施。</w:t>
            </w:r>
          </w:p>
        </w:tc>
        <w:tc>
          <w:tcPr>
            <w:tcW w:w="662" w:type="pct"/>
            <w:shd w:val="clear" w:color="auto" w:fill="auto"/>
            <w:vAlign w:val="center"/>
          </w:tcPr>
          <w:p>
            <w:pPr>
              <w:spacing w:line="360" w:lineRule="exact"/>
              <w:rPr>
                <w:rFonts w:ascii="仿宋_GB2312" w:hAnsi="仿宋_GB2312" w:eastAsia="仿宋_GB2312" w:cs="仿宋_GB2312"/>
                <w:b/>
                <w:color w:val="000000"/>
                <w:szCs w:val="21"/>
              </w:rPr>
            </w:pPr>
          </w:p>
        </w:tc>
        <w:tc>
          <w:tcPr>
            <w:tcW w:w="1564" w:type="pct"/>
            <w:shd w:val="clear" w:color="auto" w:fill="auto"/>
            <w:vAlign w:val="center"/>
          </w:tcPr>
          <w:p>
            <w:pPr>
              <w:spacing w:line="360" w:lineRule="exact"/>
              <w:rPr>
                <w:rFonts w:ascii="仿宋_GB2312" w:hAnsi="仿宋_GB2312" w:eastAsia="仿宋_GB2312" w:cs="仿宋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rPr>
              <w:t>有良好的内部治理结构和风险控制制度</w:t>
            </w:r>
            <w:r>
              <w:rPr>
                <w:rFonts w:hint="eastAsia" w:ascii="仿宋_GB2312" w:hAnsi="仿宋_GB2312" w:eastAsia="仿宋_GB2312" w:cs="仿宋_GB2312"/>
                <w:szCs w:val="21"/>
              </w:rPr>
              <w:t>。</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pStyle w:val="9"/>
              <w:spacing w:line="360" w:lineRule="exact"/>
              <w:ind w:firstLine="0" w:firstLineChars="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法律法规规定的其他条件和基金发起人认为应当具备的其他条件。</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pStyle w:val="9"/>
              <w:spacing w:line="360" w:lineRule="exact"/>
              <w:ind w:firstLine="0" w:firstLineChars="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restar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设立及出资要求</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基金管理人及其关联方出资比例不低于1%。</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pStyle w:val="9"/>
              <w:spacing w:line="360" w:lineRule="exact"/>
              <w:ind w:firstLine="0" w:firstLineChars="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出具承诺函或其他出资证明文件的金额不低于基金首期认缴规模的50%。</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pStyle w:val="9"/>
              <w:spacing w:line="360" w:lineRule="exact"/>
              <w:ind w:firstLine="0" w:firstLineChars="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lang w:val="en-US" w:eastAsia="zh-CN"/>
              </w:rPr>
              <w:t>接受</w:t>
            </w:r>
            <w:r>
              <w:rPr>
                <w:rFonts w:hint="eastAsia" w:ascii="仿宋_GB2312" w:hAnsi="仿宋_GB2312" w:eastAsia="仿宋_GB2312" w:cs="仿宋_GB2312"/>
              </w:rPr>
              <w:t>基金所有出资人首期实缴出资不少于基金认缴规模的20%，且应在基金设立后3个月内到位。省级基金原则上应同比例且不优先于其他出资人出资。</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pStyle w:val="9"/>
              <w:spacing w:line="360" w:lineRule="exact"/>
              <w:ind w:firstLine="0" w:firstLineChars="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福建省、市、县（区）级政府共同出资比例合计不超过50%，省内政府及国资出资比例合计不超过80%。</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pStyle w:val="9"/>
              <w:spacing w:line="360" w:lineRule="exact"/>
              <w:ind w:firstLine="0" w:firstLineChars="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622"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绩效评价</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子基金管理机构接受后续子基金绩效评价，结果与省级基金承担的管理费、业绩奖励挂钩，其他有限合伙人可参照应用。</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pStyle w:val="9"/>
              <w:spacing w:line="360" w:lineRule="exact"/>
              <w:ind w:firstLine="0" w:firstLineChars="0"/>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5000" w:type="pct"/>
            <w:gridSpan w:val="4"/>
            <w:shd w:val="clear" w:color="auto" w:fill="auto"/>
            <w:vAlign w:val="center"/>
          </w:tcPr>
          <w:p>
            <w:pPr>
              <w:spacing w:line="360" w:lineRule="exact"/>
              <w:rPr>
                <w:rFonts w:ascii="宋体" w:hAnsi="宋体"/>
                <w:b/>
                <w:color w:val="000000"/>
                <w:szCs w:val="21"/>
              </w:rPr>
            </w:pPr>
            <w:r>
              <w:rPr>
                <w:rFonts w:hint="eastAsia" w:ascii="黑体" w:hAnsi="黑体" w:eastAsia="黑体" w:cs="黑体"/>
                <w:bCs/>
                <w:color w:val="000000"/>
                <w:szCs w:val="21"/>
              </w:rPr>
              <w:t>二、子基金申报方案应符合《申报指南》要求：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restar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基金基本要素</w:t>
            </w:r>
          </w:p>
        </w:tc>
        <w:tc>
          <w:tcPr>
            <w:tcW w:w="2151" w:type="pct"/>
            <w:shd w:val="clear" w:color="auto" w:fill="auto"/>
            <w:vAlign w:val="center"/>
          </w:tcPr>
          <w:p>
            <w:pPr>
              <w:spacing w:line="360" w:lineRule="exact"/>
              <w:rPr>
                <w:rFonts w:hint="eastAsia" w:ascii="仿宋_GB2312" w:hAnsi="仿宋_GB2312" w:eastAsia="仿宋_GB2312" w:cs="仿宋_GB2312"/>
              </w:rPr>
            </w:pPr>
            <w:r>
              <w:rPr>
                <w:rFonts w:hint="eastAsia" w:ascii="仿宋_GB2312" w:hAnsi="仿宋_GB2312" w:eastAsia="仿宋_GB2312" w:cs="仿宋_GB2312"/>
              </w:rPr>
              <w:t>基金名称</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tcBorders/>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注册地</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tcBorders/>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组织形式</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tcBorders/>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基金规模</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tcBorders/>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基金存续期</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tcBorders/>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投资领域</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决策机制</w:t>
            </w:r>
          </w:p>
        </w:tc>
        <w:tc>
          <w:tcPr>
            <w:tcW w:w="2151" w:type="pct"/>
            <w:shd w:val="clear" w:color="auto" w:fill="auto"/>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福建省金投私募基金管理有限公司在投资决策委员会中委派1名观察员，观察员就投资项目是否符合福建省相关政策规定及《福建省生物医药产业引导基金设立方案》的要求具有一票否决权。</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管理费</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投资期每年管理费不高于全体合伙人实缴出资总额的百分之二（2%），退出期每年管理费不高于未回收投资成本总额的百分之一点五（1.5%），延长期不收取管理费。</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关键人士</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在子基金投资期内应保证委派代表、关键人士、投委会成员、专职高管等人员的稳定性，人员变动应经子基金决策程序同意。</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收益分配和</w:t>
            </w:r>
          </w:p>
          <w:p>
            <w:pPr>
              <w:spacing w:line="360" w:lineRule="exact"/>
              <w:jc w:val="center"/>
              <w:rPr>
                <w:rFonts w:ascii="仿宋_GB2312" w:hAnsi="仿宋_GB2312" w:eastAsia="仿宋_GB2312" w:cs="仿宋_GB2312"/>
              </w:rPr>
            </w:pPr>
            <w:r>
              <w:rPr>
                <w:rFonts w:hint="eastAsia" w:ascii="仿宋_GB2312" w:hAnsi="仿宋_GB2312" w:eastAsia="仿宋_GB2312" w:cs="仿宋_GB2312"/>
              </w:rPr>
              <w:t>激励机制</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投资收益以“先回本后分利”的原则进行分配，基金从投资项目回收的资金不再进行滚动投资。在预留合理金额的基础上，项目退出收回的资金可向全体合伙人按其在基金中实缴出资比例进行分配。各有限合伙人收回全部累计实缴出资额及获得约定的门槛（不低于年化6%）收益后，如有剩余为超额收益部分，基金管理人可提取不超过超额收益的20%作为业绩报酬。</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托管机构</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具有监管部门认定的基金业务托管资格、合规经营、财务健全、制度完善、信用良好的银行机构。</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强制退出</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接受省级基金强制退出权（具体情形参考《福建省政府投资基金实施细则》）。</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restar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投资限制</w:t>
            </w:r>
          </w:p>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基金对单个底层项目的投资额原则上不得超过基金认缴规模的20%，福建省政府或上级政府确定投资的重大项目，可不受上述限制。</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基金投资于约定的产业领域的比例不得低于基金募集规模或承诺出资额的60%。</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jc w:val="center"/>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基金投资于福建省的资金原则上不低于福建省各级政府出资额的1.</w:t>
            </w:r>
            <w:r>
              <w:rPr>
                <w:rFonts w:ascii="仿宋_GB2312" w:hAnsi="仿宋_GB2312" w:eastAsia="仿宋_GB2312" w:cs="仿宋_GB2312"/>
              </w:rPr>
              <w:t>2</w:t>
            </w:r>
            <w:r>
              <w:rPr>
                <w:rFonts w:hint="eastAsia" w:ascii="仿宋_GB2312" w:hAnsi="仿宋_GB2312" w:eastAsia="仿宋_GB2312" w:cs="仿宋_GB2312"/>
              </w:rPr>
              <w:t>倍。</w:t>
            </w:r>
          </w:p>
        </w:tc>
        <w:tc>
          <w:tcPr>
            <w:tcW w:w="662" w:type="pct"/>
            <w:shd w:val="clear" w:color="auto" w:fill="auto"/>
            <w:vAlign w:val="center"/>
          </w:tcPr>
          <w:p>
            <w:pPr>
              <w:spacing w:line="360" w:lineRule="exact"/>
              <w:rPr>
                <w:rFonts w:ascii="仿宋_GB2312" w:hAnsi="仿宋_GB2312" w:eastAsia="仿宋_GB2312" w:cs="仿宋_GB2312"/>
                <w:szCs w:val="21"/>
              </w:rPr>
            </w:pPr>
          </w:p>
        </w:tc>
        <w:tc>
          <w:tcPr>
            <w:tcW w:w="1564" w:type="pct"/>
            <w:shd w:val="clear" w:color="auto" w:fill="auto"/>
            <w:vAlign w:val="center"/>
          </w:tcPr>
          <w:p>
            <w:pPr>
              <w:spacing w:line="3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restart"/>
            <w:shd w:val="clear" w:color="auto" w:fill="auto"/>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不得从  事业务</w:t>
            </w: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从事融资担保以外的担保、抵押、委托贷款等业务。</w:t>
            </w:r>
          </w:p>
        </w:tc>
        <w:tc>
          <w:tcPr>
            <w:tcW w:w="662" w:type="pct"/>
            <w:shd w:val="clear" w:color="auto" w:fill="auto"/>
            <w:vAlign w:val="center"/>
          </w:tcPr>
          <w:p>
            <w:pPr>
              <w:spacing w:line="360" w:lineRule="exact"/>
              <w:rPr>
                <w:rFonts w:ascii="仿宋_GB2312" w:hAnsi="仿宋_GB2312" w:eastAsia="仿宋_GB2312" w:cs="仿宋_GB2312"/>
              </w:rPr>
            </w:pPr>
          </w:p>
        </w:tc>
        <w:tc>
          <w:tcPr>
            <w:tcW w:w="1564" w:type="pct"/>
            <w:shd w:val="clear" w:color="auto" w:fill="auto"/>
            <w:vAlign w:val="center"/>
          </w:tcPr>
          <w:p>
            <w:pPr>
              <w:spacing w:line="3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投资二级市场股票、期货、房地产、证券投资基金、评级AAA以下的企业债、信托产品、非保本型理财产品、保险计划及其他金融衍生品。</w:t>
            </w:r>
          </w:p>
        </w:tc>
        <w:tc>
          <w:tcPr>
            <w:tcW w:w="662" w:type="pct"/>
            <w:shd w:val="clear" w:color="auto" w:fill="auto"/>
            <w:vAlign w:val="center"/>
          </w:tcPr>
          <w:p>
            <w:pPr>
              <w:spacing w:line="360" w:lineRule="exact"/>
              <w:rPr>
                <w:rFonts w:ascii="仿宋_GB2312" w:hAnsi="仿宋_GB2312" w:eastAsia="仿宋_GB2312" w:cs="仿宋_GB2312"/>
              </w:rPr>
            </w:pPr>
          </w:p>
        </w:tc>
        <w:tc>
          <w:tcPr>
            <w:tcW w:w="1564" w:type="pct"/>
            <w:shd w:val="clear" w:color="auto" w:fill="auto"/>
            <w:vAlign w:val="center"/>
          </w:tcPr>
          <w:p>
            <w:pPr>
              <w:spacing w:line="3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向任何第三方提供赞助、捐赠（经批准的公益性捐赠除外）。</w:t>
            </w:r>
          </w:p>
        </w:tc>
        <w:tc>
          <w:tcPr>
            <w:tcW w:w="662" w:type="pct"/>
            <w:shd w:val="clear" w:color="auto" w:fill="auto"/>
            <w:vAlign w:val="center"/>
          </w:tcPr>
          <w:p>
            <w:pPr>
              <w:spacing w:line="360" w:lineRule="exact"/>
              <w:rPr>
                <w:rFonts w:ascii="仿宋_GB2312" w:hAnsi="仿宋_GB2312" w:eastAsia="仿宋_GB2312" w:cs="仿宋_GB2312"/>
              </w:rPr>
            </w:pPr>
          </w:p>
        </w:tc>
        <w:tc>
          <w:tcPr>
            <w:tcW w:w="1564" w:type="pct"/>
            <w:shd w:val="clear" w:color="auto" w:fill="auto"/>
            <w:vAlign w:val="center"/>
          </w:tcPr>
          <w:p>
            <w:pPr>
              <w:spacing w:line="3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吸收或变相吸收存款，或向第三方提供贷款和资金拆借及其他“明股实债”业务。</w:t>
            </w:r>
          </w:p>
        </w:tc>
        <w:tc>
          <w:tcPr>
            <w:tcW w:w="662" w:type="pct"/>
            <w:shd w:val="clear" w:color="auto" w:fill="auto"/>
            <w:vAlign w:val="center"/>
          </w:tcPr>
          <w:p>
            <w:pPr>
              <w:spacing w:line="360" w:lineRule="exact"/>
              <w:rPr>
                <w:rFonts w:ascii="仿宋_GB2312" w:hAnsi="仿宋_GB2312" w:eastAsia="仿宋_GB2312" w:cs="仿宋_GB2312"/>
              </w:rPr>
            </w:pPr>
          </w:p>
        </w:tc>
        <w:tc>
          <w:tcPr>
            <w:tcW w:w="1564" w:type="pct"/>
            <w:shd w:val="clear" w:color="auto" w:fill="auto"/>
            <w:vAlign w:val="center"/>
          </w:tcPr>
          <w:p>
            <w:pPr>
              <w:spacing w:line="3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进行承担无限连带责任的对外投资。</w:t>
            </w:r>
          </w:p>
        </w:tc>
        <w:tc>
          <w:tcPr>
            <w:tcW w:w="662" w:type="pct"/>
            <w:shd w:val="clear" w:color="auto" w:fill="auto"/>
            <w:vAlign w:val="center"/>
          </w:tcPr>
          <w:p>
            <w:pPr>
              <w:spacing w:line="360" w:lineRule="exact"/>
              <w:rPr>
                <w:rFonts w:ascii="仿宋_GB2312" w:hAnsi="仿宋_GB2312" w:eastAsia="仿宋_GB2312" w:cs="仿宋_GB2312"/>
              </w:rPr>
            </w:pPr>
          </w:p>
        </w:tc>
        <w:tc>
          <w:tcPr>
            <w:tcW w:w="1564" w:type="pct"/>
            <w:shd w:val="clear" w:color="auto" w:fill="auto"/>
            <w:vAlign w:val="center"/>
          </w:tcPr>
          <w:p>
            <w:pPr>
              <w:spacing w:line="3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发行信托或集合理财产品募集资金。</w:t>
            </w:r>
          </w:p>
        </w:tc>
        <w:tc>
          <w:tcPr>
            <w:tcW w:w="662" w:type="pct"/>
            <w:shd w:val="clear" w:color="auto" w:fill="auto"/>
            <w:vAlign w:val="center"/>
          </w:tcPr>
          <w:p>
            <w:pPr>
              <w:spacing w:line="360" w:lineRule="exact"/>
              <w:rPr>
                <w:rFonts w:ascii="仿宋_GB2312" w:hAnsi="仿宋_GB2312" w:eastAsia="仿宋_GB2312" w:cs="仿宋_GB2312"/>
              </w:rPr>
            </w:pPr>
          </w:p>
        </w:tc>
        <w:tc>
          <w:tcPr>
            <w:tcW w:w="1564" w:type="pct"/>
            <w:shd w:val="clear" w:color="auto" w:fill="auto"/>
            <w:vAlign w:val="center"/>
          </w:tcPr>
          <w:p>
            <w:pPr>
              <w:spacing w:line="3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622" w:type="pct"/>
            <w:vMerge w:val="continue"/>
            <w:shd w:val="clear" w:color="auto" w:fill="auto"/>
            <w:vAlign w:val="center"/>
          </w:tcPr>
          <w:p>
            <w:pPr>
              <w:spacing w:line="360" w:lineRule="exact"/>
              <w:rPr>
                <w:rFonts w:ascii="仿宋_GB2312" w:hAnsi="仿宋_GB2312" w:eastAsia="仿宋_GB2312" w:cs="仿宋_GB2312"/>
              </w:rPr>
            </w:pPr>
          </w:p>
        </w:tc>
        <w:tc>
          <w:tcPr>
            <w:tcW w:w="2151" w:type="pct"/>
            <w:shd w:val="clear" w:color="auto" w:fill="auto"/>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其他国家法律法规禁止从事的业务。</w:t>
            </w:r>
          </w:p>
        </w:tc>
        <w:tc>
          <w:tcPr>
            <w:tcW w:w="662" w:type="pct"/>
            <w:shd w:val="clear" w:color="auto" w:fill="auto"/>
            <w:vAlign w:val="center"/>
          </w:tcPr>
          <w:p>
            <w:pPr>
              <w:spacing w:line="360" w:lineRule="exact"/>
              <w:rPr>
                <w:rFonts w:ascii="仿宋_GB2312" w:hAnsi="仿宋_GB2312" w:eastAsia="仿宋_GB2312" w:cs="仿宋_GB2312"/>
              </w:rPr>
            </w:pPr>
          </w:p>
        </w:tc>
        <w:tc>
          <w:tcPr>
            <w:tcW w:w="1564" w:type="pct"/>
            <w:shd w:val="clear" w:color="auto" w:fill="auto"/>
            <w:vAlign w:val="center"/>
          </w:tcPr>
          <w:p>
            <w:pPr>
              <w:spacing w:line="360" w:lineRule="exact"/>
              <w:rPr>
                <w:rFonts w:ascii="仿宋_GB2312" w:hAnsi="仿宋_GB2312" w:eastAsia="仿宋_GB2312" w:cs="仿宋_GB2312"/>
              </w:rPr>
            </w:pPr>
          </w:p>
        </w:tc>
      </w:tr>
    </w:tbl>
    <w:p>
      <w:pPr>
        <w:spacing w:line="560" w:lineRule="exact"/>
        <w:rPr>
          <w:rFonts w:ascii="仿宋_GB2312" w:hAnsi="仿宋_GB2312" w:eastAsia="仿宋_GB2312" w:cs="仿宋_GB2312"/>
          <w:b/>
        </w:rPr>
      </w:pPr>
      <w:r>
        <w:rPr>
          <w:rFonts w:hint="eastAsia" w:ascii="仿宋_GB2312" w:hAnsi="仿宋_GB2312" w:eastAsia="仿宋_GB2312" w:cs="仿宋_GB2312"/>
          <w:b/>
        </w:rPr>
        <w:t>注：申请机构应开展合规性自查，并在是否符合</w:t>
      </w:r>
      <w:bookmarkStart w:id="0" w:name="_GoBack"/>
      <w:bookmarkEnd w:id="0"/>
      <w:r>
        <w:rPr>
          <w:rFonts w:hint="eastAsia" w:ascii="仿宋_GB2312" w:hAnsi="仿宋_GB2312" w:eastAsia="仿宋_GB2312" w:cs="仿宋_GB2312"/>
          <w:b/>
        </w:rPr>
        <w:t>一栏填写“√”或“х”，需要进一步说明的事项请填写在备注栏。</w:t>
      </w:r>
    </w:p>
    <w:p>
      <w:pPr>
        <w:spacing w:line="560" w:lineRule="exact"/>
        <w:rPr>
          <w:b/>
        </w:rPr>
      </w:pPr>
    </w:p>
    <w:p>
      <w:pPr>
        <w:spacing w:line="560" w:lineRule="exact"/>
        <w:rPr>
          <w:b/>
        </w:rPr>
      </w:pPr>
    </w:p>
    <w:p>
      <w:pPr>
        <w:spacing w:line="560" w:lineRule="exact"/>
        <w:rPr>
          <w:rFonts w:ascii="仿宋_GB2312" w:eastAsia="仿宋_GB2312"/>
          <w:bCs/>
          <w:sz w:val="32"/>
          <w:szCs w:val="32"/>
        </w:rPr>
      </w:pPr>
      <w:r>
        <w:rPr>
          <w:rFonts w:hint="eastAsia"/>
          <w:b/>
        </w:rPr>
        <w:t xml:space="preserve">                                 </w:t>
      </w:r>
      <w:r>
        <w:rPr>
          <w:rFonts w:hint="eastAsia" w:ascii="仿宋_GB2312" w:eastAsia="仿宋_GB2312"/>
          <w:b/>
          <w:sz w:val="32"/>
          <w:szCs w:val="32"/>
        </w:rPr>
        <w:t xml:space="preserve">       </w:t>
      </w:r>
      <w:r>
        <w:rPr>
          <w:rFonts w:hint="eastAsia" w:ascii="仿宋_GB2312" w:eastAsia="仿宋_GB2312"/>
          <w:bCs/>
          <w:sz w:val="32"/>
          <w:szCs w:val="32"/>
        </w:rPr>
        <w:t xml:space="preserve"> 申请机构（公章）：</w:t>
      </w:r>
    </w:p>
    <w:p>
      <w:pPr>
        <w:topLinePunct/>
        <w:spacing w:line="600" w:lineRule="exact"/>
        <w:jc w:val="right"/>
        <w:rPr>
          <w:rFonts w:ascii="仿宋_GB2312" w:eastAsia="仿宋_GB2312"/>
          <w:bCs/>
          <w:sz w:val="32"/>
          <w:szCs w:val="32"/>
        </w:rPr>
      </w:pPr>
      <w:r>
        <w:rPr>
          <w:rFonts w:hint="eastAsia" w:ascii="仿宋_GB2312" w:eastAsia="仿宋_GB2312"/>
          <w:bCs/>
          <w:sz w:val="32"/>
          <w:szCs w:val="32"/>
        </w:rPr>
        <w:t xml:space="preserve">   日期：    年   月   日</w:t>
      </w:r>
    </w:p>
    <w:sectPr>
      <w:footerReference r:id="rId3" w:type="default"/>
      <w:pgSz w:w="11906" w:h="16838"/>
      <w:pgMar w:top="1440" w:right="1800" w:bottom="1440" w:left="1800"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hMWRkMjAyNzNjZjhiODA1MWNmZmYyNjM2NTZiODAifQ=="/>
  </w:docVars>
  <w:rsids>
    <w:rsidRoot w:val="00F42F54"/>
    <w:rsid w:val="00094894"/>
    <w:rsid w:val="000B4BCB"/>
    <w:rsid w:val="000B745A"/>
    <w:rsid w:val="000C2E01"/>
    <w:rsid w:val="00103FAC"/>
    <w:rsid w:val="001643E8"/>
    <w:rsid w:val="001F6AF5"/>
    <w:rsid w:val="002255B2"/>
    <w:rsid w:val="002C6A4A"/>
    <w:rsid w:val="003700B3"/>
    <w:rsid w:val="003E0CE4"/>
    <w:rsid w:val="003E70D4"/>
    <w:rsid w:val="004B1299"/>
    <w:rsid w:val="004E4545"/>
    <w:rsid w:val="00585144"/>
    <w:rsid w:val="005E6BF9"/>
    <w:rsid w:val="00614434"/>
    <w:rsid w:val="00690B58"/>
    <w:rsid w:val="006D7B4E"/>
    <w:rsid w:val="007842D1"/>
    <w:rsid w:val="00796519"/>
    <w:rsid w:val="007D1914"/>
    <w:rsid w:val="007F1A9A"/>
    <w:rsid w:val="007F52FC"/>
    <w:rsid w:val="0096553D"/>
    <w:rsid w:val="0097001F"/>
    <w:rsid w:val="009B29FD"/>
    <w:rsid w:val="009B50EC"/>
    <w:rsid w:val="009C1A2D"/>
    <w:rsid w:val="009C1E69"/>
    <w:rsid w:val="00A66594"/>
    <w:rsid w:val="00A74CA6"/>
    <w:rsid w:val="00AB0BB1"/>
    <w:rsid w:val="00AE239A"/>
    <w:rsid w:val="00B07C37"/>
    <w:rsid w:val="00BB277C"/>
    <w:rsid w:val="00C0418F"/>
    <w:rsid w:val="00C35959"/>
    <w:rsid w:val="00C51CB1"/>
    <w:rsid w:val="00C7144C"/>
    <w:rsid w:val="00D34938"/>
    <w:rsid w:val="00DA204B"/>
    <w:rsid w:val="00DA78D0"/>
    <w:rsid w:val="00DE10C5"/>
    <w:rsid w:val="00E51F4A"/>
    <w:rsid w:val="00E617EB"/>
    <w:rsid w:val="00EC159A"/>
    <w:rsid w:val="00F160F7"/>
    <w:rsid w:val="00F42F54"/>
    <w:rsid w:val="00F73CBE"/>
    <w:rsid w:val="00FB4A43"/>
    <w:rsid w:val="00FD4E9B"/>
    <w:rsid w:val="00FD7E27"/>
    <w:rsid w:val="00FF2E5D"/>
    <w:rsid w:val="036E3A1F"/>
    <w:rsid w:val="05BD72DB"/>
    <w:rsid w:val="0DD87484"/>
    <w:rsid w:val="0DDB6ADE"/>
    <w:rsid w:val="15146410"/>
    <w:rsid w:val="20B85566"/>
    <w:rsid w:val="29A95ABD"/>
    <w:rsid w:val="2FA44178"/>
    <w:rsid w:val="30E84C62"/>
    <w:rsid w:val="453B343C"/>
    <w:rsid w:val="538D778E"/>
    <w:rsid w:val="555D601A"/>
    <w:rsid w:val="584172B3"/>
    <w:rsid w:val="5FE84519"/>
    <w:rsid w:val="689E30A3"/>
    <w:rsid w:val="6D9756F1"/>
    <w:rsid w:val="709717C2"/>
    <w:rsid w:val="732473B7"/>
    <w:rsid w:val="79D13E26"/>
    <w:rsid w:val="7CE9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paragraph" w:customStyle="1" w:styleId="10">
    <w:name w:val="修订1"/>
    <w:hidden/>
    <w:unhideWhenUsed/>
    <w:qFormat/>
    <w:uiPriority w:val="99"/>
    <w:rPr>
      <w:rFonts w:ascii="Calibri" w:hAnsi="Calibri" w:eastAsia="宋体" w:cs="Times New Roman"/>
      <w:kern w:val="2"/>
      <w:sz w:val="21"/>
      <w:szCs w:val="22"/>
      <w:lang w:val="en-US" w:eastAsia="zh-CN" w:bidi="ar-SA"/>
    </w:rPr>
  </w:style>
  <w:style w:type="character" w:customStyle="1" w:styleId="11">
    <w:name w:val="批注文字 字符"/>
    <w:basedOn w:val="7"/>
    <w:link w:val="2"/>
    <w:semiHidden/>
    <w:qFormat/>
    <w:uiPriority w:val="99"/>
    <w:rPr>
      <w:rFonts w:ascii="Calibri" w:hAnsi="Calibri" w:eastAsia="宋体" w:cs="Times New Roman"/>
      <w:kern w:val="2"/>
      <w:sz w:val="21"/>
      <w:szCs w:val="22"/>
    </w:rPr>
  </w:style>
  <w:style w:type="character" w:customStyle="1" w:styleId="12">
    <w:name w:val="批注主题 字符"/>
    <w:basedOn w:val="11"/>
    <w:link w:val="5"/>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259</Words>
  <Characters>1479</Characters>
  <Lines>12</Lines>
  <Paragraphs>3</Paragraphs>
  <TotalTime>1</TotalTime>
  <ScaleCrop>false</ScaleCrop>
  <LinksUpToDate>false</LinksUpToDate>
  <CharactersWithSpaces>1735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2023-09-05T12:49:00Z</dcterms:created>
  <dc:creator>Ruihui.Huang</dc:creator>
  <cp:lastModifiedBy>lenovo</cp:lastModifiedBy>
  <dcterms:modified xsi:type="dcterms:W3CDTF">2024-12-21T06:49:20Z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94A66CD509B246699DB639C1FA2A0B7D</vt:lpwstr>
  </property>
</Properties>
</file>