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ind w:firstLine="0" w:firstLineChars="0"/>
        <w:jc w:val="center"/>
        <w:rPr>
          <w:rFonts w:eastAsia="方正小标宋_GBK"/>
          <w:sz w:val="44"/>
          <w:szCs w:val="44"/>
        </w:rPr>
      </w:pPr>
    </w:p>
    <w:p>
      <w:pPr>
        <w:widowControl/>
        <w:ind w:firstLine="0" w:firstLineChars="0"/>
        <w:jc w:val="center"/>
        <w:outlineLvl w:val="0"/>
        <w:rPr>
          <w:rFonts w:eastAsia="方正小标宋_GBK"/>
          <w:sz w:val="44"/>
          <w:szCs w:val="44"/>
          <w14:ligatures w14:val="standardContextual"/>
        </w:rPr>
      </w:pPr>
      <w:bookmarkStart w:id="0" w:name="_Hlk149063551"/>
      <w:r>
        <w:rPr>
          <w:rFonts w:hint="eastAsia" w:eastAsia="方正小标宋_GBK"/>
          <w:kern w:val="2"/>
          <w:sz w:val="44"/>
          <w:szCs w:val="44"/>
          <w14:ligatures w14:val="standardContextual"/>
        </w:rPr>
        <w:t>湖南省金芙蓉产业引导基金</w:t>
      </w:r>
      <w:r>
        <w:rPr>
          <w:rFonts w:hint="eastAsia" w:eastAsia="方正小标宋_GBK"/>
          <w:sz w:val="44"/>
          <w:szCs w:val="44"/>
          <w14:ligatures w14:val="standardContextual"/>
        </w:rPr>
        <w:t>马栏山文化产业</w:t>
      </w:r>
    </w:p>
    <w:p>
      <w:pPr>
        <w:widowControl/>
        <w:ind w:firstLine="0" w:firstLineChars="0"/>
        <w:jc w:val="center"/>
        <w:outlineLvl w:val="0"/>
        <w:rPr>
          <w:rFonts w:eastAsia="方正小标宋_GBK"/>
          <w:sz w:val="44"/>
          <w:szCs w:val="44"/>
          <w14:ligatures w14:val="standardContextual"/>
        </w:rPr>
      </w:pPr>
      <w:r>
        <w:rPr>
          <w:rFonts w:eastAsia="方正小标宋_GBK"/>
          <w:sz w:val="44"/>
          <w:szCs w:val="44"/>
          <w14:ligatures w14:val="standardContextual"/>
        </w:rPr>
        <w:t>子基金</w:t>
      </w:r>
      <w:r>
        <w:rPr>
          <w:rFonts w:hint="eastAsia" w:eastAsia="方正小标宋_GBK"/>
          <w:sz w:val="44"/>
          <w:szCs w:val="44"/>
          <w14:ligatures w14:val="standardContextual"/>
        </w:rPr>
        <w:t>管理机构</w:t>
      </w:r>
      <w:r>
        <w:rPr>
          <w:rFonts w:eastAsia="方正小标宋_GBK"/>
          <w:sz w:val="44"/>
          <w:szCs w:val="44"/>
          <w14:ligatures w14:val="standardContextual"/>
        </w:rPr>
        <w:t>申报指南</w:t>
      </w:r>
    </w:p>
    <w:bookmarkEnd w:id="0"/>
    <w:p>
      <w:pPr>
        <w:ind w:firstLine="420"/>
        <w:rPr>
          <w:rFonts w:eastAsia="宋体"/>
          <w:kern w:val="2"/>
          <w:sz w:val="21"/>
          <w14:ligatures w14:val="standardContextual"/>
        </w:rPr>
      </w:pPr>
    </w:p>
    <w:p>
      <w:pPr>
        <w:overflowPunct w:val="0"/>
        <w:autoSpaceDE w:val="0"/>
        <w:autoSpaceDN w:val="0"/>
        <w:ind w:firstLine="640"/>
        <w:outlineLvl w:val="0"/>
        <w:rPr>
          <w:rFonts w:eastAsia="黑体"/>
          <w:kern w:val="2"/>
          <w:szCs w:val="32"/>
          <w14:ligatures w14:val="standardContextual"/>
        </w:rPr>
      </w:pPr>
      <w:r>
        <w:rPr>
          <w:rFonts w:eastAsia="黑体"/>
          <w:kern w:val="2"/>
          <w:szCs w:val="32"/>
          <w14:ligatures w14:val="standardContextual"/>
        </w:rPr>
        <w:t>一、重点投资领域</w:t>
      </w:r>
    </w:p>
    <w:p>
      <w:pPr>
        <w:overflowPunct w:val="0"/>
        <w:autoSpaceDE w:val="0"/>
        <w:autoSpaceDN w:val="0"/>
        <w:ind w:firstLine="640"/>
        <w:rPr>
          <w:kern w:val="2"/>
          <w:szCs w:val="32"/>
          <w14:ligatures w14:val="standardContextual"/>
        </w:rPr>
      </w:pPr>
      <w:r>
        <w:rPr>
          <w:rFonts w:hint="eastAsia"/>
          <w:szCs w:val="32"/>
        </w:rPr>
        <w:t>马栏山文化产业</w:t>
      </w:r>
      <w:r>
        <w:rPr>
          <w:rFonts w:hint="eastAsia"/>
          <w:kern w:val="2"/>
          <w:szCs w:val="32"/>
          <w14:ligatures w14:val="standardContextual"/>
        </w:rPr>
        <w:t>子基金</w:t>
      </w:r>
      <w:r>
        <w:rPr>
          <w:kern w:val="2"/>
          <w:szCs w:val="32"/>
          <w14:ligatures w14:val="standardContextual"/>
        </w:rPr>
        <w:t>（以下简称“子基金”）</w:t>
      </w:r>
      <w:r>
        <w:rPr>
          <w:rFonts w:hint="eastAsia"/>
          <w:szCs w:val="32"/>
        </w:rPr>
        <w:t>重点投向“文化+科技”“文化+旅游”等融合发展领域，包括：音视频</w:t>
      </w:r>
      <w:r>
        <w:rPr>
          <w:rFonts w:hint="eastAsia"/>
          <w:szCs w:val="32"/>
          <w:lang w:eastAsia="zh-CN"/>
        </w:rPr>
        <w:t>、</w:t>
      </w:r>
      <w:r>
        <w:rPr>
          <w:rFonts w:hint="eastAsia"/>
          <w:szCs w:val="32"/>
        </w:rPr>
        <w:t>数字文博</w:t>
      </w:r>
      <w:r>
        <w:rPr>
          <w:rFonts w:hint="eastAsia"/>
          <w:szCs w:val="32"/>
          <w:lang w:eastAsia="zh-CN"/>
        </w:rPr>
        <w:t>、</w:t>
      </w:r>
      <w:r>
        <w:rPr>
          <w:rFonts w:hint="eastAsia"/>
          <w:szCs w:val="32"/>
        </w:rPr>
        <w:t>动漫游戏</w:t>
      </w:r>
      <w:r>
        <w:rPr>
          <w:rFonts w:hint="eastAsia"/>
          <w:szCs w:val="32"/>
          <w:lang w:eastAsia="zh-CN"/>
        </w:rPr>
        <w:t>、</w:t>
      </w:r>
      <w:r>
        <w:rPr>
          <w:rFonts w:hint="eastAsia"/>
          <w:szCs w:val="32"/>
        </w:rPr>
        <w:t>数字文化贸易</w:t>
      </w:r>
      <w:r>
        <w:rPr>
          <w:rFonts w:hint="eastAsia"/>
          <w:szCs w:val="32"/>
          <w:lang w:eastAsia="zh-CN"/>
        </w:rPr>
        <w:t>、</w:t>
      </w:r>
      <w:r>
        <w:rPr>
          <w:rFonts w:hint="eastAsia"/>
          <w:szCs w:val="32"/>
        </w:rPr>
        <w:t>数智出版</w:t>
      </w:r>
      <w:r>
        <w:rPr>
          <w:rFonts w:hint="eastAsia"/>
          <w:szCs w:val="32"/>
          <w:lang w:eastAsia="zh-CN"/>
        </w:rPr>
        <w:t>、</w:t>
      </w:r>
      <w:r>
        <w:rPr>
          <w:rFonts w:hint="eastAsia"/>
          <w:szCs w:val="32"/>
        </w:rPr>
        <w:t>康养旅游</w:t>
      </w:r>
      <w:r>
        <w:rPr>
          <w:rFonts w:hint="eastAsia"/>
          <w:szCs w:val="32"/>
          <w:lang w:eastAsia="zh-CN"/>
        </w:rPr>
        <w:t>、</w:t>
      </w:r>
      <w:r>
        <w:rPr>
          <w:rFonts w:hint="eastAsia"/>
          <w:szCs w:val="32"/>
        </w:rPr>
        <w:t>文化创意</w:t>
      </w:r>
      <w:r>
        <w:rPr>
          <w:rFonts w:hint="eastAsia"/>
          <w:szCs w:val="32"/>
          <w:lang w:eastAsia="zh-CN"/>
        </w:rPr>
        <w:t>、</w:t>
      </w:r>
      <w:r>
        <w:rPr>
          <w:rFonts w:hint="eastAsia"/>
          <w:szCs w:val="32"/>
        </w:rPr>
        <w:t>新兴体育</w:t>
      </w:r>
      <w:r>
        <w:rPr>
          <w:rFonts w:hint="eastAsia"/>
          <w:szCs w:val="32"/>
          <w:lang w:eastAsia="zh-CN"/>
        </w:rPr>
        <w:t>、文化消费品、旅游演艺、公共文化新空间、文旅展示新业态、新消费</w:t>
      </w:r>
      <w:r>
        <w:rPr>
          <w:rFonts w:hint="eastAsia"/>
          <w:szCs w:val="32"/>
        </w:rPr>
        <w:t>等细分行业</w:t>
      </w:r>
      <w:r>
        <w:rPr>
          <w:kern w:val="2"/>
          <w:szCs w:val="32"/>
          <w14:ligatures w14:val="standardContextual"/>
        </w:rPr>
        <w:t>。</w:t>
      </w:r>
    </w:p>
    <w:p>
      <w:pPr>
        <w:overflowPunct w:val="0"/>
        <w:autoSpaceDE w:val="0"/>
        <w:autoSpaceDN w:val="0"/>
        <w:ind w:firstLine="640"/>
        <w:outlineLvl w:val="0"/>
        <w:rPr>
          <w:rFonts w:eastAsia="黑体"/>
          <w:kern w:val="2"/>
          <w:szCs w:val="32"/>
          <w14:ligatures w14:val="standardContextual"/>
        </w:rPr>
      </w:pPr>
      <w:r>
        <w:rPr>
          <w:rFonts w:eastAsia="黑体"/>
          <w:kern w:val="2"/>
          <w:szCs w:val="32"/>
          <w14:ligatures w14:val="standardContextual"/>
        </w:rPr>
        <w:t>二、基金管理人应具备的基本条件</w:t>
      </w:r>
    </w:p>
    <w:p>
      <w:pPr>
        <w:overflowPunct w:val="0"/>
        <w:autoSpaceDE w:val="0"/>
        <w:autoSpaceDN w:val="0"/>
        <w:ind w:firstLine="643"/>
        <w:rPr>
          <w:kern w:val="2"/>
          <w:szCs w:val="32"/>
          <w14:ligatures w14:val="standardContextual"/>
        </w:rPr>
      </w:pPr>
      <w:r>
        <w:rPr>
          <w:rFonts w:eastAsia="楷体_GB2312"/>
          <w:b/>
          <w:bCs/>
          <w:kern w:val="2"/>
          <w:szCs w:val="32"/>
          <w14:ligatures w14:val="standardContextual"/>
        </w:rPr>
        <w:t>（一）管理资质</w:t>
      </w:r>
      <w:r>
        <w:rPr>
          <w:b/>
          <w:bCs/>
          <w:kern w:val="2"/>
          <w:szCs w:val="32"/>
          <w14:ligatures w14:val="standardContextual"/>
        </w:rPr>
        <w:t>：</w:t>
      </w:r>
      <w:r>
        <w:rPr>
          <w:kern w:val="2"/>
          <w:szCs w:val="32"/>
          <w14:ligatures w14:val="standardContextual"/>
        </w:rPr>
        <w:t>取得私募股权投资基金管理人相关登记备案资质；实缴注册资本不低于1000万元人民币。</w:t>
      </w:r>
    </w:p>
    <w:p>
      <w:pPr>
        <w:overflowPunct w:val="0"/>
        <w:autoSpaceDE w:val="0"/>
        <w:autoSpaceDN w:val="0"/>
        <w:ind w:firstLine="643"/>
        <w:rPr>
          <w:b/>
          <w:bCs/>
          <w:kern w:val="2"/>
          <w:szCs w:val="32"/>
          <w14:ligatures w14:val="standardContextual"/>
        </w:rPr>
      </w:pPr>
      <w:r>
        <w:rPr>
          <w:rFonts w:eastAsia="楷体_GB2312"/>
          <w:b/>
          <w:bCs/>
          <w:kern w:val="2"/>
          <w:szCs w:val="32"/>
          <w14:ligatures w14:val="standardContextual"/>
        </w:rPr>
        <w:t>（二）管理团队：</w:t>
      </w:r>
      <w:r>
        <w:rPr>
          <w:rFonts w:hint="eastAsia"/>
          <w:kern w:val="2"/>
          <w:szCs w:val="32"/>
          <w14:ligatures w14:val="standardContextual"/>
        </w:rPr>
        <w:t>子基金管理机构</w:t>
      </w:r>
      <w:r>
        <w:rPr>
          <w:rFonts w:hint="eastAsia"/>
          <w:kern w:val="2"/>
          <w:szCs w:val="32"/>
          <w:lang w:val="en-US" w:eastAsia="zh-CN"/>
          <w14:ligatures w14:val="standardContextual"/>
        </w:rPr>
        <w:t>/管理团队开展</w:t>
      </w:r>
      <w:r>
        <w:rPr>
          <w:kern w:val="2"/>
          <w:szCs w:val="32"/>
          <w14:ligatures w14:val="standardContextual"/>
        </w:rPr>
        <w:t>股权投资</w:t>
      </w:r>
      <w:r>
        <w:rPr>
          <w:rFonts w:hint="eastAsia"/>
          <w:kern w:val="2"/>
          <w:szCs w:val="32"/>
          <w:lang w:val="en-US" w:eastAsia="zh-CN"/>
          <w14:ligatures w14:val="standardContextual"/>
        </w:rPr>
        <w:t>相关业务3年以上；</w:t>
      </w:r>
      <w:r>
        <w:rPr>
          <w:rFonts w:hint="eastAsia"/>
          <w:kern w:val="2"/>
          <w:szCs w:val="32"/>
          <w14:ligatures w14:val="standardContextual"/>
        </w:rPr>
        <w:t>子基金管理机构</w:t>
      </w:r>
      <w:r>
        <w:rPr>
          <w:rFonts w:hint="eastAsia"/>
          <w:kern w:val="2"/>
          <w:szCs w:val="32"/>
          <w:lang w:val="en-US" w:eastAsia="zh-CN"/>
          <w14:ligatures w14:val="standardContextual"/>
        </w:rPr>
        <w:t>/管理团队具备5名（含）以上股权投资相关专业人员，其中至少3名具有5年（含）以上相关经验</w:t>
      </w:r>
      <w:r>
        <w:rPr>
          <w:kern w:val="2"/>
          <w:szCs w:val="32"/>
          <w14:ligatures w14:val="standardContextual"/>
        </w:rPr>
        <w:t>；</w:t>
      </w:r>
      <w:r>
        <w:rPr>
          <w:rFonts w:hint="eastAsia"/>
          <w:kern w:val="2"/>
          <w:szCs w:val="32"/>
          <w14:ligatures w14:val="standardContextual"/>
        </w:rPr>
        <w:t>子基金管理机构</w:t>
      </w:r>
      <w:r>
        <w:rPr>
          <w:kern w:val="2"/>
          <w:szCs w:val="32"/>
          <w14:ligatures w14:val="standardContextual"/>
        </w:rPr>
        <w:t>及管理团队主要成员</w:t>
      </w:r>
      <w:r>
        <w:rPr>
          <w:rFonts w:hint="eastAsia"/>
          <w:kern w:val="2"/>
          <w:szCs w:val="32"/>
          <w14:ligatures w14:val="standardContextual"/>
        </w:rPr>
        <w:t>无</w:t>
      </w:r>
      <w:r>
        <w:rPr>
          <w:kern w:val="2"/>
          <w:szCs w:val="32"/>
          <w14:ligatures w14:val="standardContextual"/>
        </w:rPr>
        <w:t>基金业管理相关行政主管</w:t>
      </w:r>
      <w:r>
        <w:rPr>
          <w:rFonts w:hint="eastAsia"/>
          <w:kern w:val="2"/>
          <w:szCs w:val="32"/>
          <w14:ligatures w14:val="standardContextual"/>
        </w:rPr>
        <w:t>部门</w:t>
      </w:r>
      <w:r>
        <w:rPr>
          <w:kern w:val="2"/>
          <w:szCs w:val="32"/>
          <w14:ligatures w14:val="standardContextual"/>
        </w:rPr>
        <w:t>行政处罚或司法机关刑事处罚的不良记录；</w:t>
      </w:r>
      <w:r>
        <w:rPr>
          <w:rFonts w:hint="eastAsia"/>
          <w:kern w:val="2"/>
          <w:szCs w:val="32"/>
          <w14:ligatures w14:val="standardContextual"/>
        </w:rPr>
        <w:t>子基金管理机构具有有效的约束激励机制，确保管理团队对其管理的股权基金勤勉尽责</w:t>
      </w:r>
      <w:r>
        <w:rPr>
          <w:rFonts w:hint="eastAsia"/>
          <w:kern w:val="2"/>
          <w:szCs w:val="32"/>
          <w:lang w:eastAsia="zh-CN"/>
          <w14:ligatures w14:val="standardContextual"/>
        </w:rPr>
        <w:t>；</w:t>
      </w:r>
      <w:r>
        <w:rPr>
          <w:kern w:val="2"/>
          <w:szCs w:val="32"/>
          <w14:ligatures w14:val="standardContextual"/>
        </w:rPr>
        <w:t>在湖南省内应配备常驻核心人员，投资团队在基金投资期保持稳定。</w:t>
      </w:r>
    </w:p>
    <w:p>
      <w:pPr>
        <w:overflowPunct w:val="0"/>
        <w:autoSpaceDE w:val="0"/>
        <w:autoSpaceDN w:val="0"/>
        <w:ind w:firstLine="643"/>
        <w:rPr>
          <w:kern w:val="2"/>
          <w:szCs w:val="32"/>
          <w14:ligatures w14:val="standardContextual"/>
        </w:rPr>
      </w:pPr>
      <w:r>
        <w:rPr>
          <w:rFonts w:eastAsia="楷体_GB2312"/>
          <w:b/>
          <w:bCs/>
          <w:kern w:val="2"/>
          <w:szCs w:val="32"/>
          <w14:ligatures w14:val="standardContextual"/>
        </w:rPr>
        <w:t>（三）募资能力：</w:t>
      </w:r>
      <w:r>
        <w:rPr>
          <w:kern w:val="2"/>
          <w:szCs w:val="32"/>
          <w14:ligatures w14:val="standardContextual"/>
        </w:rPr>
        <w:t>具有较强的募资能力</w:t>
      </w:r>
      <w:r>
        <w:rPr>
          <w:rFonts w:hint="eastAsia"/>
          <w:kern w:val="2"/>
          <w:szCs w:val="32"/>
          <w14:ligatures w14:val="standardContextual"/>
        </w:rPr>
        <w:t>。</w:t>
      </w:r>
      <w:r>
        <w:rPr>
          <w:kern w:val="2"/>
          <w:szCs w:val="32"/>
          <w14:ligatures w14:val="standardContextual"/>
        </w:rPr>
        <w:t>在提交子基金设立方案时，应取得拟设立子基金</w:t>
      </w:r>
      <w:r>
        <w:rPr>
          <w:rFonts w:hint="eastAsia"/>
          <w:kern w:val="2"/>
          <w:szCs w:val="32"/>
          <w14:ligatures w14:val="standardContextual"/>
        </w:rPr>
        <w:t>认缴</w:t>
      </w:r>
      <w:r>
        <w:rPr>
          <w:kern w:val="2"/>
          <w:szCs w:val="32"/>
          <w14:ligatures w14:val="standardContextual"/>
        </w:rPr>
        <w:t>规模</w:t>
      </w:r>
      <w:r>
        <w:rPr>
          <w:rFonts w:hint="eastAsia"/>
          <w:kern w:val="2"/>
          <w:szCs w:val="32"/>
          <w14:ligatures w14:val="standardContextual"/>
        </w:rPr>
        <w:t>中社会出资部分</w:t>
      </w:r>
      <w:r>
        <w:rPr>
          <w:rFonts w:hint="eastAsia"/>
          <w:kern w:val="2"/>
          <w:szCs w:val="32"/>
          <w:lang w:eastAsia="zh-CN"/>
          <w14:ligatures w14:val="standardContextual"/>
        </w:rPr>
        <w:t>（除已明确的省市出资外的其他出资统称社会出资）</w:t>
      </w:r>
      <w:r>
        <w:rPr>
          <w:kern w:val="2"/>
          <w:szCs w:val="32"/>
          <w14:ligatures w14:val="standardContextual"/>
        </w:rPr>
        <w:t>至少</w:t>
      </w:r>
      <w:r>
        <w:rPr>
          <w:rFonts w:hint="eastAsia"/>
          <w:kern w:val="2"/>
          <w:szCs w:val="32"/>
          <w14:ligatures w14:val="standardContextual"/>
        </w:rPr>
        <w:t>50%</w:t>
      </w:r>
      <w:r>
        <w:rPr>
          <w:kern w:val="2"/>
          <w:szCs w:val="32"/>
          <w14:ligatures w14:val="standardContextual"/>
        </w:rPr>
        <w:t>的出资意向</w:t>
      </w:r>
      <w:r>
        <w:rPr>
          <w:rFonts w:hint="eastAsia"/>
          <w:kern w:val="2"/>
          <w:szCs w:val="32"/>
          <w14:ligatures w14:val="standardContextual"/>
        </w:rPr>
        <w:t>。</w:t>
      </w:r>
    </w:p>
    <w:p>
      <w:pPr>
        <w:overflowPunct w:val="0"/>
        <w:autoSpaceDE w:val="0"/>
        <w:autoSpaceDN w:val="0"/>
        <w:ind w:firstLine="640"/>
        <w:rPr>
          <w:b/>
          <w:bCs/>
          <w:kern w:val="2"/>
          <w:szCs w:val="32"/>
          <w14:ligatures w14:val="standardContextual"/>
        </w:rPr>
      </w:pPr>
      <w:r>
        <w:rPr>
          <w:rFonts w:hint="eastAsia"/>
          <w:kern w:val="2"/>
          <w:szCs w:val="32"/>
          <w14:ligatures w14:val="standardContextual"/>
        </w:rPr>
        <w:t>母基金管理人向候选子基金管理机构发出尽职调查通知，该子基金管理机构应在收到前述通知后2个月内完成子基金目标规模70%的资金募集（含母基金出资部分），否则母基金管理人有权终止与该子基金管理机构的本次合作。</w:t>
      </w:r>
    </w:p>
    <w:p>
      <w:pPr>
        <w:overflowPunct w:val="0"/>
        <w:autoSpaceDE w:val="0"/>
        <w:autoSpaceDN w:val="0"/>
        <w:ind w:firstLine="643"/>
        <w:rPr>
          <w:rFonts w:hint="eastAsia" w:eastAsia="仿宋_GB2312"/>
          <w:kern w:val="2"/>
          <w:szCs w:val="32"/>
          <w:lang w:eastAsia="zh-CN"/>
          <w14:ligatures w14:val="standardContextual"/>
        </w:rPr>
      </w:pPr>
      <w:r>
        <w:rPr>
          <w:rFonts w:eastAsia="楷体_GB2312"/>
          <w:b/>
          <w:bCs/>
          <w:kern w:val="2"/>
          <w:szCs w:val="32"/>
          <w14:ligatures w14:val="standardContextual"/>
        </w:rPr>
        <w:t>（四）投资能力：</w:t>
      </w:r>
      <w:r>
        <w:rPr>
          <w:rFonts w:hint="eastAsia" w:ascii="仿宋_GB2312" w:hAnsi="仿宋_GB2312" w:cs="仿宋_GB2312"/>
          <w:kern w:val="2"/>
          <w:szCs w:val="32"/>
          <w14:ligatures w14:val="standardContextual"/>
        </w:rPr>
        <w:t>子基金管理机构/投资团队核心成员具备良好的管理业绩。</w:t>
      </w:r>
      <w:r>
        <w:rPr>
          <w:rFonts w:hint="eastAsia"/>
          <w:kern w:val="2"/>
          <w:szCs w:val="32"/>
          <w14:ligatures w14:val="standardContextual"/>
        </w:rPr>
        <w:t>子基金管理机构</w:t>
      </w:r>
      <w:r>
        <w:rPr>
          <w:rFonts w:hint="eastAsia"/>
          <w:kern w:val="2"/>
          <w:szCs w:val="32"/>
          <w:lang w:val="en-US" w:eastAsia="zh-CN"/>
          <w14:ligatures w14:val="standardContextual"/>
        </w:rPr>
        <w:t>/管理团队累计</w:t>
      </w:r>
      <w:r>
        <w:rPr>
          <w:kern w:val="2"/>
          <w:szCs w:val="32"/>
          <w14:ligatures w14:val="standardContextual"/>
        </w:rPr>
        <w:t>管理运营</w:t>
      </w:r>
      <w:r>
        <w:rPr>
          <w:rFonts w:hint="eastAsia"/>
          <w:kern w:val="2"/>
          <w:szCs w:val="32"/>
          <w14:ligatures w14:val="standardContextual"/>
        </w:rPr>
        <w:t>的</w:t>
      </w:r>
      <w:r>
        <w:rPr>
          <w:kern w:val="2"/>
          <w:szCs w:val="32"/>
          <w14:ligatures w14:val="standardContextual"/>
        </w:rPr>
        <w:t>投资基金不</w:t>
      </w:r>
      <w:r>
        <w:rPr>
          <w:rFonts w:hint="eastAsia"/>
          <w:kern w:val="2"/>
          <w:szCs w:val="32"/>
          <w:lang w:val="en-US" w:eastAsia="zh-CN"/>
          <w14:ligatures w14:val="standardContextual"/>
        </w:rPr>
        <w:t>少</w:t>
      </w:r>
      <w:r>
        <w:rPr>
          <w:kern w:val="2"/>
          <w:szCs w:val="32"/>
          <w14:ligatures w14:val="standardContextual"/>
        </w:rPr>
        <w:t>于</w:t>
      </w:r>
      <w:r>
        <w:rPr>
          <w:rFonts w:hint="eastAsia"/>
          <w:kern w:val="2"/>
          <w:szCs w:val="32"/>
          <w:lang w:val="en-US" w:eastAsia="zh-CN"/>
          <w14:ligatures w14:val="standardContextual"/>
        </w:rPr>
        <w:t>3支且总</w:t>
      </w:r>
      <w:r>
        <w:rPr>
          <w:kern w:val="2"/>
          <w:szCs w:val="32"/>
          <w14:ligatures w14:val="standardContextual"/>
        </w:rPr>
        <w:t>规模</w:t>
      </w:r>
      <w:r>
        <w:rPr>
          <w:rFonts w:hint="eastAsia"/>
          <w:kern w:val="2"/>
          <w:szCs w:val="32"/>
          <w:lang w:val="en-US" w:eastAsia="zh-CN"/>
          <w14:ligatures w14:val="standardContextual"/>
        </w:rPr>
        <w:t>20</w:t>
      </w:r>
      <w:r>
        <w:rPr>
          <w:kern w:val="2"/>
          <w:szCs w:val="32"/>
          <w14:ligatures w14:val="standardContextual"/>
        </w:rPr>
        <w:t>亿元</w:t>
      </w:r>
      <w:r>
        <w:rPr>
          <w:rFonts w:hint="eastAsia"/>
          <w:kern w:val="2"/>
          <w:szCs w:val="32"/>
          <w:lang w:eastAsia="zh-CN"/>
          <w14:ligatures w14:val="standardContextual"/>
        </w:rPr>
        <w:t>（</w:t>
      </w:r>
      <w:r>
        <w:rPr>
          <w:rFonts w:hint="eastAsia"/>
          <w:kern w:val="2"/>
          <w:szCs w:val="32"/>
          <w:lang w:val="en-US" w:eastAsia="zh-CN"/>
          <w14:ligatures w14:val="standardContextual"/>
        </w:rPr>
        <w:t>含</w:t>
      </w:r>
      <w:r>
        <w:rPr>
          <w:rFonts w:hint="eastAsia"/>
          <w:kern w:val="2"/>
          <w:szCs w:val="32"/>
          <w:lang w:eastAsia="zh-CN"/>
          <w14:ligatures w14:val="standardContextual"/>
        </w:rPr>
        <w:t>）</w:t>
      </w:r>
      <w:r>
        <w:rPr>
          <w:rFonts w:hint="eastAsia"/>
          <w:kern w:val="2"/>
          <w:szCs w:val="32"/>
          <w:lang w:val="en-US" w:eastAsia="zh-CN"/>
          <w14:ligatures w14:val="standardContextual"/>
        </w:rPr>
        <w:t>以上</w:t>
      </w:r>
      <w:r>
        <w:rPr>
          <w:kern w:val="2"/>
          <w:szCs w:val="32"/>
          <w14:ligatures w14:val="standardContextual"/>
        </w:rPr>
        <w:t>；</w:t>
      </w:r>
      <w:r>
        <w:rPr>
          <w:rFonts w:hint="eastAsia"/>
          <w:kern w:val="2"/>
          <w:szCs w:val="32"/>
          <w:highlight w:val="none"/>
          <w14:ligatures w14:val="standardContextual"/>
        </w:rPr>
        <w:t>子基金管理机构</w:t>
      </w:r>
      <w:r>
        <w:rPr>
          <w:rFonts w:hint="eastAsia"/>
          <w:kern w:val="2"/>
          <w:szCs w:val="32"/>
          <w:highlight w:val="none"/>
          <w:lang w:val="en-US" w:eastAsia="zh-CN"/>
          <w14:ligatures w14:val="standardContextual"/>
        </w:rPr>
        <w:t>具备</w:t>
      </w:r>
      <w:r>
        <w:rPr>
          <w:rFonts w:hint="eastAsia"/>
          <w:kern w:val="2"/>
          <w:szCs w:val="32"/>
          <w:highlight w:val="none"/>
          <w14:ligatures w14:val="standardContextual"/>
        </w:rPr>
        <w:t>3个（含）以上投资文化</w:t>
      </w:r>
      <w:r>
        <w:rPr>
          <w:rFonts w:hint="eastAsia"/>
          <w:kern w:val="2"/>
          <w:szCs w:val="32"/>
          <w:highlight w:val="none"/>
          <w:lang w:val="en-US" w:eastAsia="zh-CN"/>
          <w14:ligatures w14:val="standardContextual"/>
        </w:rPr>
        <w:t>产业</w:t>
      </w:r>
      <w:r>
        <w:rPr>
          <w:rFonts w:hint="eastAsia"/>
          <w:kern w:val="2"/>
          <w:szCs w:val="32"/>
          <w:highlight w:val="none"/>
          <w14:ligatures w14:val="standardContextual"/>
        </w:rPr>
        <w:t>领域项目的经验，且投资规模不低于5亿元；</w:t>
      </w:r>
      <w:r>
        <w:rPr>
          <w:rFonts w:hint="eastAsia"/>
          <w:kern w:val="2"/>
          <w:szCs w:val="32"/>
          <w:highlight w:val="none"/>
          <w:lang w:val="en-US" w:eastAsia="zh-CN"/>
          <w14:ligatures w14:val="standardContextual"/>
        </w:rPr>
        <w:t>具备</w:t>
      </w:r>
      <w:r>
        <w:rPr>
          <w:rFonts w:hint="eastAsia"/>
          <w:kern w:val="2"/>
          <w:szCs w:val="32"/>
          <w:highlight w:val="none"/>
          <w14:ligatures w14:val="standardContextual"/>
        </w:rPr>
        <w:t>良好的历史投资业绩，且有</w:t>
      </w:r>
      <w:r>
        <w:rPr>
          <w:rFonts w:hint="eastAsia"/>
          <w:kern w:val="2"/>
          <w:szCs w:val="32"/>
          <w:highlight w:val="none"/>
          <w:lang w:val="en-US" w:eastAsia="zh-CN"/>
          <w14:ligatures w14:val="standardContextual"/>
        </w:rPr>
        <w:t>3</w:t>
      </w:r>
      <w:r>
        <w:rPr>
          <w:rFonts w:hint="eastAsia"/>
          <w:kern w:val="2"/>
          <w:szCs w:val="32"/>
          <w:highlight w:val="none"/>
          <w14:ligatures w14:val="standardContextual"/>
        </w:rPr>
        <w:t>个（含）以上的文化</w:t>
      </w:r>
      <w:r>
        <w:rPr>
          <w:rFonts w:hint="eastAsia"/>
          <w:kern w:val="2"/>
          <w:szCs w:val="32"/>
          <w:highlight w:val="none"/>
          <w:lang w:val="en-US" w:eastAsia="zh-CN"/>
          <w14:ligatures w14:val="standardContextual"/>
        </w:rPr>
        <w:t>产业</w:t>
      </w:r>
      <w:r>
        <w:rPr>
          <w:rFonts w:hint="eastAsia"/>
          <w:kern w:val="2"/>
          <w:szCs w:val="32"/>
          <w:highlight w:val="none"/>
          <w14:ligatures w14:val="standardContextual"/>
        </w:rPr>
        <w:t>领域成功投资</w:t>
      </w:r>
      <w:r>
        <w:rPr>
          <w:rFonts w:hint="eastAsia"/>
          <w:kern w:val="2"/>
          <w:szCs w:val="32"/>
          <w:highlight w:val="none"/>
          <w:lang w:val="en-US" w:eastAsia="zh-CN"/>
          <w14:ligatures w14:val="standardContextual"/>
        </w:rPr>
        <w:t>并退出</w:t>
      </w:r>
      <w:r>
        <w:rPr>
          <w:rFonts w:hint="eastAsia"/>
          <w:kern w:val="2"/>
          <w:szCs w:val="32"/>
          <w:highlight w:val="none"/>
          <w14:ligatures w14:val="standardContextual"/>
        </w:rPr>
        <w:t>案例</w:t>
      </w:r>
      <w:r>
        <w:rPr>
          <w:rFonts w:hint="eastAsia"/>
          <w:kern w:val="2"/>
          <w:szCs w:val="32"/>
          <w:highlight w:val="none"/>
          <w:lang w:eastAsia="zh-CN"/>
          <w14:ligatures w14:val="standardContextual"/>
        </w:rPr>
        <w:t>。</w:t>
      </w:r>
    </w:p>
    <w:p>
      <w:pPr>
        <w:overflowPunct w:val="0"/>
        <w:autoSpaceDE w:val="0"/>
        <w:autoSpaceDN w:val="0"/>
        <w:ind w:firstLine="643"/>
        <w:rPr>
          <w:kern w:val="2"/>
          <w:szCs w:val="32"/>
          <w14:ligatures w14:val="standardContextual"/>
        </w:rPr>
      </w:pPr>
      <w:r>
        <w:rPr>
          <w:rFonts w:eastAsia="楷体_GB2312"/>
          <w:b/>
          <w:bCs/>
          <w:kern w:val="2"/>
          <w:szCs w:val="32"/>
          <w14:ligatures w14:val="standardContextual"/>
        </w:rPr>
        <w:t>（五）风险控制：</w:t>
      </w:r>
      <w:r>
        <w:rPr>
          <w:kern w:val="2"/>
          <w:szCs w:val="32"/>
          <w14:ligatures w14:val="standardContextual"/>
        </w:rPr>
        <w:t>管理和投资运作规范，</w:t>
      </w:r>
      <w:r>
        <w:rPr>
          <w:rFonts w:hint="eastAsia"/>
          <w:kern w:val="2"/>
          <w:szCs w:val="32"/>
          <w:lang w:eastAsia="zh-CN"/>
          <w14:ligatures w14:val="standardContextual"/>
        </w:rPr>
        <w:t>具有完善的内部控制机制和独立的投资决策机制，</w:t>
      </w:r>
      <w:r>
        <w:rPr>
          <w:kern w:val="2"/>
          <w:szCs w:val="32"/>
          <w14:ligatures w14:val="standardContextual"/>
        </w:rPr>
        <w:t>具有完整的投资决策程序、全面风险控制机制和健全的财务管理制度</w:t>
      </w:r>
      <w:r>
        <w:rPr>
          <w:rFonts w:hint="eastAsia"/>
          <w:kern w:val="2"/>
          <w:szCs w:val="32"/>
          <w14:ligatures w14:val="standardContextual"/>
        </w:rPr>
        <w:t>；</w:t>
      </w:r>
      <w:r>
        <w:rPr>
          <w:kern w:val="2"/>
          <w:szCs w:val="32"/>
          <w14:ligatures w14:val="standardContextual"/>
        </w:rPr>
        <w:t>未被中国证券投资基金业协会列为异常机构且不存在不良诚信记录等情形</w:t>
      </w:r>
      <w:r>
        <w:rPr>
          <w:rFonts w:hint="eastAsia"/>
          <w:kern w:val="2"/>
          <w:szCs w:val="32"/>
          <w14:ligatures w14:val="standardContextual"/>
        </w:rPr>
        <w:t>；</w:t>
      </w:r>
      <w:r>
        <w:rPr>
          <w:kern w:val="2"/>
          <w:szCs w:val="32"/>
          <w14:ligatures w14:val="standardContextual"/>
        </w:rPr>
        <w:t>最近三年不存在重大违法违规行为</w:t>
      </w:r>
      <w:r>
        <w:rPr>
          <w:rFonts w:hint="eastAsia"/>
          <w:kern w:val="2"/>
          <w:szCs w:val="32"/>
          <w:lang w:eastAsia="zh-CN"/>
          <w14:ligatures w14:val="standardContextual"/>
        </w:rPr>
        <w:t>；如是对已经设立的基金增资则该基金不存在未备案先投资等行为</w:t>
      </w:r>
      <w:r>
        <w:rPr>
          <w:kern w:val="2"/>
          <w:szCs w:val="32"/>
          <w14:ligatures w14:val="standardContextual"/>
        </w:rPr>
        <w:t>。</w:t>
      </w:r>
    </w:p>
    <w:p>
      <w:pPr>
        <w:overflowPunct w:val="0"/>
        <w:autoSpaceDE w:val="0"/>
        <w:autoSpaceDN w:val="0"/>
        <w:ind w:firstLine="643"/>
        <w:rPr>
          <w:rFonts w:eastAsia="楷体_GB2312"/>
          <w:b/>
          <w:bCs/>
          <w:kern w:val="2"/>
          <w:szCs w:val="32"/>
          <w14:ligatures w14:val="standardContextual"/>
        </w:rPr>
      </w:pPr>
      <w:r>
        <w:rPr>
          <w:rFonts w:eastAsia="楷体_GB2312"/>
          <w:b/>
          <w:bCs/>
          <w:kern w:val="2"/>
          <w:szCs w:val="32"/>
          <w14:ligatures w14:val="standardContextual"/>
        </w:rPr>
        <w:t>（</w:t>
      </w:r>
      <w:r>
        <w:rPr>
          <w:rFonts w:hint="eastAsia" w:eastAsia="楷体_GB2312"/>
          <w:b/>
          <w:bCs/>
          <w:kern w:val="2"/>
          <w:szCs w:val="32"/>
          <w14:ligatures w14:val="standardContextual"/>
        </w:rPr>
        <w:t>六</w:t>
      </w:r>
      <w:r>
        <w:rPr>
          <w:rFonts w:eastAsia="楷体_GB2312"/>
          <w:b/>
          <w:bCs/>
          <w:kern w:val="2"/>
          <w:szCs w:val="32"/>
          <w14:ligatures w14:val="standardContextual"/>
        </w:rPr>
        <w:t>）优先情形：</w:t>
      </w:r>
    </w:p>
    <w:p>
      <w:pPr>
        <w:overflowPunct w:val="0"/>
        <w:autoSpaceDE w:val="0"/>
        <w:autoSpaceDN w:val="0"/>
        <w:ind w:firstLine="640"/>
        <w:rPr>
          <w:kern w:val="2"/>
          <w:szCs w:val="32"/>
          <w14:ligatures w14:val="standardContextual"/>
        </w:rPr>
      </w:pPr>
      <w:r>
        <w:rPr>
          <w:kern w:val="2"/>
          <w:szCs w:val="32"/>
          <w14:ligatures w14:val="standardContextual"/>
        </w:rPr>
        <w:t>除以上基本条件外，优先考虑满足以下条件的管理机构：</w:t>
      </w:r>
    </w:p>
    <w:p>
      <w:pPr>
        <w:overflowPunct w:val="0"/>
        <w:autoSpaceDE w:val="0"/>
        <w:autoSpaceDN w:val="0"/>
        <w:ind w:firstLine="640"/>
        <w:rPr>
          <w:kern w:val="2"/>
          <w:szCs w:val="32"/>
          <w14:ligatures w14:val="standardContextual"/>
        </w:rPr>
      </w:pPr>
      <w:r>
        <w:rPr>
          <w:kern w:val="2"/>
          <w:szCs w:val="32"/>
          <w14:ligatures w14:val="standardContextual"/>
        </w:rPr>
        <w:t>1.过往在湖南有过基金设立、成功投资相关项目的，对湖南相关产业发展做出过突出贡献的</w:t>
      </w:r>
      <w:r>
        <w:rPr>
          <w:rFonts w:hint="eastAsia"/>
          <w:kern w:val="2"/>
          <w:szCs w:val="32"/>
          <w14:ligatures w14:val="standardContextual"/>
        </w:rPr>
        <w:t>；</w:t>
      </w:r>
    </w:p>
    <w:p>
      <w:pPr>
        <w:overflowPunct w:val="0"/>
        <w:autoSpaceDE w:val="0"/>
        <w:autoSpaceDN w:val="0"/>
        <w:ind w:firstLine="640"/>
        <w:rPr>
          <w:kern w:val="2"/>
          <w:szCs w:val="32"/>
          <w14:ligatures w14:val="standardContextual"/>
        </w:rPr>
      </w:pPr>
      <w:r>
        <w:rPr>
          <w:kern w:val="2"/>
          <w:szCs w:val="32"/>
          <w14:ligatures w14:val="standardContextual"/>
        </w:rPr>
        <w:t>2.具备深厚的产业背景以及资源优势，在子基金投资领域拥有丰富的储备项目（特别是</w:t>
      </w:r>
      <w:r>
        <w:rPr>
          <w:rFonts w:hint="eastAsia"/>
          <w:kern w:val="2"/>
          <w:szCs w:val="32"/>
          <w14:ligatures w14:val="standardContextual"/>
        </w:rPr>
        <w:t>湖南</w:t>
      </w:r>
      <w:r>
        <w:rPr>
          <w:kern w:val="2"/>
          <w:szCs w:val="32"/>
          <w14:ligatures w14:val="standardContextual"/>
        </w:rPr>
        <w:t>省内项目）</w:t>
      </w:r>
      <w:r>
        <w:rPr>
          <w:rFonts w:hint="eastAsia"/>
          <w:kern w:val="2"/>
          <w:szCs w:val="32"/>
          <w14:ligatures w14:val="standardContextual"/>
        </w:rPr>
        <w:t>的</w:t>
      </w:r>
      <w:r>
        <w:rPr>
          <w:kern w:val="2"/>
          <w:szCs w:val="32"/>
          <w14:ligatures w14:val="standardContextual"/>
        </w:rPr>
        <w:t>；</w:t>
      </w:r>
    </w:p>
    <w:p>
      <w:pPr>
        <w:overflowPunct w:val="0"/>
        <w:autoSpaceDE w:val="0"/>
        <w:autoSpaceDN w:val="0"/>
        <w:ind w:firstLine="640"/>
        <w:rPr>
          <w:kern w:val="2"/>
          <w:szCs w:val="32"/>
          <w14:ligatures w14:val="standardContextual"/>
        </w:rPr>
      </w:pPr>
      <w:r>
        <w:rPr>
          <w:rFonts w:hint="eastAsia"/>
          <w:kern w:val="2"/>
          <w:szCs w:val="32"/>
          <w14:ligatures w14:val="standardContextual"/>
        </w:rPr>
        <w:t>3</w:t>
      </w:r>
      <w:r>
        <w:rPr>
          <w:kern w:val="2"/>
          <w:szCs w:val="32"/>
          <w14:ligatures w14:val="standardContextual"/>
        </w:rPr>
        <w:t>.能提高返投比例的；</w:t>
      </w:r>
    </w:p>
    <w:p>
      <w:pPr>
        <w:overflowPunct w:val="0"/>
        <w:autoSpaceDE w:val="0"/>
        <w:autoSpaceDN w:val="0"/>
        <w:ind w:firstLine="640"/>
        <w:rPr>
          <w:kern w:val="2"/>
          <w:szCs w:val="32"/>
          <w14:ligatures w14:val="standardContextual"/>
        </w:rPr>
      </w:pPr>
      <w:r>
        <w:rPr>
          <w:rFonts w:hint="eastAsia"/>
          <w:kern w:val="2"/>
          <w:szCs w:val="32"/>
          <w14:ligatures w14:val="standardContextual"/>
        </w:rPr>
        <w:t>4</w:t>
      </w:r>
      <w:r>
        <w:rPr>
          <w:kern w:val="2"/>
          <w:szCs w:val="32"/>
          <w14:ligatures w14:val="standardContextual"/>
        </w:rPr>
        <w:t>.</w:t>
      </w:r>
      <w:r>
        <w:rPr>
          <w:rFonts w:hint="eastAsia"/>
          <w:kern w:val="2"/>
          <w:szCs w:val="32"/>
          <w14:ligatures w14:val="standardContextual"/>
        </w:rPr>
        <w:t>在</w:t>
      </w:r>
      <w:r>
        <w:rPr>
          <w:kern w:val="2"/>
          <w:szCs w:val="32"/>
          <w14:ligatures w14:val="standardContextual"/>
        </w:rPr>
        <w:t>子基金领域有较多的投早投小案例</w:t>
      </w:r>
      <w:r>
        <w:rPr>
          <w:rFonts w:hint="eastAsia"/>
          <w:kern w:val="2"/>
          <w:szCs w:val="32"/>
          <w14:ligatures w14:val="standardContextual"/>
        </w:rPr>
        <w:t>的</w:t>
      </w:r>
      <w:r>
        <w:rPr>
          <w:b/>
          <w:bCs/>
          <w:kern w:val="2"/>
          <w:szCs w:val="32"/>
          <w14:ligatures w14:val="standardContextual"/>
        </w:rPr>
        <w:t>。</w:t>
      </w:r>
    </w:p>
    <w:p>
      <w:pPr>
        <w:overflowPunct w:val="0"/>
        <w:autoSpaceDE w:val="0"/>
        <w:autoSpaceDN w:val="0"/>
        <w:ind w:firstLine="640"/>
        <w:outlineLvl w:val="0"/>
        <w:rPr>
          <w:rFonts w:hint="eastAsia" w:eastAsia="黑体"/>
          <w:kern w:val="2"/>
          <w:szCs w:val="32"/>
          <w:lang w:eastAsia="zh-CN"/>
          <w14:ligatures w14:val="standardContextual"/>
        </w:rPr>
      </w:pPr>
      <w:r>
        <w:rPr>
          <w:rFonts w:eastAsia="黑体"/>
          <w:kern w:val="2"/>
          <w:szCs w:val="32"/>
          <w14:ligatures w14:val="standardContextual"/>
        </w:rPr>
        <w:t>三、基金设立要</w:t>
      </w:r>
      <w:r>
        <w:rPr>
          <w:rFonts w:hint="eastAsia" w:eastAsia="黑体"/>
          <w:kern w:val="2"/>
          <w:szCs w:val="32"/>
          <w:lang w:eastAsia="zh-CN"/>
          <w14:ligatures w14:val="standardContextual"/>
        </w:rPr>
        <w:t>素</w:t>
      </w:r>
    </w:p>
    <w:p>
      <w:pPr>
        <w:overflowPunct w:val="0"/>
        <w:autoSpaceDE w:val="0"/>
        <w:autoSpaceDN w:val="0"/>
        <w:ind w:firstLine="640"/>
        <w:rPr>
          <w:kern w:val="2"/>
          <w:szCs w:val="32"/>
          <w14:ligatures w14:val="standardContextual"/>
        </w:rPr>
      </w:pPr>
      <w:r>
        <w:rPr>
          <w:rFonts w:hint="eastAsia"/>
          <w:kern w:val="2"/>
          <w:szCs w:val="32"/>
          <w:highlight w:val="none"/>
          <w14:ligatures w14:val="standardContextual"/>
        </w:rPr>
        <w:t>子</w:t>
      </w:r>
      <w:r>
        <w:rPr>
          <w:kern w:val="2"/>
          <w:szCs w:val="32"/>
          <w:highlight w:val="none"/>
          <w14:ligatures w14:val="standardContextual"/>
        </w:rPr>
        <w:t>基金</w:t>
      </w:r>
      <w:r>
        <w:rPr>
          <w:kern w:val="2"/>
          <w:szCs w:val="32"/>
          <w14:ligatures w14:val="standardContextual"/>
        </w:rPr>
        <w:t>须符合下列要求：</w:t>
      </w:r>
    </w:p>
    <w:p>
      <w:pPr>
        <w:overflowPunct w:val="0"/>
        <w:autoSpaceDE w:val="0"/>
        <w:autoSpaceDN w:val="0"/>
        <w:ind w:firstLine="643"/>
        <w:rPr>
          <w:b/>
          <w:bCs/>
          <w:kern w:val="2"/>
          <w:szCs w:val="32"/>
          <w14:ligatures w14:val="standardContextual"/>
        </w:rPr>
      </w:pPr>
      <w:r>
        <w:rPr>
          <w:rFonts w:eastAsia="楷体_GB2312"/>
          <w:b/>
          <w:bCs/>
          <w:kern w:val="2"/>
          <w:szCs w:val="32"/>
          <w14:ligatures w14:val="standardContextual"/>
        </w:rPr>
        <w:t>（一）基金类型：</w:t>
      </w:r>
      <w:r>
        <w:rPr>
          <w:kern w:val="2"/>
          <w:szCs w:val="32"/>
          <w14:ligatures w14:val="standardContextual"/>
        </w:rPr>
        <w:t>有限合伙企业。</w:t>
      </w:r>
    </w:p>
    <w:p>
      <w:pPr>
        <w:overflowPunct w:val="0"/>
        <w:autoSpaceDE w:val="0"/>
        <w:autoSpaceDN w:val="0"/>
        <w:ind w:firstLine="643"/>
        <w:rPr>
          <w:kern w:val="2"/>
          <w:szCs w:val="32"/>
          <w14:ligatures w14:val="standardContextual"/>
        </w:rPr>
      </w:pPr>
      <w:r>
        <w:rPr>
          <w:rFonts w:eastAsia="楷体_GB2312"/>
          <w:b/>
          <w:bCs/>
          <w:kern w:val="2"/>
          <w:szCs w:val="32"/>
          <w14:ligatures w14:val="standardContextual"/>
        </w:rPr>
        <w:t>（二）基金存续期：</w:t>
      </w:r>
      <w:r>
        <w:rPr>
          <w:kern w:val="2"/>
          <w:szCs w:val="32"/>
          <w14:ligatures w14:val="standardContextual"/>
        </w:rPr>
        <w:t>原则上不超过10年（含延长期）。</w:t>
      </w:r>
    </w:p>
    <w:p>
      <w:pPr>
        <w:overflowPunct w:val="0"/>
        <w:autoSpaceDE w:val="0"/>
        <w:autoSpaceDN w:val="0"/>
        <w:ind w:firstLine="643"/>
        <w:rPr>
          <w:rFonts w:eastAsia="等线"/>
          <w:b/>
          <w:bCs/>
          <w:kern w:val="2"/>
          <w:szCs w:val="32"/>
          <w14:ligatures w14:val="standardContextual"/>
        </w:rPr>
      </w:pPr>
      <w:r>
        <w:rPr>
          <w:rFonts w:eastAsia="楷体_GB2312"/>
          <w:b/>
          <w:bCs/>
          <w:kern w:val="2"/>
          <w:szCs w:val="32"/>
          <w14:ligatures w14:val="standardContextual"/>
        </w:rPr>
        <w:t>（三）基金注册地：</w:t>
      </w:r>
      <w:r>
        <w:rPr>
          <w:kern w:val="2"/>
          <w:szCs w:val="32"/>
          <w14:ligatures w14:val="standardContextual"/>
        </w:rPr>
        <w:t>湖南省</w:t>
      </w:r>
      <w:r>
        <w:rPr>
          <w:rFonts w:hint="eastAsia" w:ascii="等线" w:hAnsi="等线" w:eastAsia="等线"/>
          <w:kern w:val="2"/>
          <w:sz w:val="21"/>
          <w:szCs w:val="21"/>
          <w14:ligatures w14:val="standardContextual"/>
        </w:rPr>
        <w:t>。</w:t>
      </w:r>
    </w:p>
    <w:p>
      <w:pPr>
        <w:overflowPunct w:val="0"/>
        <w:autoSpaceDE w:val="0"/>
        <w:autoSpaceDN w:val="0"/>
        <w:ind w:firstLine="643"/>
        <w:rPr>
          <w:spacing w:val="-6"/>
          <w:kern w:val="2"/>
          <w:szCs w:val="32"/>
          <w14:ligatures w14:val="standardContextual"/>
        </w:rPr>
      </w:pPr>
      <w:r>
        <w:rPr>
          <w:rFonts w:eastAsia="楷体_GB2312"/>
          <w:b/>
          <w:bCs/>
          <w:kern w:val="2"/>
          <w:szCs w:val="32"/>
          <w14:ligatures w14:val="standardContextual"/>
        </w:rPr>
        <w:t>（四）基</w:t>
      </w:r>
      <w:r>
        <w:rPr>
          <w:rFonts w:eastAsia="楷体_GB2312"/>
          <w:b/>
          <w:bCs/>
          <w:spacing w:val="-6"/>
          <w:kern w:val="2"/>
          <w:szCs w:val="32"/>
          <w14:ligatures w14:val="standardContextual"/>
        </w:rPr>
        <w:t>金规模及出资：</w:t>
      </w:r>
      <w:r>
        <w:rPr>
          <w:spacing w:val="-6"/>
          <w:kern w:val="2"/>
          <w:szCs w:val="32"/>
          <w14:ligatures w14:val="standardContextual"/>
        </w:rPr>
        <w:t>规模不小于</w:t>
      </w:r>
      <w:r>
        <w:rPr>
          <w:rFonts w:hint="eastAsia"/>
          <w:spacing w:val="-6"/>
          <w:kern w:val="2"/>
          <w:szCs w:val="32"/>
          <w14:ligatures w14:val="standardContextual"/>
        </w:rPr>
        <w:t>2</w:t>
      </w:r>
      <w:r>
        <w:rPr>
          <w:spacing w:val="-6"/>
          <w:kern w:val="2"/>
          <w:szCs w:val="32"/>
          <w14:ligatures w14:val="standardContextual"/>
        </w:rPr>
        <w:t>0亿元</w:t>
      </w:r>
      <w:r>
        <w:rPr>
          <w:spacing w:val="-6"/>
          <w:kern w:val="2"/>
          <w:szCs w:val="32"/>
          <w:highlight w:val="none"/>
          <w14:ligatures w14:val="standardContextual"/>
        </w:rPr>
        <w:t>，</w:t>
      </w:r>
      <w:r>
        <w:rPr>
          <w:rFonts w:hint="eastAsia"/>
          <w:spacing w:val="-6"/>
          <w:kern w:val="2"/>
          <w:szCs w:val="32"/>
          <w:highlight w:val="none"/>
          <w:lang w:eastAsia="zh-CN"/>
          <w14:ligatures w14:val="standardContextual"/>
        </w:rPr>
        <w:t>拟由</w:t>
      </w:r>
      <w:r>
        <w:rPr>
          <w:rFonts w:hint="eastAsia"/>
          <w:kern w:val="2"/>
          <w:szCs w:val="32"/>
          <w:highlight w:val="none"/>
          <w:lang w:eastAsia="zh-CN"/>
          <w14:ligatures w14:val="standardContextual"/>
        </w:rPr>
        <w:t>省级与长沙市共同设立，其中</w:t>
      </w:r>
      <w:r>
        <w:rPr>
          <w:rFonts w:hint="eastAsia"/>
          <w:spacing w:val="-6"/>
          <w:kern w:val="2"/>
          <w:szCs w:val="32"/>
          <w:highlight w:val="none"/>
          <w:lang w:eastAsia="zh-CN"/>
          <w14:ligatures w14:val="standardContextual"/>
        </w:rPr>
        <w:t>省级母基金出资不超过子基金认缴规模的</w:t>
      </w:r>
      <w:r>
        <w:rPr>
          <w:rFonts w:hint="eastAsia"/>
          <w:spacing w:val="-6"/>
          <w:kern w:val="2"/>
          <w:szCs w:val="32"/>
          <w:highlight w:val="none"/>
          <w:lang w:val="en-US" w:eastAsia="zh-CN"/>
          <w14:ligatures w14:val="standardContextual"/>
        </w:rPr>
        <w:t>30%，出资金额不超过6亿元；长沙市出资</w:t>
      </w:r>
      <w:r>
        <w:rPr>
          <w:spacing w:val="-6"/>
          <w:kern w:val="2"/>
          <w:szCs w:val="32"/>
          <w:highlight w:val="none"/>
          <w14:ligatures w14:val="standardContextual"/>
        </w:rPr>
        <w:t>不超过子基金认缴规模的</w:t>
      </w:r>
      <w:r>
        <w:rPr>
          <w:rFonts w:hint="eastAsia"/>
          <w:spacing w:val="-6"/>
          <w:kern w:val="2"/>
          <w:szCs w:val="32"/>
          <w:highlight w:val="none"/>
          <w:lang w:val="en-US" w:eastAsia="zh-CN"/>
          <w14:ligatures w14:val="standardContextual"/>
        </w:rPr>
        <w:t>25%（指定马栏山园区出资）</w:t>
      </w:r>
      <w:r>
        <w:rPr>
          <w:spacing w:val="-6"/>
          <w:kern w:val="2"/>
          <w:szCs w:val="32"/>
          <w:highlight w:val="none"/>
          <w14:ligatures w14:val="standardContextual"/>
        </w:rPr>
        <w:t>。具体</w:t>
      </w:r>
      <w:r>
        <w:rPr>
          <w:spacing w:val="-6"/>
          <w:kern w:val="2"/>
          <w:szCs w:val="32"/>
          <w14:ligatures w14:val="standardContextual"/>
        </w:rPr>
        <w:t>根据子基金投资进度和返投完成情况分期出资。</w:t>
      </w:r>
      <w:r>
        <w:rPr>
          <w:rFonts w:hint="eastAsia"/>
          <w:spacing w:val="-6"/>
          <w:kern w:val="2"/>
          <w:szCs w:val="32"/>
          <w14:ligatures w14:val="standardContextual"/>
        </w:rPr>
        <w:t>湖南</w:t>
      </w:r>
      <w:r>
        <w:rPr>
          <w:spacing w:val="-6"/>
          <w:kern w:val="2"/>
          <w:szCs w:val="32"/>
          <w14:ligatures w14:val="standardContextual"/>
        </w:rPr>
        <w:t>省内财政及</w:t>
      </w:r>
      <w:r>
        <w:rPr>
          <w:rFonts w:hint="eastAsia"/>
          <w:spacing w:val="-6"/>
          <w:kern w:val="2"/>
          <w:szCs w:val="32"/>
          <w14:ligatures w14:val="standardContextual"/>
        </w:rPr>
        <w:t>国有企业合计</w:t>
      </w:r>
      <w:r>
        <w:rPr>
          <w:spacing w:val="-6"/>
          <w:kern w:val="2"/>
          <w:szCs w:val="32"/>
          <w14:ligatures w14:val="standardContextual"/>
        </w:rPr>
        <w:t>出资比例原则上不超过</w:t>
      </w:r>
      <w:r>
        <w:rPr>
          <w:rFonts w:hint="eastAsia"/>
          <w:spacing w:val="-6"/>
          <w:kern w:val="2"/>
          <w:szCs w:val="32"/>
          <w14:ligatures w14:val="standardContextual"/>
        </w:rPr>
        <w:t>子基金规模的8</w:t>
      </w:r>
      <w:r>
        <w:rPr>
          <w:spacing w:val="-6"/>
          <w:kern w:val="2"/>
          <w:szCs w:val="32"/>
          <w14:ligatures w14:val="standardContextual"/>
        </w:rPr>
        <w:t>0%</w:t>
      </w:r>
      <w:r>
        <w:rPr>
          <w:rFonts w:hint="eastAsia"/>
          <w:spacing w:val="-6"/>
          <w:kern w:val="2"/>
          <w:szCs w:val="32"/>
          <w14:ligatures w14:val="standardContextual"/>
        </w:rPr>
        <w:t>。</w:t>
      </w:r>
    </w:p>
    <w:p>
      <w:pPr>
        <w:overflowPunct w:val="0"/>
        <w:autoSpaceDE w:val="0"/>
        <w:autoSpaceDN w:val="0"/>
        <w:ind w:firstLine="643"/>
        <w:rPr>
          <w:kern w:val="2"/>
          <w:szCs w:val="32"/>
          <w14:ligatures w14:val="standardContextual"/>
        </w:rPr>
      </w:pPr>
      <w:r>
        <w:rPr>
          <w:rFonts w:eastAsia="楷体_GB2312"/>
          <w:b/>
          <w:bCs/>
          <w:kern w:val="2"/>
          <w:szCs w:val="32"/>
          <w14:ligatures w14:val="standardContextual"/>
        </w:rPr>
        <w:t>（五）投资领域：</w:t>
      </w:r>
      <w:r>
        <w:rPr>
          <w:kern w:val="2"/>
          <w:szCs w:val="32"/>
          <w14:ligatures w14:val="standardContextual"/>
        </w:rPr>
        <w:t>子基金投资于本指南所述重点投资领域的比例不得低于子基金</w:t>
      </w:r>
      <w:r>
        <w:rPr>
          <w:rFonts w:hint="eastAsia"/>
          <w:kern w:val="2"/>
          <w:szCs w:val="32"/>
          <w14:ligatures w14:val="standardContextual"/>
        </w:rPr>
        <w:t>可投资规模</w:t>
      </w:r>
      <w:r>
        <w:rPr>
          <w:kern w:val="2"/>
          <w:szCs w:val="32"/>
          <w14:ligatures w14:val="standardContextual"/>
        </w:rPr>
        <w:t>的</w:t>
      </w:r>
      <w:r>
        <w:rPr>
          <w:rFonts w:hint="eastAsia"/>
          <w:kern w:val="2"/>
          <w:szCs w:val="32"/>
          <w:lang w:val="en-US" w:eastAsia="zh-CN"/>
          <w14:ligatures w14:val="standardContextual"/>
        </w:rPr>
        <w:t>7</w:t>
      </w:r>
      <w:r>
        <w:rPr>
          <w:kern w:val="2"/>
          <w:szCs w:val="32"/>
          <w14:ligatures w14:val="standardContextual"/>
        </w:rPr>
        <w:t>0%。</w:t>
      </w:r>
    </w:p>
    <w:p>
      <w:pPr>
        <w:overflowPunct w:val="0"/>
        <w:autoSpaceDE w:val="0"/>
        <w:autoSpaceDN w:val="0"/>
        <w:ind w:firstLine="643"/>
        <w:rPr>
          <w:kern w:val="2"/>
          <w:szCs w:val="32"/>
          <w14:ligatures w14:val="standardContextual"/>
        </w:rPr>
      </w:pPr>
      <w:r>
        <w:rPr>
          <w:rFonts w:eastAsia="楷体_GB2312"/>
          <w:b/>
          <w:bCs/>
          <w:kern w:val="2"/>
          <w:szCs w:val="32"/>
          <w14:ligatures w14:val="standardContextual"/>
        </w:rPr>
        <w:t>（六）资金托管：</w:t>
      </w:r>
      <w:r>
        <w:rPr>
          <w:color w:val="000000"/>
          <w:kern w:val="2"/>
          <w:szCs w:val="32"/>
          <w14:ligatures w14:val="standardContextual"/>
        </w:rPr>
        <w:t>严格执行资金第三方托管要求</w:t>
      </w:r>
      <w:r>
        <w:rPr>
          <w:rFonts w:hint="eastAsia"/>
          <w:color w:val="000000"/>
          <w:kern w:val="2"/>
          <w:szCs w:val="32"/>
          <w14:ligatures w14:val="standardContextual"/>
        </w:rPr>
        <w:t>。</w:t>
      </w:r>
      <w:r>
        <w:rPr>
          <w:color w:val="000000"/>
          <w:kern w:val="2"/>
          <w:szCs w:val="32"/>
          <w14:ligatures w14:val="standardContextual"/>
        </w:rPr>
        <w:t>第三方托管人依据托管协议负责账户管理、资金清算、资产保管等事务，对投资活动实施动态监管，并按要求出具托管报告</w:t>
      </w:r>
      <w:r>
        <w:rPr>
          <w:kern w:val="2"/>
          <w:szCs w:val="32"/>
          <w14:ligatures w14:val="standardContextual"/>
        </w:rPr>
        <w:t>。</w:t>
      </w:r>
    </w:p>
    <w:p>
      <w:pPr>
        <w:overflowPunct w:val="0"/>
        <w:autoSpaceDE w:val="0"/>
        <w:autoSpaceDN w:val="0"/>
        <w:ind w:firstLine="643"/>
        <w:rPr>
          <w:rFonts w:eastAsia="楷体_GB2312"/>
          <w:b/>
          <w:bCs/>
          <w:kern w:val="2"/>
          <w:szCs w:val="32"/>
          <w14:ligatures w14:val="standardContextual"/>
        </w:rPr>
      </w:pPr>
      <w:r>
        <w:rPr>
          <w:rFonts w:eastAsia="楷体_GB2312"/>
          <w:b/>
          <w:bCs/>
          <w:kern w:val="2"/>
          <w:szCs w:val="32"/>
          <w14:ligatures w14:val="standardContextual"/>
        </w:rPr>
        <w:t>（七）投资限制：</w:t>
      </w:r>
    </w:p>
    <w:p>
      <w:pPr>
        <w:overflowPunct w:val="0"/>
        <w:autoSpaceDE w:val="0"/>
        <w:autoSpaceDN w:val="0"/>
        <w:ind w:firstLine="640"/>
        <w:rPr>
          <w:kern w:val="2"/>
          <w:szCs w:val="32"/>
          <w14:ligatures w14:val="standardContextual"/>
        </w:rPr>
      </w:pPr>
      <w:r>
        <w:rPr>
          <w:kern w:val="2"/>
          <w:szCs w:val="32"/>
          <w14:ligatures w14:val="standardContextual"/>
        </w:rPr>
        <w:t>子基金不得从事以下业务：</w:t>
      </w:r>
    </w:p>
    <w:p>
      <w:pPr>
        <w:overflowPunct w:val="0"/>
        <w:autoSpaceDE w:val="0"/>
        <w:autoSpaceDN w:val="0"/>
        <w:ind w:firstLine="640"/>
        <w:rPr>
          <w:kern w:val="2"/>
          <w:szCs w:val="32"/>
          <w14:ligatures w14:val="standardContextual"/>
        </w:rPr>
      </w:pPr>
      <w:r>
        <w:rPr>
          <w:kern w:val="2"/>
          <w:szCs w:val="32"/>
          <w14:ligatures w14:val="standardContextual"/>
        </w:rPr>
        <w:t>1.从事担保、抵押、委托贷款等业务；</w:t>
      </w:r>
    </w:p>
    <w:p>
      <w:pPr>
        <w:overflowPunct w:val="0"/>
        <w:autoSpaceDE w:val="0"/>
        <w:autoSpaceDN w:val="0"/>
        <w:ind w:firstLine="640"/>
        <w:rPr>
          <w:kern w:val="2"/>
          <w:szCs w:val="32"/>
          <w14:ligatures w14:val="standardContextual"/>
        </w:rPr>
      </w:pPr>
      <w:r>
        <w:rPr>
          <w:kern w:val="2"/>
          <w:szCs w:val="32"/>
          <w14:ligatures w14:val="standardContextual"/>
        </w:rPr>
        <w:t>2.投资二级市场股票（投资上市公司定向增发、并购重组等股权交易形成的股份及中国证监会等监管部门鼓励的上市公司非公开发行、协议转让、大宗交易等不受此限）、期货、房地产、证券投资产业基金、评级AAA以下的企业债、信托产品、非保本型理财产品、保险计划及其他金融衍生品；</w:t>
      </w:r>
    </w:p>
    <w:p>
      <w:pPr>
        <w:overflowPunct w:val="0"/>
        <w:autoSpaceDE w:val="0"/>
        <w:autoSpaceDN w:val="0"/>
        <w:ind w:firstLine="640"/>
        <w:rPr>
          <w:kern w:val="2"/>
          <w:szCs w:val="32"/>
          <w14:ligatures w14:val="standardContextual"/>
        </w:rPr>
      </w:pPr>
      <w:r>
        <w:rPr>
          <w:kern w:val="2"/>
          <w:szCs w:val="32"/>
          <w14:ligatures w14:val="standardContextual"/>
        </w:rPr>
        <w:t>3.向任何第三方提供赞助、捐赠（经批准的公益性捐赠除外）；</w:t>
      </w:r>
    </w:p>
    <w:p>
      <w:pPr>
        <w:overflowPunct w:val="0"/>
        <w:autoSpaceDE w:val="0"/>
        <w:autoSpaceDN w:val="0"/>
        <w:ind w:firstLine="640"/>
        <w:rPr>
          <w:kern w:val="2"/>
          <w:szCs w:val="32"/>
          <w14:ligatures w14:val="standardContextual"/>
        </w:rPr>
      </w:pPr>
      <w:r>
        <w:rPr>
          <w:kern w:val="2"/>
          <w:szCs w:val="32"/>
          <w14:ligatures w14:val="standardContextual"/>
        </w:rPr>
        <w:t>4.吸</w:t>
      </w:r>
      <w:r>
        <w:rPr>
          <w:spacing w:val="-11"/>
          <w:kern w:val="2"/>
          <w:szCs w:val="32"/>
          <w14:ligatures w14:val="standardContextual"/>
        </w:rPr>
        <w:t>收或变相吸收存款，或向第三方提供贷款和资金拆借；</w:t>
      </w:r>
    </w:p>
    <w:p>
      <w:pPr>
        <w:overflowPunct w:val="0"/>
        <w:autoSpaceDE w:val="0"/>
        <w:autoSpaceDN w:val="0"/>
        <w:ind w:firstLine="640"/>
        <w:rPr>
          <w:kern w:val="2"/>
          <w:szCs w:val="32"/>
          <w14:ligatures w14:val="standardContextual"/>
        </w:rPr>
      </w:pPr>
      <w:r>
        <w:rPr>
          <w:kern w:val="2"/>
          <w:szCs w:val="32"/>
          <w14:ligatures w14:val="standardContextual"/>
        </w:rPr>
        <w:t>5.进行承担无限连带责任的对外投资；</w:t>
      </w:r>
    </w:p>
    <w:p>
      <w:pPr>
        <w:overflowPunct w:val="0"/>
        <w:autoSpaceDE w:val="0"/>
        <w:autoSpaceDN w:val="0"/>
        <w:ind w:firstLine="640"/>
        <w:rPr>
          <w:kern w:val="2"/>
          <w:szCs w:val="32"/>
          <w14:ligatures w14:val="standardContextual"/>
        </w:rPr>
      </w:pPr>
      <w:r>
        <w:rPr>
          <w:kern w:val="2"/>
          <w:szCs w:val="32"/>
          <w14:ligatures w14:val="standardContextual"/>
        </w:rPr>
        <w:t>6.发行信托或集合理财产品募集资金；</w:t>
      </w:r>
    </w:p>
    <w:p>
      <w:pPr>
        <w:numPr>
          <w:ilvl w:val="255"/>
          <w:numId w:val="0"/>
        </w:numPr>
        <w:overflowPunct w:val="0"/>
        <w:autoSpaceDE w:val="0"/>
        <w:autoSpaceDN w:val="0"/>
        <w:ind w:firstLine="640" w:firstLineChars="200"/>
        <w:rPr>
          <w:kern w:val="2"/>
          <w:szCs w:val="32"/>
          <w14:ligatures w14:val="standardContextual"/>
        </w:rPr>
      </w:pPr>
      <w:r>
        <w:rPr>
          <w:rFonts w:hint="eastAsia"/>
          <w:kern w:val="2"/>
          <w:szCs w:val="32"/>
          <w14:ligatures w14:val="standardContextual"/>
        </w:rPr>
        <w:t>7.以任何形式新增政府隐性债务；</w:t>
      </w:r>
    </w:p>
    <w:p>
      <w:pPr>
        <w:overflowPunct w:val="0"/>
        <w:autoSpaceDE w:val="0"/>
        <w:autoSpaceDN w:val="0"/>
        <w:ind w:firstLine="640"/>
        <w:rPr>
          <w:kern w:val="2"/>
          <w:szCs w:val="32"/>
          <w14:ligatures w14:val="standardContextual"/>
        </w:rPr>
      </w:pPr>
      <w:r>
        <w:rPr>
          <w:rFonts w:hint="eastAsia"/>
          <w:kern w:val="2"/>
          <w:szCs w:val="32"/>
          <w14:ligatures w14:val="standardContextual"/>
        </w:rPr>
        <w:t>8</w:t>
      </w:r>
      <w:r>
        <w:rPr>
          <w:kern w:val="2"/>
          <w:szCs w:val="32"/>
          <w14:ligatures w14:val="standardContextual"/>
        </w:rPr>
        <w:t>.其他国家法律法规禁止从事的业务。</w:t>
      </w:r>
    </w:p>
    <w:p>
      <w:pPr>
        <w:overflowPunct w:val="0"/>
        <w:autoSpaceDE w:val="0"/>
        <w:autoSpaceDN w:val="0"/>
        <w:ind w:firstLine="643"/>
        <w:rPr>
          <w:rFonts w:eastAsia="楷体_GB2312"/>
          <w:b/>
          <w:bCs/>
          <w:kern w:val="2"/>
          <w:szCs w:val="32"/>
          <w14:ligatures w14:val="standardContextual"/>
        </w:rPr>
      </w:pPr>
      <w:r>
        <w:rPr>
          <w:rFonts w:eastAsia="楷体_GB2312"/>
          <w:b/>
          <w:bCs/>
          <w:kern w:val="2"/>
          <w:szCs w:val="32"/>
          <w14:ligatures w14:val="standardContextual"/>
        </w:rPr>
        <w:t>（八）返投要求：</w:t>
      </w:r>
    </w:p>
    <w:p>
      <w:pPr>
        <w:overflowPunct w:val="0"/>
        <w:autoSpaceDE w:val="0"/>
        <w:autoSpaceDN w:val="0"/>
        <w:ind w:firstLine="640"/>
        <w:rPr>
          <w:kern w:val="2"/>
          <w:szCs w:val="32"/>
          <w14:ligatures w14:val="standardContextual"/>
        </w:rPr>
      </w:pPr>
      <w:r>
        <w:rPr>
          <w:kern w:val="2"/>
          <w:szCs w:val="32"/>
          <w14:ligatures w14:val="standardContextual"/>
        </w:rPr>
        <w:t>子基金返投于湖南省内的投资总额总体不低于</w:t>
      </w:r>
      <w:r>
        <w:rPr>
          <w:rFonts w:hint="eastAsia"/>
          <w:kern w:val="2"/>
          <w:szCs w:val="32"/>
          <w14:ligatures w14:val="standardContextual"/>
        </w:rPr>
        <w:t>湖南省市出资额的1倍，且不低于</w:t>
      </w:r>
      <w:r>
        <w:rPr>
          <w:rFonts w:hint="eastAsia"/>
          <w:szCs w:val="32"/>
        </w:rPr>
        <w:t>母基金出资额的1.2倍</w:t>
      </w:r>
      <w:r>
        <w:rPr>
          <w:rFonts w:hint="eastAsia"/>
          <w:kern w:val="2"/>
          <w:szCs w:val="32"/>
          <w14:ligatures w14:val="standardContextual"/>
        </w:rPr>
        <w:t>。母基金具体返投认定情形</w:t>
      </w:r>
      <w:r>
        <w:rPr>
          <w:kern w:val="2"/>
          <w:szCs w:val="32"/>
          <w14:ligatures w14:val="standardContextual"/>
        </w:rPr>
        <w:t>如下：</w:t>
      </w:r>
    </w:p>
    <w:p>
      <w:pPr>
        <w:overflowPunct w:val="0"/>
        <w:autoSpaceDE w:val="0"/>
        <w:autoSpaceDN w:val="0"/>
        <w:ind w:firstLine="640"/>
        <w:rPr>
          <w:kern w:val="2"/>
          <w:szCs w:val="32"/>
          <w14:ligatures w14:val="standardContextual"/>
        </w:rPr>
      </w:pPr>
      <w:r>
        <w:rPr>
          <w:rFonts w:hint="eastAsia"/>
          <w:kern w:val="2"/>
          <w:szCs w:val="32"/>
          <w14:ligatures w14:val="standardContextual"/>
        </w:rPr>
        <w:t>1.子基金投资省内企业的。</w:t>
      </w:r>
    </w:p>
    <w:p>
      <w:pPr>
        <w:overflowPunct w:val="0"/>
        <w:autoSpaceDE w:val="0"/>
        <w:autoSpaceDN w:val="0"/>
        <w:ind w:firstLine="640"/>
        <w:rPr>
          <w:kern w:val="2"/>
          <w:szCs w:val="32"/>
          <w14:ligatures w14:val="standardContextual"/>
        </w:rPr>
      </w:pPr>
      <w:r>
        <w:rPr>
          <w:rFonts w:hint="eastAsia"/>
          <w:kern w:val="2"/>
          <w:szCs w:val="32"/>
          <w14:ligatures w14:val="standardContextual"/>
        </w:rPr>
        <w:t>2.子基金投资省外企业，并将被投企业迁入我省（5年内迁出的除外），或被省内企业收购的。</w:t>
      </w:r>
    </w:p>
    <w:p>
      <w:pPr>
        <w:overflowPunct w:val="0"/>
        <w:autoSpaceDE w:val="0"/>
        <w:autoSpaceDN w:val="0"/>
        <w:ind w:firstLine="640"/>
        <w:rPr>
          <w:kern w:val="2"/>
          <w:szCs w:val="32"/>
          <w14:ligatures w14:val="standardContextual"/>
        </w:rPr>
      </w:pPr>
      <w:r>
        <w:rPr>
          <w:rFonts w:hint="eastAsia"/>
          <w:kern w:val="2"/>
          <w:szCs w:val="32"/>
          <w14:ligatures w14:val="standardContextual"/>
        </w:rPr>
        <w:t>3.子基金投资省外企业，通过该投资将被投企业总部、区域总部、子公司、生产基地、研发基地等纳税主体落户省内的。</w:t>
      </w:r>
    </w:p>
    <w:p>
      <w:pPr>
        <w:overflowPunct w:val="0"/>
        <w:autoSpaceDE w:val="0"/>
        <w:autoSpaceDN w:val="0"/>
        <w:ind w:firstLine="640"/>
        <w:rPr>
          <w:kern w:val="2"/>
          <w:szCs w:val="32"/>
          <w14:ligatures w14:val="standardContextual"/>
        </w:rPr>
      </w:pPr>
      <w:r>
        <w:rPr>
          <w:rFonts w:hint="eastAsia"/>
          <w:kern w:val="2"/>
          <w:szCs w:val="32"/>
          <w14:ligatures w14:val="standardContextual"/>
        </w:rPr>
        <w:t>4.子基金管理机构及其关联方（控股股东或属于同一实际控制人及其管理且未设定对省内返投任务的其他基金）符合前述情形的</w:t>
      </w:r>
      <w:r>
        <w:rPr>
          <w:rFonts w:hint="eastAsia"/>
          <w:kern w:val="2"/>
          <w:szCs w:val="32"/>
          <w:lang w:eastAsia="zh-CN"/>
          <w14:ligatures w14:val="standardContextual"/>
        </w:rPr>
        <w:t>；或虽未进行投资，但经母基金管理人认定通过其协调为湖南引入产业项目的</w:t>
      </w:r>
      <w:r>
        <w:rPr>
          <w:rFonts w:hint="eastAsia"/>
          <w:kern w:val="2"/>
          <w:szCs w:val="32"/>
          <w14:ligatures w14:val="standardContextual"/>
        </w:rPr>
        <w:t>。</w:t>
      </w:r>
    </w:p>
    <w:p>
      <w:pPr>
        <w:overflowPunct w:val="0"/>
        <w:autoSpaceDE w:val="0"/>
        <w:autoSpaceDN w:val="0"/>
        <w:ind w:firstLine="640"/>
        <w:rPr>
          <w:rFonts w:hint="eastAsia" w:eastAsia="仿宋_GB2312"/>
          <w:kern w:val="2"/>
          <w:szCs w:val="32"/>
          <w:lang w:eastAsia="zh-CN"/>
          <w14:ligatures w14:val="standardContextual"/>
        </w:rPr>
      </w:pPr>
      <w:r>
        <w:rPr>
          <w:rFonts w:hint="eastAsia"/>
          <w:kern w:val="2"/>
          <w:szCs w:val="32"/>
          <w14:ligatures w14:val="standardContextual"/>
        </w:rPr>
        <w:t>5.经相关部门认定的其他情形。</w:t>
      </w:r>
    </w:p>
    <w:p>
      <w:pPr>
        <w:overflowPunct w:val="0"/>
        <w:autoSpaceDE w:val="0"/>
        <w:autoSpaceDN w:val="0"/>
        <w:ind w:firstLine="640"/>
        <w:rPr>
          <w:kern w:val="2"/>
          <w:szCs w:val="32"/>
          <w14:ligatures w14:val="standardContextual"/>
        </w:rPr>
      </w:pPr>
      <w:r>
        <w:rPr>
          <w:rFonts w:hint="eastAsia"/>
          <w:kern w:val="2"/>
          <w:szCs w:val="32"/>
          <w14:ligatures w14:val="standardContextual"/>
        </w:rPr>
        <w:t>返投金额可按照子基金实际投资金额、迁入省内企业的所有者权益、对省内固定资产投资金额等标准进行认定。为湖南省引入上市公司、高水平研发中心等主体的，可按返投金额不超过1.5倍的比例进行认定。如返投项目不</w:t>
      </w:r>
      <w:r>
        <w:rPr>
          <w:rFonts w:hint="eastAsia"/>
          <w:kern w:val="2"/>
          <w:szCs w:val="32"/>
          <w:lang w:eastAsia="zh-CN"/>
          <w14:ligatures w14:val="standardContextual"/>
        </w:rPr>
        <w:t>属于</w:t>
      </w:r>
      <w:r>
        <w:rPr>
          <w:rFonts w:hint="eastAsia"/>
          <w:kern w:val="2"/>
          <w:szCs w:val="32"/>
          <w14:ligatures w14:val="standardContextual"/>
        </w:rPr>
        <w:t>子基金</w:t>
      </w:r>
      <w:r>
        <w:rPr>
          <w:rFonts w:hint="eastAsia"/>
          <w:kern w:val="2"/>
          <w:szCs w:val="32"/>
          <w:lang w:eastAsia="zh-CN"/>
          <w14:ligatures w14:val="standardContextual"/>
        </w:rPr>
        <w:t>重点</w:t>
      </w:r>
      <w:r>
        <w:rPr>
          <w:rFonts w:hint="eastAsia"/>
          <w:kern w:val="2"/>
          <w:szCs w:val="32"/>
          <w14:ligatures w14:val="standardContextual"/>
        </w:rPr>
        <w:t>投资</w:t>
      </w:r>
      <w:r>
        <w:rPr>
          <w:rFonts w:hint="eastAsia"/>
          <w:kern w:val="2"/>
          <w:szCs w:val="32"/>
          <w:lang w:eastAsia="zh-CN"/>
          <w14:ligatures w14:val="standardContextual"/>
        </w:rPr>
        <w:t>领域</w:t>
      </w:r>
      <w:r>
        <w:rPr>
          <w:rFonts w:hint="eastAsia"/>
          <w:kern w:val="2"/>
          <w:szCs w:val="32"/>
          <w14:ligatures w14:val="standardContextual"/>
        </w:rPr>
        <w:t>的，按返投金额的70%进行认定。</w:t>
      </w:r>
    </w:p>
    <w:p>
      <w:pPr>
        <w:overflowPunct w:val="0"/>
        <w:autoSpaceDE w:val="0"/>
        <w:autoSpaceDN w:val="0"/>
        <w:ind w:firstLine="640"/>
        <w:rPr>
          <w:szCs w:val="32"/>
          <w:shd w:val="clear" w:color="auto" w:fill="FFFFFF"/>
          <w14:ligatures w14:val="standardContextual"/>
        </w:rPr>
      </w:pPr>
      <w:r>
        <w:rPr>
          <w:kern w:val="2"/>
          <w:szCs w:val="32"/>
          <w14:ligatures w14:val="standardContextual"/>
        </w:rPr>
        <w:t>母基金将根据基金返投情况分期考核，并将返投考核结果与母基金后续出资等挂钩。</w:t>
      </w:r>
      <w:r>
        <w:rPr>
          <w:szCs w:val="32"/>
          <w:shd w:val="clear" w:color="auto" w:fill="FFFFFF"/>
          <w14:ligatures w14:val="standardContextual"/>
        </w:rPr>
        <w:t>若</w:t>
      </w:r>
      <w:r>
        <w:rPr>
          <w:rFonts w:hint="eastAsia"/>
          <w:szCs w:val="32"/>
          <w:shd w:val="clear" w:color="auto" w:fill="FFFFFF"/>
          <w14:ligatures w14:val="standardContextual"/>
        </w:rPr>
        <w:t>子基金的返投</w:t>
      </w:r>
      <w:r>
        <w:rPr>
          <w:szCs w:val="32"/>
          <w:shd w:val="clear" w:color="auto" w:fill="FFFFFF"/>
          <w14:ligatures w14:val="standardContextual"/>
        </w:rPr>
        <w:t>阶段考核未达标，母基金有权采取暂停后续出资与管理费计提等方式来促使子基金返投考核达标；子基金存续期结束时，母基金管理人将对子基金整体返投完成情况进行考核，若整体返投考核未达标，母基金有权向子基金或其管理</w:t>
      </w:r>
      <w:r>
        <w:rPr>
          <w:rFonts w:hint="eastAsia"/>
          <w:szCs w:val="32"/>
          <w:shd w:val="clear" w:color="auto" w:fill="FFFFFF"/>
          <w14:ligatures w14:val="standardContextual"/>
        </w:rPr>
        <w:t>机构</w:t>
      </w:r>
      <w:r>
        <w:rPr>
          <w:szCs w:val="32"/>
          <w:shd w:val="clear" w:color="auto" w:fill="FFFFFF"/>
          <w14:ligatures w14:val="standardContextual"/>
        </w:rPr>
        <w:t>追究违约责任。具体返投目标、考核方式及违约责任以</w:t>
      </w:r>
      <w:r>
        <w:rPr>
          <w:rFonts w:hint="eastAsia"/>
          <w:szCs w:val="32"/>
          <w:shd w:val="clear" w:color="auto" w:fill="FFFFFF"/>
          <w14:ligatures w14:val="standardContextual"/>
        </w:rPr>
        <w:t>相关</w:t>
      </w:r>
      <w:r>
        <w:rPr>
          <w:szCs w:val="32"/>
          <w:shd w:val="clear" w:color="auto" w:fill="FFFFFF"/>
          <w14:ligatures w14:val="standardContextual"/>
        </w:rPr>
        <w:t>协议约定为准。</w:t>
      </w:r>
    </w:p>
    <w:p>
      <w:pPr>
        <w:overflowPunct w:val="0"/>
        <w:autoSpaceDE w:val="0"/>
        <w:autoSpaceDN w:val="0"/>
        <w:ind w:firstLine="640"/>
        <w:rPr>
          <w:kern w:val="2"/>
          <w:szCs w:val="32"/>
          <w14:ligatures w14:val="standardContextual"/>
        </w:rPr>
      </w:pPr>
      <w:r>
        <w:rPr>
          <w:rFonts w:hint="eastAsia"/>
        </w:rPr>
        <w:t>市级的返投倍数及返投认定具体情形等，由市级按相关规定与子基金管理机构协商确定。</w:t>
      </w:r>
    </w:p>
    <w:p>
      <w:pPr>
        <w:overflowPunct w:val="0"/>
        <w:autoSpaceDE w:val="0"/>
        <w:autoSpaceDN w:val="0"/>
        <w:ind w:firstLine="643"/>
        <w:rPr>
          <w:rFonts w:eastAsia="楷体_GB2312"/>
          <w:b/>
          <w:bCs/>
          <w:kern w:val="2"/>
          <w:szCs w:val="32"/>
          <w14:ligatures w14:val="standardContextual"/>
        </w:rPr>
      </w:pPr>
      <w:r>
        <w:rPr>
          <w:rFonts w:eastAsia="楷体_GB2312"/>
          <w:b/>
          <w:bCs/>
          <w:kern w:val="2"/>
          <w:szCs w:val="32"/>
          <w14:ligatures w14:val="standardContextual"/>
        </w:rPr>
        <w:t>（九）提前退出保障：</w:t>
      </w:r>
    </w:p>
    <w:p>
      <w:pPr>
        <w:pBdr>
          <w:top w:val="none" w:color="auto" w:sz="0" w:space="1"/>
          <w:left w:val="none" w:color="auto" w:sz="0" w:space="1"/>
          <w:bottom w:val="none" w:color="auto" w:sz="0" w:space="1"/>
          <w:right w:val="none" w:color="auto" w:sz="0" w:space="1"/>
        </w:pBdr>
        <w:overflowPunct w:val="0"/>
        <w:ind w:firstLine="640"/>
        <w:rPr>
          <w:szCs w:val="32"/>
          <w:shd w:val="clear" w:color="auto" w:fill="FFFFFF"/>
          <w14:ligatures w14:val="standardContextual"/>
        </w:rPr>
      </w:pPr>
      <w:r>
        <w:rPr>
          <w:szCs w:val="32"/>
          <w:shd w:val="clear" w:color="auto" w:fill="FFFFFF"/>
          <w14:ligatures w14:val="standardContextual"/>
        </w:rPr>
        <w:t>有下述情况之一的，母基金出资可选择提前退出：</w:t>
      </w:r>
    </w:p>
    <w:p>
      <w:pPr>
        <w:pBdr>
          <w:top w:val="none" w:color="auto" w:sz="0" w:space="1"/>
          <w:left w:val="none" w:color="auto" w:sz="0" w:space="1"/>
          <w:bottom w:val="none" w:color="auto" w:sz="0" w:space="1"/>
          <w:right w:val="none" w:color="auto" w:sz="0" w:space="1"/>
        </w:pBdr>
        <w:overflowPunct w:val="0"/>
        <w:ind w:firstLine="640"/>
        <w:rPr>
          <w:szCs w:val="32"/>
          <w:shd w:val="clear" w:color="auto" w:fill="FFFFFF"/>
          <w14:ligatures w14:val="standardContextual"/>
        </w:rPr>
      </w:pPr>
      <w:r>
        <w:rPr>
          <w:szCs w:val="32"/>
          <w:shd w:val="clear" w:color="auto" w:fill="FFFFFF"/>
          <w14:ligatures w14:val="standardContextual"/>
        </w:rPr>
        <w:t>1.子基金方案确认后超过一年，未按规定程序和时间要求完成设立手续的；</w:t>
      </w:r>
    </w:p>
    <w:p>
      <w:pPr>
        <w:pBdr>
          <w:top w:val="none" w:color="auto" w:sz="0" w:space="1"/>
          <w:left w:val="none" w:color="auto" w:sz="0" w:space="1"/>
          <w:bottom w:val="none" w:color="auto" w:sz="0" w:space="1"/>
          <w:right w:val="none" w:color="auto" w:sz="0" w:space="1"/>
        </w:pBdr>
        <w:overflowPunct w:val="0"/>
        <w:autoSpaceDE/>
        <w:autoSpaceDN/>
        <w:ind w:firstLine="640"/>
        <w:rPr>
          <w:szCs w:val="32"/>
          <w:shd w:val="clear" w:color="auto" w:fill="FFFFFF"/>
          <w14:ligatures w14:val="standardContextual"/>
        </w:rPr>
      </w:pPr>
      <w:r>
        <w:rPr>
          <w:szCs w:val="32"/>
          <w:shd w:val="clear" w:color="auto" w:fill="FFFFFF"/>
          <w14:ligatures w14:val="standardContextual"/>
        </w:rPr>
        <w:t>2.母基金出资拨付子基金账户一年以上，子基金未开展项目投资的</w:t>
      </w:r>
      <w:r>
        <w:rPr>
          <w:rFonts w:hint="eastAsia"/>
          <w:szCs w:val="32"/>
          <w:shd w:val="clear" w:color="auto" w:fill="FFFFFF"/>
          <w:lang w:eastAsia="zh-CN"/>
          <w14:ligatures w14:val="standardContextual"/>
        </w:rPr>
        <w:t>。</w:t>
      </w:r>
    </w:p>
    <w:p>
      <w:pPr>
        <w:overflowPunct w:val="0"/>
        <w:autoSpaceDE w:val="0"/>
        <w:autoSpaceDN w:val="0"/>
        <w:snapToGrid w:val="0"/>
        <w:ind w:firstLine="643"/>
        <w:rPr>
          <w:kern w:val="2"/>
          <w:szCs w:val="32"/>
          <w14:ligatures w14:val="standardContextual"/>
        </w:rPr>
      </w:pPr>
      <w:r>
        <w:rPr>
          <w:rFonts w:eastAsia="楷体_GB2312"/>
          <w:b/>
          <w:bCs/>
          <w:kern w:val="2"/>
          <w:szCs w:val="32"/>
          <w14:ligatures w14:val="standardContextual"/>
        </w:rPr>
        <w:t>（十）穿透核查：</w:t>
      </w:r>
      <w:r>
        <w:rPr>
          <w:kern w:val="2"/>
          <w:szCs w:val="32"/>
          <w14:ligatures w14:val="standardContextual"/>
        </w:rPr>
        <w:t>对拟入选的子基金管理机构进行穿透核查，通过信用中国、信用信息公示系统、征信系统、中国裁判文书网、</w:t>
      </w:r>
      <w:r>
        <w:rPr>
          <w:rFonts w:hint="eastAsia"/>
          <w:kern w:val="2"/>
          <w:szCs w:val="32"/>
          <w14:ligatures w14:val="standardContextual"/>
        </w:rPr>
        <w:t>中国证券投资基金业协会信息公示等数据库</w:t>
      </w:r>
      <w:r>
        <w:rPr>
          <w:kern w:val="2"/>
          <w:szCs w:val="32"/>
          <w14:ligatures w14:val="standardContextual"/>
        </w:rPr>
        <w:t>，</w:t>
      </w:r>
      <w:bookmarkStart w:id="1" w:name="_Hlk120804375"/>
      <w:r>
        <w:rPr>
          <w:kern w:val="2"/>
          <w:szCs w:val="32"/>
          <w14:ligatures w14:val="standardContextual"/>
        </w:rPr>
        <w:t>查询复核子基金管理机构及其股东（穿透到实际出资方）、实际控制人、关联方及高管人员是否涉嫌违法犯罪、是否受到行业行政监管措施、行政监管处罚。</w:t>
      </w:r>
      <w:bookmarkEnd w:id="1"/>
      <w:r>
        <w:rPr>
          <w:kern w:val="2"/>
          <w:szCs w:val="32"/>
          <w14:ligatures w14:val="standardContextual"/>
        </w:rPr>
        <w:t>子基金管理机构应递交穿透核查</w:t>
      </w:r>
      <w:r>
        <w:rPr>
          <w:rFonts w:hint="eastAsia"/>
          <w:kern w:val="2"/>
          <w:szCs w:val="32"/>
          <w14:ligatures w14:val="standardContextual"/>
        </w:rPr>
        <w:t>材料</w:t>
      </w:r>
      <w:r>
        <w:rPr>
          <w:kern w:val="2"/>
          <w:szCs w:val="32"/>
          <w14:ligatures w14:val="standardContextual"/>
        </w:rPr>
        <w:t>。</w:t>
      </w:r>
    </w:p>
    <w:p>
      <w:pPr>
        <w:overflowPunct w:val="0"/>
        <w:autoSpaceDE w:val="0"/>
        <w:autoSpaceDN w:val="0"/>
        <w:ind w:firstLine="643"/>
        <w:rPr>
          <w:kern w:val="2"/>
          <w:szCs w:val="32"/>
          <w14:ligatures w14:val="standardContextual"/>
        </w:rPr>
      </w:pPr>
      <w:r>
        <w:rPr>
          <w:rFonts w:eastAsia="楷体_GB2312"/>
          <w:b/>
          <w:bCs/>
          <w:kern w:val="2"/>
          <w:szCs w:val="32"/>
          <w14:ligatures w14:val="standardContextual"/>
        </w:rPr>
        <w:t>（十一）信息披露：</w:t>
      </w:r>
      <w:r>
        <w:rPr>
          <w:kern w:val="2"/>
          <w:szCs w:val="32"/>
          <w14:ligatures w14:val="standardContextual"/>
        </w:rPr>
        <w:t>每半年度结束后</w:t>
      </w:r>
      <w:r>
        <w:rPr>
          <w:rFonts w:hint="eastAsia"/>
          <w:kern w:val="2"/>
          <w:szCs w:val="32"/>
          <w14:ligatures w14:val="standardContextual"/>
        </w:rPr>
        <w:t>3</w:t>
      </w:r>
      <w:r>
        <w:rPr>
          <w:kern w:val="2"/>
          <w:szCs w:val="32"/>
          <w14:ligatures w14:val="standardContextual"/>
        </w:rPr>
        <w:t>个月内，子基金管理机构应向母基金管理人报送相关财务报告、运营报告。会计年度结束后</w:t>
      </w:r>
      <w:r>
        <w:rPr>
          <w:rFonts w:hint="eastAsia"/>
          <w:kern w:val="2"/>
          <w:szCs w:val="32"/>
          <w14:ligatures w14:val="standardContextual"/>
        </w:rPr>
        <w:t>4</w:t>
      </w:r>
      <w:r>
        <w:rPr>
          <w:kern w:val="2"/>
          <w:szCs w:val="32"/>
          <w14:ligatures w14:val="standardContextual"/>
        </w:rPr>
        <w:t>个月内，子基金管理机构应向母基金管理人提交基金年度</w:t>
      </w:r>
      <w:r>
        <w:rPr>
          <w:rFonts w:hint="eastAsia"/>
          <w:kern w:val="2"/>
          <w:szCs w:val="32"/>
          <w14:ligatures w14:val="standardContextual"/>
        </w:rPr>
        <w:t>运营</w:t>
      </w:r>
      <w:r>
        <w:rPr>
          <w:kern w:val="2"/>
          <w:szCs w:val="32"/>
          <w14:ligatures w14:val="standardContextual"/>
        </w:rPr>
        <w:t>报告和经审计的年度财务报告。</w:t>
      </w:r>
    </w:p>
    <w:p>
      <w:pPr>
        <w:overflowPunct w:val="0"/>
        <w:autoSpaceDE w:val="0"/>
        <w:autoSpaceDN w:val="0"/>
        <w:ind w:firstLine="640"/>
        <w:rPr>
          <w:kern w:val="2"/>
          <w:szCs w:val="32"/>
          <w14:ligatures w14:val="standardContextual"/>
        </w:rPr>
      </w:pPr>
      <w:r>
        <w:rPr>
          <w:kern w:val="2"/>
          <w:szCs w:val="32"/>
          <w14:ligatures w14:val="standardContextual"/>
        </w:rPr>
        <w:t>子基金应按照</w:t>
      </w:r>
      <w:r>
        <w:fldChar w:fldCharType="begin"/>
      </w:r>
      <w:r>
        <w:instrText xml:space="preserve"> HYPERLINK "http://www.baidu.com/link?url=CB7Jj7fZ8V_I-l_eJGFjO_qys0q3OWLHtws8LF3QmrQwYggM-XLjdfROoAH_K8Fa" \t "https://www.baidu.com/_blank" </w:instrText>
      </w:r>
      <w:r>
        <w:fldChar w:fldCharType="separate"/>
      </w:r>
      <w:r>
        <w:rPr>
          <w:kern w:val="2"/>
          <w:szCs w:val="32"/>
          <w14:ligatures w14:val="standardContextual"/>
        </w:rPr>
        <w:t>中国证券投资基金业协会</w:t>
      </w:r>
      <w:r>
        <w:rPr>
          <w:kern w:val="2"/>
          <w:szCs w:val="32"/>
          <w14:ligatures w14:val="standardContextual"/>
        </w:rPr>
        <w:fldChar w:fldCharType="end"/>
      </w:r>
      <w:r>
        <w:rPr>
          <w:kern w:val="2"/>
          <w:szCs w:val="32"/>
          <w14:ligatures w14:val="standardContextual"/>
        </w:rPr>
        <w:t>有关要求建立重大事项披露制度。重大事项包括：变更基金管理人、执行事务合伙人或者托管人，基金管理人控股股东、管理费率、托管费率发生变化，基金收益分配事项发生变化，基金发生清盘、清算或者发生重大关联交易等事项。</w:t>
      </w:r>
    </w:p>
    <w:p>
      <w:pPr>
        <w:overflowPunct w:val="0"/>
        <w:autoSpaceDE w:val="0"/>
        <w:autoSpaceDN w:val="0"/>
        <w:ind w:firstLine="643"/>
        <w:rPr>
          <w:rFonts w:eastAsia="楷体_GB2312"/>
          <w:b/>
          <w:bCs/>
          <w:kern w:val="2"/>
          <w:szCs w:val="32"/>
          <w14:ligatures w14:val="standardContextual"/>
        </w:rPr>
      </w:pPr>
      <w:r>
        <w:rPr>
          <w:rFonts w:hint="eastAsia" w:eastAsia="楷体_GB2312"/>
          <w:b/>
          <w:bCs/>
          <w:kern w:val="2"/>
          <w:szCs w:val="32"/>
          <w14:ligatures w14:val="standardContextual"/>
        </w:rPr>
        <w:t>（十二）投资要求：</w:t>
      </w:r>
      <w:r>
        <w:rPr>
          <w:rFonts w:hint="eastAsia"/>
          <w:kern w:val="2"/>
          <w:szCs w:val="32"/>
          <w14:ligatures w14:val="standardContextual"/>
        </w:rPr>
        <w:t>若子基金在投资期内连续一年无项目出资，子基金管理机构应及时向母基金管理人披露后续投资规划。若自披露后续投资规划后半年内仍未开展项目投资，母基金管理人后续有权不再出资。</w:t>
      </w:r>
    </w:p>
    <w:p>
      <w:pPr>
        <w:overflowPunct w:val="0"/>
        <w:autoSpaceDE w:val="0"/>
        <w:autoSpaceDN w:val="0"/>
        <w:ind w:firstLine="643"/>
        <w:rPr>
          <w:rFonts w:eastAsia="楷体_GB2312"/>
          <w:b/>
          <w:bCs/>
          <w:kern w:val="2"/>
          <w:szCs w:val="32"/>
          <w14:ligatures w14:val="standardContextual"/>
        </w:rPr>
      </w:pPr>
      <w:r>
        <w:rPr>
          <w:rFonts w:eastAsia="楷体_GB2312"/>
          <w:b/>
          <w:bCs/>
          <w:kern w:val="2"/>
          <w:szCs w:val="32"/>
          <w14:ligatures w14:val="standardContextual"/>
        </w:rPr>
        <w:t>（十</w:t>
      </w:r>
      <w:r>
        <w:rPr>
          <w:rFonts w:hint="eastAsia" w:eastAsia="楷体_GB2312"/>
          <w:b/>
          <w:bCs/>
          <w:kern w:val="2"/>
          <w:szCs w:val="32"/>
          <w14:ligatures w14:val="standardContextual"/>
        </w:rPr>
        <w:t>三</w:t>
      </w:r>
      <w:r>
        <w:rPr>
          <w:rFonts w:eastAsia="楷体_GB2312"/>
          <w:b/>
          <w:bCs/>
          <w:kern w:val="2"/>
          <w:szCs w:val="32"/>
          <w14:ligatures w14:val="standardContextual"/>
        </w:rPr>
        <w:t>）</w:t>
      </w:r>
      <w:r>
        <w:rPr>
          <w:rFonts w:hint="eastAsia" w:eastAsia="楷体_GB2312"/>
          <w:b/>
          <w:bCs/>
          <w:kern w:val="2"/>
          <w:szCs w:val="32"/>
          <w14:ligatures w14:val="standardContextual"/>
        </w:rPr>
        <w:t>绩效评价</w:t>
      </w:r>
      <w:r>
        <w:rPr>
          <w:rFonts w:eastAsia="楷体_GB2312"/>
          <w:b/>
          <w:bCs/>
          <w:kern w:val="2"/>
          <w:szCs w:val="32"/>
          <w14:ligatures w14:val="standardContextual"/>
        </w:rPr>
        <w:t>：</w:t>
      </w:r>
      <w:r>
        <w:rPr>
          <w:rFonts w:hint="eastAsia"/>
          <w:kern w:val="2"/>
          <w:szCs w:val="32"/>
          <w14:ligatures w14:val="standardContextual"/>
        </w:rPr>
        <w:t>子基金管理机构</w:t>
      </w:r>
      <w:r>
        <w:rPr>
          <w:kern w:val="2"/>
          <w:szCs w:val="32"/>
          <w14:ligatures w14:val="standardContextual"/>
        </w:rPr>
        <w:t>应主动接受</w:t>
      </w:r>
      <w:r>
        <w:rPr>
          <w:rFonts w:hint="eastAsia"/>
          <w:kern w:val="2"/>
          <w:szCs w:val="32"/>
          <w14:ligatures w14:val="standardContextual"/>
        </w:rPr>
        <w:t>母</w:t>
      </w:r>
      <w:r>
        <w:rPr>
          <w:kern w:val="2"/>
          <w:szCs w:val="32"/>
          <w14:ligatures w14:val="standardContextual"/>
        </w:rPr>
        <w:t>基金管理人的绩效评价。绩效</w:t>
      </w:r>
      <w:r>
        <w:rPr>
          <w:rFonts w:hint="eastAsia"/>
          <w:kern w:val="2"/>
          <w:szCs w:val="32"/>
          <w14:ligatures w14:val="standardContextual"/>
        </w:rPr>
        <w:t>评价</w:t>
      </w:r>
      <w:r>
        <w:rPr>
          <w:kern w:val="2"/>
          <w:szCs w:val="32"/>
          <w14:ligatures w14:val="standardContextual"/>
        </w:rPr>
        <w:t>结果将与子基金后续合作、继续出资、管理费、超额收益分成等挂钩。子基金管理机构需积极配合母基金管理人开展全方面投后合作，包括但不限于分享优质项目跟投机会、团队培训等。</w:t>
      </w:r>
      <w:r>
        <w:rPr>
          <w:rFonts w:hint="eastAsia"/>
          <w:kern w:val="2"/>
          <w:szCs w:val="32"/>
          <w14:ligatures w14:val="standardContextual"/>
        </w:rPr>
        <w:t>绩效评价</w:t>
      </w:r>
      <w:r>
        <w:rPr>
          <w:kern w:val="2"/>
          <w:szCs w:val="32"/>
          <w14:ligatures w14:val="standardContextual"/>
        </w:rPr>
        <w:t>指标可根据</w:t>
      </w:r>
      <w:r>
        <w:rPr>
          <w:szCs w:val="32"/>
          <w14:ligatures w14:val="standardContextual"/>
        </w:rPr>
        <w:t>子基金</w:t>
      </w:r>
      <w:r>
        <w:rPr>
          <w:kern w:val="2"/>
          <w:szCs w:val="32"/>
          <w14:ligatures w14:val="standardContextual"/>
        </w:rPr>
        <w:t>的实际情况进行调整和补充。</w:t>
      </w:r>
    </w:p>
    <w:p>
      <w:pPr>
        <w:overflowPunct w:val="0"/>
        <w:autoSpaceDE w:val="0"/>
        <w:autoSpaceDN w:val="0"/>
        <w:ind w:firstLine="640"/>
        <w:rPr>
          <w:kern w:val="2"/>
          <w:szCs w:val="32"/>
          <w14:ligatures w14:val="standardContextual"/>
        </w:rPr>
      </w:pPr>
    </w:p>
    <w:p>
      <w:pPr>
        <w:spacing w:after="120"/>
        <w:ind w:firstLine="420"/>
        <w:rPr>
          <w:rFonts w:eastAsia="宋体"/>
          <w:kern w:val="2"/>
          <w:sz w:val="21"/>
          <w14:ligatures w14:val="standardContextual"/>
        </w:rPr>
      </w:pPr>
    </w:p>
    <w:p>
      <w:pPr>
        <w:overflowPunct w:val="0"/>
        <w:autoSpaceDE w:val="0"/>
        <w:autoSpaceDN w:val="0"/>
        <w:snapToGrid w:val="0"/>
        <w:ind w:firstLine="640"/>
        <w:rPr>
          <w:szCs w:val="32"/>
          <w14:ligatures w14:val="standardContextual"/>
        </w:rPr>
      </w:pPr>
      <w:r>
        <w:rPr>
          <w:szCs w:val="32"/>
          <w14:ligatures w14:val="standardContextual"/>
        </w:rPr>
        <w:t xml:space="preserve">附件：1. </w:t>
      </w:r>
      <w:r>
        <w:rPr>
          <w:rFonts w:hint="eastAsia"/>
          <w:szCs w:val="32"/>
        </w:rPr>
        <w:t>马栏山文化产业</w:t>
      </w:r>
      <w:r>
        <w:rPr>
          <w:rFonts w:hint="eastAsia"/>
          <w:szCs w:val="32"/>
          <w14:ligatures w14:val="standardContextual"/>
        </w:rPr>
        <w:t>子基金管理机构</w:t>
      </w:r>
      <w:r>
        <w:rPr>
          <w:szCs w:val="32"/>
          <w14:ligatures w14:val="standardContextual"/>
        </w:rPr>
        <w:t>申请表</w:t>
      </w:r>
    </w:p>
    <w:p>
      <w:pPr>
        <w:overflowPunct w:val="0"/>
        <w:autoSpaceDE w:val="0"/>
        <w:autoSpaceDN w:val="0"/>
        <w:snapToGrid w:val="0"/>
        <w:ind w:left="1600" w:leftChars="500" w:firstLine="0" w:firstLineChars="0"/>
        <w:rPr>
          <w:szCs w:val="32"/>
          <w14:ligatures w14:val="standardContextual"/>
        </w:rPr>
      </w:pPr>
      <w:r>
        <w:rPr>
          <w:szCs w:val="32"/>
          <w14:ligatures w14:val="standardContextual"/>
        </w:rPr>
        <w:t>2. 湖南省</w:t>
      </w:r>
      <w:r>
        <w:rPr>
          <w:rFonts w:hint="eastAsia"/>
          <w:szCs w:val="32"/>
          <w14:ligatures w14:val="standardContextual"/>
        </w:rPr>
        <w:t>金芙蓉</w:t>
      </w:r>
      <w:r>
        <w:rPr>
          <w:szCs w:val="32"/>
          <w14:ligatures w14:val="standardContextual"/>
        </w:rPr>
        <w:t>产业引导基金</w:t>
      </w:r>
      <w:r>
        <w:rPr>
          <w:rFonts w:hint="eastAsia"/>
          <w:szCs w:val="32"/>
        </w:rPr>
        <w:t>马栏山文化产业</w:t>
      </w:r>
      <w:r>
        <w:rPr>
          <w:rFonts w:hint="eastAsia"/>
          <w:szCs w:val="32"/>
          <w14:ligatures w14:val="standardContextual"/>
        </w:rPr>
        <w:t>子基金</w:t>
      </w:r>
      <w:r>
        <w:rPr>
          <w:szCs w:val="32"/>
          <w14:ligatures w14:val="standardContextual"/>
        </w:rPr>
        <w:t>管理机构申报材料（样本）</w:t>
      </w:r>
    </w:p>
    <w:p>
      <w:pPr>
        <w:overflowPunct w:val="0"/>
        <w:autoSpaceDE w:val="0"/>
        <w:autoSpaceDN w:val="0"/>
        <w:snapToGrid w:val="0"/>
        <w:ind w:firstLine="1619" w:firstLineChars="506"/>
        <w:rPr>
          <w:szCs w:val="32"/>
          <w14:ligatures w14:val="standardContextual"/>
        </w:rPr>
      </w:pPr>
      <w:r>
        <w:rPr>
          <w:szCs w:val="32"/>
          <w14:ligatures w14:val="standardContextual"/>
        </w:rPr>
        <w:t>3. 申报承诺书、</w:t>
      </w:r>
      <w:r>
        <w:rPr>
          <w:rFonts w:hint="eastAsia"/>
          <w:szCs w:val="32"/>
          <w14:ligatures w14:val="standardContextual"/>
        </w:rPr>
        <w:t>承诺</w:t>
      </w:r>
      <w:r>
        <w:rPr>
          <w:szCs w:val="32"/>
          <w14:ligatures w14:val="standardContextual"/>
        </w:rPr>
        <w:t>函及</w:t>
      </w:r>
      <w:r>
        <w:rPr>
          <w:rFonts w:hint="eastAsia"/>
          <w:szCs w:val="32"/>
          <w14:ligatures w14:val="standardContextual"/>
        </w:rPr>
        <w:t>法定代表人</w:t>
      </w:r>
      <w:r>
        <w:rPr>
          <w:szCs w:val="32"/>
          <w14:ligatures w14:val="standardContextual"/>
        </w:rPr>
        <w:t>授权书</w:t>
      </w:r>
    </w:p>
    <w:p>
      <w:pPr>
        <w:overflowPunct w:val="0"/>
        <w:autoSpaceDE w:val="0"/>
        <w:autoSpaceDN w:val="0"/>
        <w:snapToGrid w:val="0"/>
        <w:ind w:firstLine="1619" w:firstLineChars="506"/>
        <w:rPr>
          <w:szCs w:val="32"/>
          <w14:ligatures w14:val="standardContextual"/>
        </w:rPr>
      </w:pPr>
      <w:r>
        <w:rPr>
          <w:szCs w:val="32"/>
          <w14:ligatures w14:val="standardContextual"/>
        </w:rPr>
        <w:t>4. 穿透核查承诺书</w:t>
      </w:r>
    </w:p>
    <w:p>
      <w:pPr>
        <w:overflowPunct w:val="0"/>
        <w:autoSpaceDE w:val="0"/>
        <w:autoSpaceDN w:val="0"/>
        <w:snapToGrid w:val="0"/>
        <w:ind w:firstLine="1619" w:firstLineChars="506"/>
        <w:rPr>
          <w:szCs w:val="32"/>
          <w14:ligatures w14:val="standardContextual"/>
        </w:rPr>
      </w:pPr>
      <w:r>
        <w:rPr>
          <w:szCs w:val="32"/>
          <w14:ligatures w14:val="standardContextual"/>
        </w:rPr>
        <w:t>5. 募资承诺书</w:t>
      </w:r>
    </w:p>
    <w:p>
      <w:pPr>
        <w:overflowPunct w:val="0"/>
        <w:autoSpaceDE w:val="0"/>
        <w:autoSpaceDN w:val="0"/>
        <w:snapToGrid w:val="0"/>
        <w:ind w:left="1600" w:leftChars="500" w:firstLine="0" w:firstLineChars="0"/>
        <w:rPr>
          <w:szCs w:val="32"/>
          <w14:ligatures w14:val="standardContextual"/>
        </w:rPr>
      </w:pPr>
      <w:r>
        <w:rPr>
          <w:rFonts w:hint="eastAsia"/>
          <w:szCs w:val="32"/>
          <w14:ligatures w14:val="standardContextual"/>
        </w:rPr>
        <w:t>6. 湖南省金芙蓉产业引导基金</w:t>
      </w:r>
      <w:r>
        <w:rPr>
          <w:rFonts w:hint="eastAsia"/>
          <w:szCs w:val="32"/>
        </w:rPr>
        <w:t>马栏山文化产业</w:t>
      </w:r>
      <w:r>
        <w:rPr>
          <w:rFonts w:hint="eastAsia"/>
          <w:szCs w:val="32"/>
          <w14:ligatures w14:val="standardContextual"/>
        </w:rPr>
        <w:t>子基金管理机构申报指南附表</w:t>
      </w:r>
      <w:r>
        <w:rPr>
          <w:rFonts w:ascii="等线" w:hAnsi="等线" w:eastAsia="等线"/>
          <w:kern w:val="2"/>
          <w:sz w:val="21"/>
          <w:szCs w:val="22"/>
          <w14:ligatures w14:val="standardContextual"/>
        </w:rPr>
        <w:br w:type="page"/>
      </w:r>
    </w:p>
    <w:p>
      <w:pPr>
        <w:widowControl/>
        <w:spacing w:line="560" w:lineRule="exact"/>
        <w:ind w:firstLine="0" w:firstLineChars="0"/>
        <w:rPr>
          <w:rFonts w:eastAsia="黑体"/>
          <w:szCs w:val="32"/>
          <w14:ligatures w14:val="standardContextual"/>
        </w:rPr>
      </w:pPr>
      <w:r>
        <w:rPr>
          <w:rFonts w:eastAsia="黑体"/>
          <w:szCs w:val="32"/>
          <w14:ligatures w14:val="standardContextual"/>
        </w:rPr>
        <w:t>附件1</w:t>
      </w:r>
    </w:p>
    <w:p>
      <w:pPr>
        <w:spacing w:after="120"/>
        <w:ind w:firstLine="420"/>
        <w:rPr>
          <w:rFonts w:eastAsia="宋体"/>
          <w:kern w:val="2"/>
          <w:sz w:val="21"/>
          <w14:ligatures w14:val="standardContextual"/>
        </w:rPr>
      </w:pPr>
    </w:p>
    <w:p>
      <w:pPr>
        <w:spacing w:line="560" w:lineRule="exact"/>
        <w:ind w:firstLine="0" w:firstLineChars="0"/>
        <w:jc w:val="center"/>
        <w:rPr>
          <w:rFonts w:hint="eastAsia" w:ascii="方正小标宋_GBK" w:hAnsi="方正小标宋_GBK" w:eastAsia="方正小标宋_GBK" w:cs="方正小标宋_GBK"/>
          <w:kern w:val="2"/>
          <w:sz w:val="44"/>
          <w:szCs w:val="44"/>
          <w14:ligatures w14:val="standardContextual"/>
        </w:rPr>
      </w:pPr>
      <w:r>
        <w:rPr>
          <w:rFonts w:hint="eastAsia" w:ascii="方正小标宋_GBK" w:hAnsi="方正小标宋_GBK" w:eastAsia="方正小标宋_GBK" w:cs="方正小标宋_GBK"/>
          <w:kern w:val="2"/>
          <w:sz w:val="44"/>
          <w:szCs w:val="44"/>
          <w14:ligatures w14:val="standardContextual"/>
        </w:rPr>
        <w:t>马栏山文化产业子基金管理机构申请表</w:t>
      </w:r>
    </w:p>
    <w:tbl>
      <w:tblPr>
        <w:tblStyle w:val="12"/>
        <w:tblW w:w="97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6"/>
        <w:gridCol w:w="1591"/>
        <w:gridCol w:w="740"/>
        <w:gridCol w:w="599"/>
        <w:gridCol w:w="1322"/>
        <w:gridCol w:w="2000"/>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711" w:type="dxa"/>
            <w:gridSpan w:val="7"/>
            <w:shd w:val="clear" w:color="auto" w:fill="auto"/>
            <w:vAlign w:val="center"/>
          </w:tcPr>
          <w:p>
            <w:pPr>
              <w:autoSpaceDE w:val="0"/>
              <w:autoSpaceDN w:val="0"/>
              <w:adjustRightInd w:val="0"/>
              <w:spacing w:line="240" w:lineRule="auto"/>
              <w:ind w:firstLine="0" w:firstLineChars="0"/>
              <w:rPr>
                <w:sz w:val="21"/>
                <w:szCs w:val="21"/>
                <w:lang w:val="zh-CN"/>
              </w:rPr>
            </w:pPr>
            <w:r>
              <w:rPr>
                <w:sz w:val="21"/>
                <w:szCs w:val="21"/>
                <w:lang w:val="zh-CN"/>
              </w:rPr>
              <w:t>一、申请机构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16" w:type="dxa"/>
            <w:vMerge w:val="restart"/>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机构</w:t>
            </w:r>
          </w:p>
          <w:p>
            <w:pPr>
              <w:autoSpaceDE w:val="0"/>
              <w:autoSpaceDN w:val="0"/>
              <w:adjustRightInd w:val="0"/>
              <w:spacing w:line="240" w:lineRule="auto"/>
              <w:ind w:firstLine="0" w:firstLineChars="0"/>
              <w:jc w:val="center"/>
              <w:rPr>
                <w:sz w:val="21"/>
                <w:szCs w:val="21"/>
                <w:lang w:val="zh-CN"/>
              </w:rPr>
            </w:pPr>
            <w:r>
              <w:rPr>
                <w:sz w:val="21"/>
                <w:szCs w:val="21"/>
                <w:lang w:val="zh-CN"/>
              </w:rPr>
              <w:t>名称</w:t>
            </w:r>
          </w:p>
        </w:tc>
        <w:tc>
          <w:tcPr>
            <w:tcW w:w="1591" w:type="dxa"/>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管理机构申报情形</w:t>
            </w:r>
          </w:p>
        </w:tc>
        <w:tc>
          <w:tcPr>
            <w:tcW w:w="2661" w:type="dxa"/>
            <w:gridSpan w:val="3"/>
            <w:shd w:val="clear" w:color="auto" w:fill="auto"/>
            <w:vAlign w:val="center"/>
          </w:tcPr>
          <w:p>
            <w:pPr>
              <w:keepNext/>
              <w:keepLines/>
              <w:autoSpaceDE w:val="0"/>
              <w:autoSpaceDN w:val="0"/>
              <w:adjustRightInd w:val="0"/>
              <w:spacing w:line="240" w:lineRule="auto"/>
              <w:ind w:firstLine="0" w:firstLineChars="0"/>
              <w:rPr>
                <w:sz w:val="21"/>
                <w:szCs w:val="21"/>
                <w:lang w:val="zh-CN"/>
              </w:rPr>
            </w:pPr>
          </w:p>
        </w:tc>
        <w:tc>
          <w:tcPr>
            <w:tcW w:w="2000" w:type="dxa"/>
            <w:vMerge w:val="restart"/>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法定代表人</w:t>
            </w:r>
            <w:r>
              <w:rPr>
                <w:sz w:val="21"/>
                <w:szCs w:val="21"/>
              </w:rPr>
              <w:t>/</w:t>
            </w:r>
            <w:r>
              <w:rPr>
                <w:sz w:val="21"/>
                <w:szCs w:val="21"/>
                <w:lang w:val="zh-CN"/>
              </w:rPr>
              <w:t>执行事务合伙人</w:t>
            </w:r>
          </w:p>
        </w:tc>
        <w:tc>
          <w:tcPr>
            <w:tcW w:w="2243" w:type="dxa"/>
            <w:vMerge w:val="restart"/>
            <w:shd w:val="clear" w:color="auto" w:fill="auto"/>
            <w:vAlign w:val="center"/>
          </w:tcPr>
          <w:p>
            <w:pPr>
              <w:keepNext/>
              <w:keepLines/>
              <w:autoSpaceDE w:val="0"/>
              <w:autoSpaceDN w:val="0"/>
              <w:adjustRightInd w:val="0"/>
              <w:spacing w:line="240" w:lineRule="auto"/>
              <w:ind w:firstLine="0" w:firstLineChars="0"/>
              <w:rPr>
                <w:sz w:val="21"/>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16" w:type="dxa"/>
            <w:vMerge w:val="continue"/>
            <w:shd w:val="clear" w:color="auto" w:fill="auto"/>
            <w:vAlign w:val="center"/>
          </w:tcPr>
          <w:p>
            <w:pPr>
              <w:autoSpaceDE w:val="0"/>
              <w:autoSpaceDN w:val="0"/>
              <w:adjustRightInd w:val="0"/>
              <w:spacing w:line="240" w:lineRule="auto"/>
              <w:ind w:firstLine="0" w:firstLineChars="0"/>
              <w:jc w:val="center"/>
              <w:rPr>
                <w:sz w:val="21"/>
                <w:szCs w:val="21"/>
                <w:lang w:val="zh-CN"/>
              </w:rPr>
            </w:pPr>
          </w:p>
        </w:tc>
        <w:tc>
          <w:tcPr>
            <w:tcW w:w="1591" w:type="dxa"/>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控股股东或关联方申报情形</w:t>
            </w:r>
          </w:p>
        </w:tc>
        <w:tc>
          <w:tcPr>
            <w:tcW w:w="2661" w:type="dxa"/>
            <w:gridSpan w:val="3"/>
            <w:shd w:val="clear" w:color="auto" w:fill="auto"/>
            <w:vAlign w:val="center"/>
          </w:tcPr>
          <w:p>
            <w:pPr>
              <w:keepNext/>
              <w:keepLines/>
              <w:autoSpaceDE w:val="0"/>
              <w:autoSpaceDN w:val="0"/>
              <w:adjustRightInd w:val="0"/>
              <w:spacing w:line="240" w:lineRule="auto"/>
              <w:ind w:firstLine="0" w:firstLineChars="0"/>
              <w:rPr>
                <w:sz w:val="21"/>
                <w:szCs w:val="21"/>
                <w:lang w:val="zh-CN"/>
              </w:rPr>
            </w:pPr>
          </w:p>
        </w:tc>
        <w:tc>
          <w:tcPr>
            <w:tcW w:w="2000" w:type="dxa"/>
            <w:vMerge w:val="continue"/>
            <w:shd w:val="clear" w:color="auto" w:fill="auto"/>
            <w:vAlign w:val="center"/>
          </w:tcPr>
          <w:p>
            <w:pPr>
              <w:autoSpaceDE w:val="0"/>
              <w:autoSpaceDN w:val="0"/>
              <w:adjustRightInd w:val="0"/>
              <w:spacing w:line="240" w:lineRule="auto"/>
              <w:ind w:firstLine="0" w:firstLineChars="0"/>
              <w:jc w:val="center"/>
              <w:rPr>
                <w:sz w:val="21"/>
                <w:szCs w:val="21"/>
                <w:lang w:val="zh-CN"/>
              </w:rPr>
            </w:pPr>
          </w:p>
        </w:tc>
        <w:tc>
          <w:tcPr>
            <w:tcW w:w="2243" w:type="dxa"/>
            <w:vMerge w:val="continue"/>
            <w:shd w:val="clear" w:color="auto" w:fill="auto"/>
            <w:vAlign w:val="center"/>
          </w:tcPr>
          <w:p>
            <w:pPr>
              <w:keepNext/>
              <w:keepLines/>
              <w:autoSpaceDE w:val="0"/>
              <w:autoSpaceDN w:val="0"/>
              <w:adjustRightInd w:val="0"/>
              <w:spacing w:line="240" w:lineRule="auto"/>
              <w:ind w:firstLine="0" w:firstLineChars="0"/>
              <w:rPr>
                <w:sz w:val="21"/>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7" w:type="dxa"/>
            <w:gridSpan w:val="2"/>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注册地址</w:t>
            </w:r>
          </w:p>
        </w:tc>
        <w:tc>
          <w:tcPr>
            <w:tcW w:w="2661" w:type="dxa"/>
            <w:gridSpan w:val="3"/>
            <w:shd w:val="clear" w:color="auto" w:fill="auto"/>
            <w:vAlign w:val="center"/>
          </w:tcPr>
          <w:p>
            <w:pPr>
              <w:keepNext/>
              <w:keepLines/>
              <w:autoSpaceDE w:val="0"/>
              <w:autoSpaceDN w:val="0"/>
              <w:adjustRightInd w:val="0"/>
              <w:spacing w:line="240" w:lineRule="auto"/>
              <w:ind w:firstLine="0" w:firstLineChars="0"/>
              <w:rPr>
                <w:sz w:val="21"/>
                <w:szCs w:val="21"/>
                <w:lang w:val="zh-CN"/>
              </w:rPr>
            </w:pPr>
          </w:p>
        </w:tc>
        <w:tc>
          <w:tcPr>
            <w:tcW w:w="2000" w:type="dxa"/>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统一社会信用代码</w:t>
            </w:r>
          </w:p>
        </w:tc>
        <w:tc>
          <w:tcPr>
            <w:tcW w:w="2243" w:type="dxa"/>
            <w:shd w:val="clear" w:color="auto" w:fill="auto"/>
            <w:vAlign w:val="center"/>
          </w:tcPr>
          <w:p>
            <w:pPr>
              <w:keepNext/>
              <w:keepLines/>
              <w:autoSpaceDE w:val="0"/>
              <w:autoSpaceDN w:val="0"/>
              <w:adjustRightInd w:val="0"/>
              <w:spacing w:line="240" w:lineRule="auto"/>
              <w:ind w:firstLine="0" w:firstLineChars="0"/>
              <w:rPr>
                <w:sz w:val="21"/>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7" w:type="dxa"/>
            <w:gridSpan w:val="2"/>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注册资本</w:t>
            </w:r>
            <w:r>
              <w:rPr>
                <w:sz w:val="21"/>
                <w:szCs w:val="21"/>
              </w:rPr>
              <w:t>/</w:t>
            </w:r>
            <w:r>
              <w:rPr>
                <w:sz w:val="21"/>
                <w:szCs w:val="21"/>
                <w:lang w:val="zh-CN"/>
              </w:rPr>
              <w:t>认缴出资总额</w:t>
            </w:r>
          </w:p>
        </w:tc>
        <w:tc>
          <w:tcPr>
            <w:tcW w:w="2661" w:type="dxa"/>
            <w:gridSpan w:val="3"/>
            <w:shd w:val="clear" w:color="auto" w:fill="auto"/>
            <w:vAlign w:val="center"/>
          </w:tcPr>
          <w:p>
            <w:pPr>
              <w:autoSpaceDE w:val="0"/>
              <w:autoSpaceDN w:val="0"/>
              <w:adjustRightInd w:val="0"/>
              <w:spacing w:line="240" w:lineRule="auto"/>
              <w:ind w:firstLine="0" w:firstLineChars="0"/>
              <w:jc w:val="right"/>
              <w:rPr>
                <w:sz w:val="21"/>
                <w:szCs w:val="21"/>
                <w:lang w:val="zh-CN"/>
              </w:rPr>
            </w:pPr>
            <w:r>
              <w:rPr>
                <w:sz w:val="21"/>
                <w:szCs w:val="21"/>
                <w:lang w:val="zh-CN"/>
              </w:rPr>
              <w:t>万元</w:t>
            </w:r>
          </w:p>
        </w:tc>
        <w:tc>
          <w:tcPr>
            <w:tcW w:w="2000" w:type="dxa"/>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实缴资本</w:t>
            </w:r>
          </w:p>
        </w:tc>
        <w:tc>
          <w:tcPr>
            <w:tcW w:w="2243" w:type="dxa"/>
            <w:shd w:val="clear" w:color="auto" w:fill="auto"/>
            <w:vAlign w:val="center"/>
          </w:tcPr>
          <w:p>
            <w:pPr>
              <w:autoSpaceDE w:val="0"/>
              <w:autoSpaceDN w:val="0"/>
              <w:adjustRightInd w:val="0"/>
              <w:spacing w:line="240" w:lineRule="auto"/>
              <w:ind w:firstLine="0" w:firstLineChars="0"/>
              <w:jc w:val="right"/>
              <w:rPr>
                <w:sz w:val="21"/>
                <w:szCs w:val="21"/>
                <w:lang w:val="zh-CN"/>
              </w:rPr>
            </w:pPr>
            <w:r>
              <w:rPr>
                <w:sz w:val="21"/>
                <w:szCs w:val="21"/>
                <w:lang w:val="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7" w:type="dxa"/>
            <w:gridSpan w:val="2"/>
            <w:vMerge w:val="restart"/>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联系人</w:t>
            </w:r>
          </w:p>
        </w:tc>
        <w:tc>
          <w:tcPr>
            <w:tcW w:w="1339" w:type="dxa"/>
            <w:gridSpan w:val="2"/>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姓名</w:t>
            </w:r>
          </w:p>
        </w:tc>
        <w:tc>
          <w:tcPr>
            <w:tcW w:w="1322" w:type="dxa"/>
            <w:shd w:val="clear" w:color="auto" w:fill="auto"/>
            <w:vAlign w:val="center"/>
          </w:tcPr>
          <w:p>
            <w:pPr>
              <w:keepNext/>
              <w:keepLines/>
              <w:autoSpaceDE w:val="0"/>
              <w:autoSpaceDN w:val="0"/>
              <w:adjustRightInd w:val="0"/>
              <w:spacing w:line="240" w:lineRule="auto"/>
              <w:ind w:firstLine="0" w:firstLineChars="0"/>
              <w:rPr>
                <w:sz w:val="21"/>
                <w:szCs w:val="21"/>
                <w:lang w:val="zh-CN"/>
              </w:rPr>
            </w:pPr>
          </w:p>
        </w:tc>
        <w:tc>
          <w:tcPr>
            <w:tcW w:w="2000" w:type="dxa"/>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职务</w:t>
            </w:r>
          </w:p>
        </w:tc>
        <w:tc>
          <w:tcPr>
            <w:tcW w:w="2243" w:type="dxa"/>
            <w:shd w:val="clear" w:color="auto" w:fill="auto"/>
            <w:vAlign w:val="center"/>
          </w:tcPr>
          <w:p>
            <w:pPr>
              <w:keepNext/>
              <w:keepLines/>
              <w:autoSpaceDE w:val="0"/>
              <w:autoSpaceDN w:val="0"/>
              <w:adjustRightInd w:val="0"/>
              <w:spacing w:line="240" w:lineRule="auto"/>
              <w:ind w:firstLine="0" w:firstLineChars="0"/>
              <w:rPr>
                <w:sz w:val="21"/>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7" w:type="dxa"/>
            <w:gridSpan w:val="2"/>
            <w:vMerge w:val="continue"/>
            <w:shd w:val="clear" w:color="auto" w:fill="auto"/>
            <w:vAlign w:val="center"/>
          </w:tcPr>
          <w:p>
            <w:pPr>
              <w:keepNext/>
              <w:keepLines/>
              <w:autoSpaceDE w:val="0"/>
              <w:autoSpaceDN w:val="0"/>
              <w:adjustRightInd w:val="0"/>
              <w:spacing w:line="240" w:lineRule="auto"/>
              <w:ind w:firstLine="0" w:firstLineChars="0"/>
              <w:rPr>
                <w:sz w:val="21"/>
                <w:szCs w:val="21"/>
                <w:lang w:val="zh-CN"/>
              </w:rPr>
            </w:pPr>
          </w:p>
        </w:tc>
        <w:tc>
          <w:tcPr>
            <w:tcW w:w="1339" w:type="dxa"/>
            <w:gridSpan w:val="2"/>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办公电话</w:t>
            </w:r>
          </w:p>
        </w:tc>
        <w:tc>
          <w:tcPr>
            <w:tcW w:w="1322" w:type="dxa"/>
            <w:shd w:val="clear" w:color="auto" w:fill="auto"/>
            <w:vAlign w:val="center"/>
          </w:tcPr>
          <w:p>
            <w:pPr>
              <w:keepNext/>
              <w:keepLines/>
              <w:autoSpaceDE w:val="0"/>
              <w:autoSpaceDN w:val="0"/>
              <w:adjustRightInd w:val="0"/>
              <w:spacing w:line="240" w:lineRule="auto"/>
              <w:ind w:firstLine="0" w:firstLineChars="0"/>
              <w:rPr>
                <w:sz w:val="21"/>
                <w:szCs w:val="21"/>
                <w:lang w:val="zh-CN"/>
              </w:rPr>
            </w:pPr>
          </w:p>
        </w:tc>
        <w:tc>
          <w:tcPr>
            <w:tcW w:w="2000" w:type="dxa"/>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手机</w:t>
            </w:r>
          </w:p>
        </w:tc>
        <w:tc>
          <w:tcPr>
            <w:tcW w:w="2243" w:type="dxa"/>
            <w:shd w:val="clear" w:color="auto" w:fill="auto"/>
            <w:vAlign w:val="center"/>
          </w:tcPr>
          <w:p>
            <w:pPr>
              <w:keepNext/>
              <w:keepLines/>
              <w:autoSpaceDE w:val="0"/>
              <w:autoSpaceDN w:val="0"/>
              <w:adjustRightInd w:val="0"/>
              <w:spacing w:line="240" w:lineRule="auto"/>
              <w:ind w:firstLine="0" w:firstLineChars="0"/>
              <w:rPr>
                <w:sz w:val="21"/>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7" w:type="dxa"/>
            <w:gridSpan w:val="2"/>
            <w:vMerge w:val="continue"/>
            <w:shd w:val="clear" w:color="auto" w:fill="auto"/>
            <w:vAlign w:val="center"/>
          </w:tcPr>
          <w:p>
            <w:pPr>
              <w:keepNext/>
              <w:keepLines/>
              <w:autoSpaceDE w:val="0"/>
              <w:autoSpaceDN w:val="0"/>
              <w:adjustRightInd w:val="0"/>
              <w:spacing w:line="240" w:lineRule="auto"/>
              <w:ind w:firstLine="0" w:firstLineChars="0"/>
              <w:rPr>
                <w:sz w:val="21"/>
                <w:szCs w:val="21"/>
                <w:lang w:val="zh-CN"/>
              </w:rPr>
            </w:pPr>
          </w:p>
        </w:tc>
        <w:tc>
          <w:tcPr>
            <w:tcW w:w="1339" w:type="dxa"/>
            <w:gridSpan w:val="2"/>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传真</w:t>
            </w:r>
          </w:p>
        </w:tc>
        <w:tc>
          <w:tcPr>
            <w:tcW w:w="1322" w:type="dxa"/>
            <w:shd w:val="clear" w:color="auto" w:fill="auto"/>
            <w:vAlign w:val="center"/>
          </w:tcPr>
          <w:p>
            <w:pPr>
              <w:keepNext/>
              <w:keepLines/>
              <w:autoSpaceDE w:val="0"/>
              <w:autoSpaceDN w:val="0"/>
              <w:adjustRightInd w:val="0"/>
              <w:spacing w:line="240" w:lineRule="auto"/>
              <w:ind w:firstLine="0" w:firstLineChars="0"/>
              <w:rPr>
                <w:sz w:val="21"/>
                <w:szCs w:val="21"/>
                <w:lang w:val="zh-CN"/>
              </w:rPr>
            </w:pPr>
          </w:p>
        </w:tc>
        <w:tc>
          <w:tcPr>
            <w:tcW w:w="2000" w:type="dxa"/>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电子邮箱</w:t>
            </w:r>
          </w:p>
        </w:tc>
        <w:tc>
          <w:tcPr>
            <w:tcW w:w="2243" w:type="dxa"/>
            <w:shd w:val="clear" w:color="auto" w:fill="auto"/>
            <w:vAlign w:val="center"/>
          </w:tcPr>
          <w:p>
            <w:pPr>
              <w:keepNext/>
              <w:keepLines/>
              <w:autoSpaceDE w:val="0"/>
              <w:autoSpaceDN w:val="0"/>
              <w:adjustRightInd w:val="0"/>
              <w:spacing w:line="240" w:lineRule="auto"/>
              <w:ind w:firstLine="0" w:firstLineChars="0"/>
              <w:rPr>
                <w:sz w:val="21"/>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7" w:type="dxa"/>
            <w:gridSpan w:val="2"/>
            <w:vMerge w:val="continue"/>
            <w:shd w:val="clear" w:color="auto" w:fill="auto"/>
            <w:vAlign w:val="center"/>
          </w:tcPr>
          <w:p>
            <w:pPr>
              <w:keepNext/>
              <w:keepLines/>
              <w:autoSpaceDE w:val="0"/>
              <w:autoSpaceDN w:val="0"/>
              <w:adjustRightInd w:val="0"/>
              <w:spacing w:line="240" w:lineRule="auto"/>
              <w:ind w:firstLine="0" w:firstLineChars="0"/>
              <w:rPr>
                <w:sz w:val="21"/>
                <w:szCs w:val="21"/>
                <w:lang w:val="zh-CN"/>
              </w:rPr>
            </w:pPr>
          </w:p>
        </w:tc>
        <w:tc>
          <w:tcPr>
            <w:tcW w:w="1339" w:type="dxa"/>
            <w:gridSpan w:val="2"/>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通信地址</w:t>
            </w:r>
          </w:p>
        </w:tc>
        <w:tc>
          <w:tcPr>
            <w:tcW w:w="1322" w:type="dxa"/>
            <w:shd w:val="clear" w:color="auto" w:fill="auto"/>
            <w:vAlign w:val="center"/>
          </w:tcPr>
          <w:p>
            <w:pPr>
              <w:keepNext/>
              <w:keepLines/>
              <w:autoSpaceDE w:val="0"/>
              <w:autoSpaceDN w:val="0"/>
              <w:adjustRightInd w:val="0"/>
              <w:spacing w:line="240" w:lineRule="auto"/>
              <w:ind w:firstLine="0" w:firstLineChars="0"/>
              <w:rPr>
                <w:sz w:val="21"/>
                <w:szCs w:val="21"/>
                <w:lang w:val="zh-CN"/>
              </w:rPr>
            </w:pPr>
          </w:p>
        </w:tc>
        <w:tc>
          <w:tcPr>
            <w:tcW w:w="2000" w:type="dxa"/>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邮政编码</w:t>
            </w:r>
          </w:p>
        </w:tc>
        <w:tc>
          <w:tcPr>
            <w:tcW w:w="2243" w:type="dxa"/>
            <w:shd w:val="clear" w:color="auto" w:fill="auto"/>
            <w:vAlign w:val="center"/>
          </w:tcPr>
          <w:p>
            <w:pPr>
              <w:keepNext/>
              <w:keepLines/>
              <w:autoSpaceDE w:val="0"/>
              <w:autoSpaceDN w:val="0"/>
              <w:adjustRightInd w:val="0"/>
              <w:spacing w:line="240" w:lineRule="auto"/>
              <w:ind w:firstLine="0" w:firstLineChars="0"/>
              <w:rPr>
                <w:sz w:val="21"/>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711" w:type="dxa"/>
            <w:gridSpan w:val="7"/>
            <w:shd w:val="clear" w:color="auto" w:fill="auto"/>
            <w:vAlign w:val="center"/>
          </w:tcPr>
          <w:p>
            <w:pPr>
              <w:autoSpaceDE w:val="0"/>
              <w:autoSpaceDN w:val="0"/>
              <w:adjustRightInd w:val="0"/>
              <w:spacing w:line="240" w:lineRule="auto"/>
              <w:ind w:firstLine="0" w:firstLineChars="0"/>
              <w:rPr>
                <w:sz w:val="21"/>
                <w:szCs w:val="21"/>
                <w:lang w:val="zh-CN"/>
              </w:rPr>
            </w:pPr>
            <w:r>
              <w:rPr>
                <w:sz w:val="21"/>
                <w:szCs w:val="21"/>
                <w:lang w:val="zh-CN"/>
              </w:rPr>
              <w:t>二、</w:t>
            </w:r>
            <w:r>
              <w:rPr>
                <w:rFonts w:hint="eastAsia"/>
                <w:sz w:val="21"/>
                <w:szCs w:val="21"/>
              </w:rPr>
              <w:t>马栏山文化产业子基金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547" w:type="dxa"/>
            <w:gridSpan w:val="3"/>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名称</w:t>
            </w:r>
          </w:p>
        </w:tc>
        <w:tc>
          <w:tcPr>
            <w:tcW w:w="1921" w:type="dxa"/>
            <w:gridSpan w:val="2"/>
            <w:shd w:val="clear" w:color="auto" w:fill="auto"/>
            <w:vAlign w:val="center"/>
          </w:tcPr>
          <w:p>
            <w:pPr>
              <w:keepNext/>
              <w:keepLines/>
              <w:autoSpaceDE w:val="0"/>
              <w:autoSpaceDN w:val="0"/>
              <w:adjustRightInd w:val="0"/>
              <w:spacing w:line="240" w:lineRule="auto"/>
              <w:ind w:firstLine="1680" w:firstLineChars="0"/>
              <w:rPr>
                <w:sz w:val="21"/>
                <w:szCs w:val="21"/>
                <w:lang w:val="zh-CN"/>
              </w:rPr>
            </w:pPr>
          </w:p>
        </w:tc>
        <w:tc>
          <w:tcPr>
            <w:tcW w:w="2000" w:type="dxa"/>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组织形式</w:t>
            </w:r>
          </w:p>
        </w:tc>
        <w:tc>
          <w:tcPr>
            <w:tcW w:w="2243" w:type="dxa"/>
            <w:shd w:val="clear" w:color="auto" w:fill="auto"/>
            <w:vAlign w:val="center"/>
          </w:tcPr>
          <w:p>
            <w:pPr>
              <w:autoSpaceDE w:val="0"/>
              <w:autoSpaceDN w:val="0"/>
              <w:adjustRightInd w:val="0"/>
              <w:spacing w:line="240" w:lineRule="auto"/>
              <w:ind w:firstLine="0" w:firstLineChars="0"/>
              <w:rPr>
                <w:sz w:val="21"/>
                <w:szCs w:val="21"/>
              </w:rPr>
            </w:pPr>
            <w:r>
              <w:rPr>
                <w:sz w:val="21"/>
                <w:szCs w:val="21"/>
                <w:lang w:val="zh-CN"/>
              </w:rPr>
              <w:sym w:font="Wingdings 2" w:char="00A3"/>
            </w:r>
            <w:r>
              <w:rPr>
                <w:sz w:val="21"/>
                <w:szCs w:val="21"/>
                <w:lang w:val="zh-CN"/>
              </w:rPr>
              <w:t>公司制</w:t>
            </w:r>
          </w:p>
          <w:p>
            <w:pPr>
              <w:autoSpaceDE w:val="0"/>
              <w:autoSpaceDN w:val="0"/>
              <w:adjustRightInd w:val="0"/>
              <w:spacing w:line="240" w:lineRule="auto"/>
              <w:ind w:firstLine="0" w:firstLineChars="0"/>
              <w:rPr>
                <w:sz w:val="21"/>
                <w:szCs w:val="21"/>
                <w:lang w:val="zh-CN"/>
              </w:rPr>
            </w:pPr>
            <w:r>
              <w:rPr>
                <w:sz w:val="21"/>
                <w:szCs w:val="21"/>
                <w:lang w:val="zh-CN"/>
              </w:rPr>
              <w:sym w:font="Wingdings 2" w:char="00A3"/>
            </w:r>
            <w:r>
              <w:rPr>
                <w:sz w:val="21"/>
                <w:szCs w:val="21"/>
                <w:lang w:val="zh-CN"/>
              </w:rPr>
              <w:t>有限合伙制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547" w:type="dxa"/>
            <w:gridSpan w:val="3"/>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注册地址</w:t>
            </w:r>
          </w:p>
        </w:tc>
        <w:tc>
          <w:tcPr>
            <w:tcW w:w="1921" w:type="dxa"/>
            <w:gridSpan w:val="2"/>
            <w:shd w:val="clear" w:color="auto" w:fill="auto"/>
            <w:vAlign w:val="center"/>
          </w:tcPr>
          <w:p>
            <w:pPr>
              <w:keepNext/>
              <w:keepLines/>
              <w:autoSpaceDE w:val="0"/>
              <w:autoSpaceDN w:val="0"/>
              <w:adjustRightInd w:val="0"/>
              <w:spacing w:line="240" w:lineRule="auto"/>
              <w:ind w:firstLine="1680" w:firstLineChars="0"/>
              <w:rPr>
                <w:sz w:val="21"/>
                <w:szCs w:val="21"/>
                <w:lang w:val="zh-CN"/>
              </w:rPr>
            </w:pPr>
          </w:p>
        </w:tc>
        <w:tc>
          <w:tcPr>
            <w:tcW w:w="2000" w:type="dxa"/>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存续期限</w:t>
            </w:r>
          </w:p>
        </w:tc>
        <w:tc>
          <w:tcPr>
            <w:tcW w:w="2243" w:type="dxa"/>
            <w:shd w:val="clear" w:color="auto" w:fill="auto"/>
            <w:vAlign w:val="center"/>
          </w:tcPr>
          <w:p>
            <w:pPr>
              <w:keepNext/>
              <w:keepLines/>
              <w:autoSpaceDE w:val="0"/>
              <w:autoSpaceDN w:val="0"/>
              <w:adjustRightInd w:val="0"/>
              <w:spacing w:line="240" w:lineRule="auto"/>
              <w:ind w:firstLine="1680" w:firstLineChars="0"/>
              <w:rPr>
                <w:sz w:val="21"/>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5" w:hRule="atLeast"/>
          <w:jc w:val="center"/>
        </w:trPr>
        <w:tc>
          <w:tcPr>
            <w:tcW w:w="3547" w:type="dxa"/>
            <w:gridSpan w:val="3"/>
            <w:shd w:val="clear" w:color="auto" w:fill="auto"/>
            <w:vAlign w:val="center"/>
          </w:tcPr>
          <w:p>
            <w:pPr>
              <w:adjustRightInd w:val="0"/>
              <w:spacing w:line="240" w:lineRule="exact"/>
              <w:ind w:firstLine="0" w:firstLineChars="0"/>
              <w:jc w:val="center"/>
              <w:rPr>
                <w:sz w:val="21"/>
                <w:szCs w:val="21"/>
                <w:lang w:val="zh-CN"/>
              </w:rPr>
            </w:pPr>
            <w:r>
              <w:rPr>
                <w:sz w:val="21"/>
                <w:szCs w:val="21"/>
                <w:lang w:val="zh-CN"/>
              </w:rPr>
              <w:t>投资领域</w:t>
            </w:r>
          </w:p>
        </w:tc>
        <w:tc>
          <w:tcPr>
            <w:tcW w:w="6164" w:type="dxa"/>
            <w:gridSpan w:val="4"/>
            <w:shd w:val="clear" w:color="auto" w:fill="auto"/>
            <w:vAlign w:val="center"/>
          </w:tcPr>
          <w:p>
            <w:pPr>
              <w:keepNext/>
              <w:keepLines/>
              <w:adjustRightInd w:val="0"/>
              <w:spacing w:line="240" w:lineRule="exact"/>
              <w:ind w:firstLine="0" w:firstLineChars="0"/>
              <w:rPr>
                <w:sz w:val="21"/>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547" w:type="dxa"/>
            <w:gridSpan w:val="3"/>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基金规模</w:t>
            </w:r>
          </w:p>
        </w:tc>
        <w:tc>
          <w:tcPr>
            <w:tcW w:w="6164" w:type="dxa"/>
            <w:gridSpan w:val="4"/>
            <w:shd w:val="clear" w:color="auto" w:fill="auto"/>
            <w:vAlign w:val="center"/>
          </w:tcPr>
          <w:p>
            <w:pPr>
              <w:autoSpaceDE w:val="0"/>
              <w:autoSpaceDN w:val="0"/>
              <w:adjustRightInd w:val="0"/>
              <w:spacing w:line="240" w:lineRule="auto"/>
              <w:ind w:firstLine="2310" w:firstLineChars="1100"/>
              <w:rPr>
                <w:sz w:val="21"/>
                <w:szCs w:val="21"/>
                <w:lang w:val="zh-CN"/>
              </w:rPr>
            </w:pPr>
            <w:r>
              <w:rPr>
                <w:sz w:val="21"/>
                <w:szCs w:val="21"/>
                <w:lang w:val="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547" w:type="dxa"/>
            <w:gridSpan w:val="3"/>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已募集资金</w:t>
            </w:r>
          </w:p>
        </w:tc>
        <w:tc>
          <w:tcPr>
            <w:tcW w:w="1921" w:type="dxa"/>
            <w:gridSpan w:val="2"/>
            <w:shd w:val="clear" w:color="auto" w:fill="auto"/>
            <w:vAlign w:val="center"/>
          </w:tcPr>
          <w:p>
            <w:pPr>
              <w:autoSpaceDE w:val="0"/>
              <w:autoSpaceDN w:val="0"/>
              <w:adjustRightInd w:val="0"/>
              <w:spacing w:line="240" w:lineRule="auto"/>
              <w:ind w:firstLine="0" w:firstLineChars="0"/>
              <w:jc w:val="center"/>
              <w:rPr>
                <w:sz w:val="21"/>
                <w:szCs w:val="21"/>
                <w:lang w:val="zh-CN"/>
              </w:rPr>
            </w:pPr>
            <w:r>
              <w:rPr>
                <w:rFonts w:hint="eastAsia"/>
                <w:sz w:val="21"/>
                <w:szCs w:val="21"/>
              </w:rPr>
              <w:t xml:space="preserve">                  </w:t>
            </w:r>
            <w:r>
              <w:rPr>
                <w:sz w:val="21"/>
                <w:szCs w:val="21"/>
                <w:lang w:val="zh-CN"/>
              </w:rPr>
              <w:t>万元</w:t>
            </w:r>
          </w:p>
        </w:tc>
        <w:tc>
          <w:tcPr>
            <w:tcW w:w="2000" w:type="dxa"/>
            <w:shd w:val="clear" w:color="auto" w:fill="auto"/>
            <w:vAlign w:val="center"/>
          </w:tcPr>
          <w:p>
            <w:pPr>
              <w:autoSpaceDE w:val="0"/>
              <w:autoSpaceDN w:val="0"/>
              <w:adjustRightInd w:val="0"/>
              <w:spacing w:line="240" w:lineRule="auto"/>
              <w:ind w:firstLine="0" w:firstLineChars="0"/>
              <w:jc w:val="center"/>
              <w:rPr>
                <w:sz w:val="21"/>
                <w:szCs w:val="21"/>
                <w:lang w:val="zh-CN"/>
              </w:rPr>
            </w:pPr>
            <w:r>
              <w:rPr>
                <w:spacing w:val="-11"/>
                <w:sz w:val="21"/>
                <w:szCs w:val="21"/>
                <w:lang w:val="zh-CN"/>
              </w:rPr>
              <w:t>基金管理机构或其关联方承诺出资及占比</w:t>
            </w:r>
          </w:p>
        </w:tc>
        <w:tc>
          <w:tcPr>
            <w:tcW w:w="2243" w:type="dxa"/>
            <w:shd w:val="clear" w:color="auto" w:fill="auto"/>
            <w:vAlign w:val="center"/>
          </w:tcPr>
          <w:p>
            <w:pPr>
              <w:autoSpaceDE w:val="0"/>
              <w:autoSpaceDN w:val="0"/>
              <w:adjustRightInd w:val="0"/>
              <w:spacing w:line="240" w:lineRule="auto"/>
              <w:ind w:firstLine="1050" w:firstLineChars="500"/>
              <w:rPr>
                <w:sz w:val="21"/>
                <w:szCs w:val="21"/>
                <w:lang w:val="zh-CN"/>
              </w:rPr>
            </w:pPr>
            <w:r>
              <w:rPr>
                <w:sz w:val="21"/>
                <w:szCs w:val="21"/>
                <w:lang w:val="zh-CN"/>
              </w:rPr>
              <w:t>万元</w:t>
            </w:r>
          </w:p>
          <w:p>
            <w:pPr>
              <w:autoSpaceDE w:val="0"/>
              <w:autoSpaceDN w:val="0"/>
              <w:adjustRightInd w:val="0"/>
              <w:spacing w:line="240" w:lineRule="auto"/>
              <w:ind w:firstLine="0" w:firstLineChars="0"/>
              <w:rPr>
                <w:sz w:val="21"/>
                <w:szCs w:val="21"/>
                <w:lang w:val="zh-CN"/>
              </w:rPr>
            </w:pPr>
            <w:r>
              <w:rPr>
                <w:sz w:val="21"/>
                <w:szCs w:val="21"/>
                <w:lang w:val="zh-CN"/>
              </w:rPr>
              <w:t xml:space="preserve">占比：   </w:t>
            </w:r>
            <w:r>
              <w:rPr>
                <w:sz w:val="21"/>
                <w:szCs w:val="21"/>
              </w:rPr>
              <w:t xml:space="preserve">  </w:t>
            </w:r>
            <w:r>
              <w:rPr>
                <w:sz w:val="21"/>
                <w:szCs w:val="21"/>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547" w:type="dxa"/>
            <w:gridSpan w:val="3"/>
            <w:shd w:val="clear" w:color="auto" w:fill="auto"/>
            <w:vAlign w:val="center"/>
          </w:tcPr>
          <w:p>
            <w:pPr>
              <w:autoSpaceDE w:val="0"/>
              <w:autoSpaceDN w:val="0"/>
              <w:adjustRightInd w:val="0"/>
              <w:spacing w:line="240" w:lineRule="auto"/>
              <w:ind w:firstLine="0" w:firstLineChars="0"/>
              <w:jc w:val="center"/>
              <w:rPr>
                <w:sz w:val="21"/>
                <w:szCs w:val="21"/>
              </w:rPr>
            </w:pPr>
            <w:r>
              <w:rPr>
                <w:sz w:val="21"/>
                <w:szCs w:val="21"/>
                <w:lang w:val="zh-CN"/>
              </w:rPr>
              <w:t>申请</w:t>
            </w:r>
          </w:p>
          <w:p>
            <w:pPr>
              <w:autoSpaceDE w:val="0"/>
              <w:autoSpaceDN w:val="0"/>
              <w:adjustRightInd w:val="0"/>
              <w:spacing w:line="240" w:lineRule="auto"/>
              <w:ind w:firstLine="0" w:firstLineChars="0"/>
              <w:jc w:val="center"/>
              <w:rPr>
                <w:sz w:val="21"/>
                <w:szCs w:val="21"/>
                <w:lang w:val="zh-CN"/>
              </w:rPr>
            </w:pPr>
            <w:r>
              <w:rPr>
                <w:sz w:val="21"/>
                <w:szCs w:val="21"/>
                <w:lang w:val="zh-CN"/>
              </w:rPr>
              <w:t>母基金金额</w:t>
            </w:r>
          </w:p>
        </w:tc>
        <w:tc>
          <w:tcPr>
            <w:tcW w:w="1921" w:type="dxa"/>
            <w:gridSpan w:val="2"/>
            <w:shd w:val="clear" w:color="auto" w:fill="auto"/>
            <w:vAlign w:val="center"/>
          </w:tcPr>
          <w:p>
            <w:pPr>
              <w:autoSpaceDE w:val="0"/>
              <w:autoSpaceDN w:val="0"/>
              <w:adjustRightInd w:val="0"/>
              <w:spacing w:line="240" w:lineRule="auto"/>
              <w:ind w:firstLine="0" w:firstLineChars="0"/>
              <w:jc w:val="center"/>
              <w:rPr>
                <w:sz w:val="21"/>
                <w:szCs w:val="21"/>
                <w:lang w:val="zh-CN"/>
              </w:rPr>
            </w:pPr>
            <w:r>
              <w:rPr>
                <w:rFonts w:hint="eastAsia"/>
                <w:sz w:val="21"/>
                <w:szCs w:val="21"/>
              </w:rPr>
              <w:t xml:space="preserve">                 </w:t>
            </w:r>
            <w:r>
              <w:rPr>
                <w:sz w:val="21"/>
                <w:szCs w:val="21"/>
                <w:lang w:val="zh-CN"/>
              </w:rPr>
              <w:t>万元</w:t>
            </w:r>
          </w:p>
        </w:tc>
        <w:tc>
          <w:tcPr>
            <w:tcW w:w="2000" w:type="dxa"/>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母基金出资比例</w:t>
            </w:r>
          </w:p>
        </w:tc>
        <w:tc>
          <w:tcPr>
            <w:tcW w:w="2243" w:type="dxa"/>
            <w:shd w:val="clear" w:color="auto" w:fill="auto"/>
            <w:vAlign w:val="center"/>
          </w:tcPr>
          <w:p>
            <w:pPr>
              <w:autoSpaceDE w:val="0"/>
              <w:autoSpaceDN w:val="0"/>
              <w:adjustRightInd w:val="0"/>
              <w:spacing w:line="240" w:lineRule="auto"/>
              <w:ind w:firstLine="0" w:firstLineChars="0"/>
              <w:rPr>
                <w:sz w:val="21"/>
                <w:szCs w:val="21"/>
              </w:rPr>
            </w:pPr>
            <w:r>
              <w:rPr>
                <w:sz w:val="21"/>
                <w:szCs w:val="21"/>
              </w:rPr>
              <w:t xml:space="preserve">        </w:t>
            </w:r>
            <w:r>
              <w:rPr>
                <w:rFonts w:hint="eastAsia"/>
                <w:sz w:val="21"/>
                <w:szCs w:val="21"/>
              </w:rPr>
              <w:t xml:space="preserve">     </w:t>
            </w:r>
            <w:r>
              <w:rPr>
                <w:sz w:val="21"/>
                <w:szCs w:val="21"/>
              </w:rPr>
              <w:t xml:space="preserve">   %</w:t>
            </w:r>
          </w:p>
        </w:tc>
      </w:tr>
    </w:tbl>
    <w:p>
      <w:pPr>
        <w:spacing w:line="240" w:lineRule="auto"/>
        <w:ind w:firstLine="0" w:firstLineChars="0"/>
        <w:jc w:val="right"/>
        <w:rPr>
          <w:rFonts w:eastAsia="等线"/>
          <w:kern w:val="2"/>
          <w:sz w:val="21"/>
          <w:szCs w:val="22"/>
          <w14:ligatures w14:val="standardContextual"/>
        </w:rPr>
      </w:pPr>
      <w:r>
        <w:rPr>
          <w:rFonts w:hint="eastAsia" w:ascii="仿宋_GB2312" w:hAnsi="仿宋_GB2312" w:cs="仿宋_GB2312"/>
          <w:kern w:val="2"/>
          <w:sz w:val="21"/>
          <w:szCs w:val="22"/>
          <w14:ligatures w14:val="standardContextual"/>
        </w:rPr>
        <w:t>（公章）</w:t>
      </w:r>
    </w:p>
    <w:p>
      <w:pPr>
        <w:spacing w:line="240" w:lineRule="auto"/>
        <w:ind w:firstLine="0" w:firstLineChars="0"/>
        <w:rPr>
          <w:rFonts w:eastAsia="等线"/>
          <w:kern w:val="2"/>
          <w:sz w:val="21"/>
          <w:szCs w:val="22"/>
          <w14:ligatures w14:val="standardContextual"/>
        </w:rPr>
      </w:pPr>
      <w:r>
        <w:rPr>
          <w:rFonts w:eastAsia="等线"/>
          <w:kern w:val="2"/>
          <w:sz w:val="21"/>
          <w:szCs w:val="22"/>
          <w14:ligatures w14:val="standardContextual"/>
        </w:rPr>
        <w:br w:type="page"/>
      </w:r>
    </w:p>
    <w:p>
      <w:pPr>
        <w:autoSpaceDE w:val="0"/>
        <w:autoSpaceDN w:val="0"/>
        <w:snapToGrid w:val="0"/>
        <w:spacing w:line="560" w:lineRule="exact"/>
        <w:ind w:right="1280" w:rightChars="400" w:firstLine="0" w:firstLineChars="0"/>
        <w:rPr>
          <w:rFonts w:eastAsia="黑体"/>
          <w:kern w:val="2"/>
          <w:szCs w:val="32"/>
          <w14:ligatures w14:val="standardContextual"/>
        </w:rPr>
      </w:pPr>
      <w:r>
        <w:rPr>
          <w:rFonts w:eastAsia="黑体"/>
          <w:kern w:val="2"/>
          <w:szCs w:val="32"/>
          <w14:ligatures w14:val="standardContextual"/>
        </w:rPr>
        <w:t>附件2</w:t>
      </w:r>
    </w:p>
    <w:p>
      <w:pPr>
        <w:autoSpaceDE w:val="0"/>
        <w:autoSpaceDN w:val="0"/>
        <w:snapToGrid w:val="0"/>
        <w:spacing w:line="560" w:lineRule="exact"/>
        <w:ind w:right="1280" w:rightChars="400" w:firstLine="0" w:firstLineChars="0"/>
        <w:rPr>
          <w:rFonts w:eastAsia="仿宋"/>
          <w:kern w:val="2"/>
          <w:szCs w:val="32"/>
          <w14:ligatures w14:val="standardContextual"/>
        </w:rPr>
      </w:pPr>
    </w:p>
    <w:p>
      <w:pPr>
        <w:spacing w:after="120"/>
        <w:ind w:firstLine="640"/>
        <w:rPr>
          <w:rFonts w:eastAsia="仿宋"/>
          <w:kern w:val="2"/>
          <w:szCs w:val="32"/>
          <w14:ligatures w14:val="standardContextual"/>
        </w:rPr>
      </w:pPr>
    </w:p>
    <w:p>
      <w:pPr>
        <w:spacing w:after="120"/>
        <w:ind w:firstLine="640"/>
        <w:rPr>
          <w:rFonts w:eastAsia="仿宋"/>
          <w:kern w:val="2"/>
          <w:szCs w:val="32"/>
          <w14:ligatures w14:val="standardContextual"/>
        </w:rPr>
      </w:pPr>
    </w:p>
    <w:p>
      <w:pPr>
        <w:autoSpaceDE w:val="0"/>
        <w:autoSpaceDN w:val="0"/>
        <w:snapToGrid w:val="0"/>
        <w:spacing w:line="560" w:lineRule="exact"/>
        <w:ind w:firstLine="0" w:firstLineChars="0"/>
        <w:jc w:val="center"/>
        <w:outlineLvl w:val="0"/>
        <w:rPr>
          <w:rFonts w:eastAsia="方正小标宋_GBK"/>
          <w:kern w:val="2"/>
          <w:sz w:val="44"/>
          <w:szCs w:val="44"/>
          <w14:ligatures w14:val="standardContextual"/>
        </w:rPr>
      </w:pPr>
      <w:r>
        <w:rPr>
          <w:rFonts w:eastAsia="方正小标宋_GBK"/>
          <w:kern w:val="2"/>
          <w:sz w:val="44"/>
          <w:szCs w:val="44"/>
          <w14:ligatures w14:val="standardContextual"/>
        </w:rPr>
        <w:t>湖南省</w:t>
      </w:r>
      <w:r>
        <w:rPr>
          <w:rFonts w:hint="eastAsia" w:eastAsia="方正小标宋_GBK"/>
          <w:kern w:val="2"/>
          <w:sz w:val="44"/>
          <w:szCs w:val="44"/>
          <w14:ligatures w14:val="standardContextual"/>
        </w:rPr>
        <w:t>金芙蓉</w:t>
      </w:r>
      <w:r>
        <w:rPr>
          <w:rFonts w:eastAsia="方正小标宋_GBK"/>
          <w:kern w:val="2"/>
          <w:sz w:val="44"/>
          <w:szCs w:val="44"/>
          <w14:ligatures w14:val="standardContextual"/>
        </w:rPr>
        <w:t>产业引导基金</w:t>
      </w:r>
      <w:r>
        <w:rPr>
          <w:rFonts w:hint="eastAsia" w:eastAsia="方正小标宋_GBK"/>
          <w:kern w:val="2"/>
          <w:sz w:val="44"/>
          <w:szCs w:val="44"/>
          <w14:ligatures w14:val="standardContextual"/>
        </w:rPr>
        <w:t>马栏山文化产业</w:t>
      </w:r>
    </w:p>
    <w:p>
      <w:pPr>
        <w:autoSpaceDE w:val="0"/>
        <w:autoSpaceDN w:val="0"/>
        <w:snapToGrid w:val="0"/>
        <w:spacing w:line="560" w:lineRule="exact"/>
        <w:ind w:firstLine="0" w:firstLineChars="0"/>
        <w:jc w:val="center"/>
        <w:outlineLvl w:val="0"/>
        <w:rPr>
          <w:rFonts w:eastAsia="方正小标宋_GBK"/>
          <w:kern w:val="2"/>
          <w:sz w:val="44"/>
          <w:szCs w:val="44"/>
          <w14:ligatures w14:val="standardContextual"/>
        </w:rPr>
      </w:pPr>
      <w:r>
        <w:rPr>
          <w:rFonts w:eastAsia="方正小标宋_GBK"/>
          <w:kern w:val="2"/>
          <w:sz w:val="44"/>
          <w:szCs w:val="44"/>
          <w14:ligatures w14:val="standardContextual"/>
        </w:rPr>
        <w:t>子基金管理机构申报材料</w:t>
      </w:r>
    </w:p>
    <w:p>
      <w:pPr>
        <w:autoSpaceDE w:val="0"/>
        <w:autoSpaceDN w:val="0"/>
        <w:snapToGrid w:val="0"/>
        <w:spacing w:line="560" w:lineRule="exact"/>
        <w:ind w:firstLine="0" w:firstLineChars="0"/>
        <w:jc w:val="center"/>
        <w:rPr>
          <w:rFonts w:eastAsia="楷体_GB2312"/>
          <w:kern w:val="2"/>
          <w:szCs w:val="32"/>
          <w14:ligatures w14:val="standardContextual"/>
        </w:rPr>
      </w:pPr>
      <w:r>
        <w:rPr>
          <w:rFonts w:eastAsia="楷体_GB2312"/>
          <w:kern w:val="2"/>
          <w:szCs w:val="32"/>
          <w14:ligatures w14:val="standardContextual"/>
        </w:rPr>
        <w:t>（样本）</w:t>
      </w:r>
    </w:p>
    <w:p>
      <w:pPr>
        <w:autoSpaceDE w:val="0"/>
        <w:autoSpaceDN w:val="0"/>
        <w:snapToGrid w:val="0"/>
        <w:spacing w:line="560" w:lineRule="exact"/>
        <w:ind w:right="1280" w:rightChars="400" w:firstLine="0" w:firstLineChars="0"/>
        <w:rPr>
          <w:rFonts w:eastAsia="仿宋"/>
          <w:kern w:val="2"/>
          <w:sz w:val="34"/>
          <w:szCs w:val="32"/>
          <w14:ligatures w14:val="standardContextual"/>
        </w:rPr>
      </w:pPr>
    </w:p>
    <w:p>
      <w:pPr>
        <w:autoSpaceDE w:val="0"/>
        <w:autoSpaceDN w:val="0"/>
        <w:snapToGrid w:val="0"/>
        <w:spacing w:line="560" w:lineRule="exact"/>
        <w:ind w:right="1280" w:rightChars="400" w:firstLine="0" w:firstLineChars="0"/>
        <w:rPr>
          <w:rFonts w:eastAsia="仿宋"/>
          <w:kern w:val="2"/>
          <w:sz w:val="34"/>
          <w:szCs w:val="32"/>
          <w14:ligatures w14:val="standardContextual"/>
        </w:rPr>
      </w:pPr>
    </w:p>
    <w:p>
      <w:pPr>
        <w:autoSpaceDE w:val="0"/>
        <w:autoSpaceDN w:val="0"/>
        <w:snapToGrid w:val="0"/>
        <w:spacing w:line="560" w:lineRule="exact"/>
        <w:ind w:right="1280" w:rightChars="400" w:firstLine="0" w:firstLineChars="0"/>
        <w:rPr>
          <w:rFonts w:eastAsia="仿宋"/>
          <w:kern w:val="2"/>
          <w:sz w:val="34"/>
          <w:szCs w:val="32"/>
          <w14:ligatures w14:val="standardContextual"/>
        </w:rPr>
      </w:pPr>
    </w:p>
    <w:p>
      <w:pPr>
        <w:autoSpaceDE w:val="0"/>
        <w:autoSpaceDN w:val="0"/>
        <w:snapToGrid w:val="0"/>
        <w:spacing w:line="560" w:lineRule="exact"/>
        <w:ind w:right="1280" w:rightChars="400" w:firstLine="0" w:firstLineChars="0"/>
        <w:rPr>
          <w:rFonts w:eastAsia="仿宋"/>
          <w:kern w:val="2"/>
          <w:sz w:val="34"/>
          <w:szCs w:val="32"/>
          <w14:ligatures w14:val="standardContextual"/>
        </w:rPr>
      </w:pPr>
    </w:p>
    <w:p>
      <w:pPr>
        <w:tabs>
          <w:tab w:val="left" w:pos="7937"/>
        </w:tabs>
        <w:autoSpaceDE w:val="0"/>
        <w:autoSpaceDN w:val="0"/>
        <w:snapToGrid w:val="0"/>
        <w:spacing w:line="760" w:lineRule="exact"/>
        <w:ind w:firstLine="0" w:firstLineChars="0"/>
        <w:rPr>
          <w:rFonts w:eastAsia="黑体"/>
          <w:w w:val="95"/>
          <w:kern w:val="2"/>
          <w:szCs w:val="32"/>
          <w:u w:val="single"/>
          <w14:ligatures w14:val="standardContextual"/>
        </w:rPr>
      </w:pPr>
      <w:r>
        <w:rPr>
          <w:rFonts w:eastAsia="黑体"/>
          <w:w w:val="95"/>
          <w:kern w:val="2"/>
          <w:szCs w:val="32"/>
          <w14:ligatures w14:val="standardContextual"/>
        </w:rPr>
        <w:t>法定代表</w:t>
      </w:r>
      <w:r>
        <w:rPr>
          <w:rFonts w:eastAsia="黑体"/>
          <w:spacing w:val="16"/>
          <w:w w:val="95"/>
          <w:kern w:val="2"/>
          <w:szCs w:val="32"/>
          <w14:ligatures w14:val="standardContextual"/>
        </w:rPr>
        <w:t>人</w:t>
      </w:r>
      <w:r>
        <w:rPr>
          <w:rFonts w:eastAsia="黑体"/>
          <w:w w:val="95"/>
          <w:kern w:val="2"/>
          <w:szCs w:val="32"/>
          <w14:ligatures w14:val="standardContextual"/>
        </w:rPr>
        <w:t>：</w:t>
      </w:r>
      <w:r>
        <w:rPr>
          <w:rFonts w:eastAsia="黑体"/>
          <w:w w:val="95"/>
          <w:kern w:val="2"/>
          <w:szCs w:val="32"/>
          <w:u w:val="single"/>
          <w14:ligatures w14:val="standardContextual"/>
        </w:rPr>
        <w:t xml:space="preserve"> </w:t>
      </w:r>
      <w:r>
        <w:rPr>
          <w:rFonts w:eastAsia="黑体"/>
          <w:w w:val="95"/>
          <w:kern w:val="2"/>
          <w:szCs w:val="32"/>
          <w:u w:val="single"/>
          <w14:ligatures w14:val="standardContextual"/>
        </w:rPr>
        <w:tab/>
      </w:r>
    </w:p>
    <w:p>
      <w:pPr>
        <w:tabs>
          <w:tab w:val="left" w:pos="7937"/>
        </w:tabs>
        <w:autoSpaceDE w:val="0"/>
        <w:autoSpaceDN w:val="0"/>
        <w:snapToGrid w:val="0"/>
        <w:spacing w:line="760" w:lineRule="exact"/>
        <w:ind w:firstLine="0" w:firstLineChars="0"/>
        <w:rPr>
          <w:rFonts w:eastAsia="黑体"/>
          <w:kern w:val="2"/>
          <w:szCs w:val="32"/>
          <w:u w:val="single"/>
          <w14:ligatures w14:val="standardContextual"/>
        </w:rPr>
      </w:pPr>
      <w:r>
        <w:rPr>
          <w:rFonts w:eastAsia="黑体"/>
          <w:spacing w:val="42"/>
          <w:kern w:val="0"/>
          <w:szCs w:val="32"/>
          <w:fitText w:val="1536" w:id="1053573198"/>
          <w14:ligatures w14:val="standardContextual"/>
        </w:rPr>
        <w:t>单位地</w:t>
      </w:r>
      <w:r>
        <w:rPr>
          <w:rFonts w:eastAsia="黑体"/>
          <w:spacing w:val="2"/>
          <w:kern w:val="0"/>
          <w:szCs w:val="32"/>
          <w:fitText w:val="1536" w:id="1053573198"/>
          <w14:ligatures w14:val="standardContextual"/>
        </w:rPr>
        <w:t>址</w:t>
      </w:r>
      <w:r>
        <w:rPr>
          <w:rFonts w:eastAsia="黑体"/>
          <w:kern w:val="2"/>
          <w:szCs w:val="32"/>
          <w14:ligatures w14:val="standardContextual"/>
        </w:rPr>
        <w:t>：</w:t>
      </w:r>
      <w:r>
        <w:rPr>
          <w:rFonts w:eastAsia="黑体"/>
          <w:w w:val="99"/>
          <w:kern w:val="2"/>
          <w:szCs w:val="32"/>
          <w:u w:val="single"/>
          <w14:ligatures w14:val="standardContextual"/>
        </w:rPr>
        <w:t xml:space="preserve"> </w:t>
      </w:r>
      <w:r>
        <w:rPr>
          <w:rFonts w:eastAsia="黑体"/>
          <w:kern w:val="2"/>
          <w:szCs w:val="32"/>
          <w:u w:val="single"/>
          <w14:ligatures w14:val="standardContextual"/>
        </w:rPr>
        <w:tab/>
      </w:r>
    </w:p>
    <w:p>
      <w:pPr>
        <w:tabs>
          <w:tab w:val="left" w:pos="7937"/>
        </w:tabs>
        <w:autoSpaceDE w:val="0"/>
        <w:autoSpaceDN w:val="0"/>
        <w:snapToGrid w:val="0"/>
        <w:spacing w:line="760" w:lineRule="exact"/>
        <w:ind w:firstLine="0" w:firstLineChars="0"/>
        <w:rPr>
          <w:rFonts w:eastAsia="黑体"/>
          <w:kern w:val="2"/>
          <w:szCs w:val="32"/>
          <w:u w:val="single"/>
          <w14:ligatures w14:val="standardContextual"/>
        </w:rPr>
      </w:pPr>
      <w:r>
        <w:rPr>
          <w:rFonts w:eastAsia="黑体"/>
          <w:spacing w:val="144"/>
          <w:kern w:val="0"/>
          <w:szCs w:val="32"/>
          <w:fitText w:val="1536" w:id="659432997"/>
          <w14:ligatures w14:val="standardContextual"/>
        </w:rPr>
        <w:t>联系</w:t>
      </w:r>
      <w:r>
        <w:rPr>
          <w:rFonts w:eastAsia="黑体"/>
          <w:spacing w:val="0"/>
          <w:kern w:val="0"/>
          <w:szCs w:val="32"/>
          <w:fitText w:val="1536" w:id="659432997"/>
          <w14:ligatures w14:val="standardContextual"/>
        </w:rPr>
        <w:t>人</w:t>
      </w:r>
      <w:r>
        <w:rPr>
          <w:rFonts w:eastAsia="黑体"/>
          <w:kern w:val="2"/>
          <w:szCs w:val="32"/>
          <w14:ligatures w14:val="standardContextual"/>
        </w:rPr>
        <w:t>：</w:t>
      </w:r>
      <w:r>
        <w:rPr>
          <w:rFonts w:eastAsia="黑体"/>
          <w:w w:val="99"/>
          <w:kern w:val="2"/>
          <w:szCs w:val="32"/>
          <w:u w:val="single"/>
          <w14:ligatures w14:val="standardContextual"/>
        </w:rPr>
        <w:t xml:space="preserve"> </w:t>
      </w:r>
      <w:r>
        <w:rPr>
          <w:rFonts w:eastAsia="黑体"/>
          <w:kern w:val="2"/>
          <w:szCs w:val="32"/>
          <w:u w:val="single"/>
          <w14:ligatures w14:val="standardContextual"/>
        </w:rPr>
        <w:tab/>
      </w:r>
    </w:p>
    <w:p>
      <w:pPr>
        <w:tabs>
          <w:tab w:val="left" w:pos="7937"/>
        </w:tabs>
        <w:autoSpaceDE w:val="0"/>
        <w:autoSpaceDN w:val="0"/>
        <w:snapToGrid w:val="0"/>
        <w:spacing w:line="760" w:lineRule="exact"/>
        <w:ind w:firstLine="0" w:firstLineChars="0"/>
        <w:rPr>
          <w:rFonts w:eastAsia="黑体"/>
          <w:kern w:val="2"/>
          <w:szCs w:val="32"/>
          <w:u w:val="single"/>
          <w14:ligatures w14:val="standardContextual"/>
        </w:rPr>
      </w:pPr>
      <w:r>
        <w:rPr>
          <w:rFonts w:eastAsia="黑体"/>
          <w:spacing w:val="42"/>
          <w:kern w:val="0"/>
          <w:szCs w:val="32"/>
          <w:fitText w:val="1536" w:id="583474985"/>
          <w14:ligatures w14:val="standardContextual"/>
        </w:rPr>
        <w:t>联系电</w:t>
      </w:r>
      <w:r>
        <w:rPr>
          <w:rFonts w:eastAsia="黑体"/>
          <w:spacing w:val="2"/>
          <w:kern w:val="0"/>
          <w:szCs w:val="32"/>
          <w:fitText w:val="1536" w:id="583474985"/>
          <w14:ligatures w14:val="standardContextual"/>
        </w:rPr>
        <w:t>话</w:t>
      </w:r>
      <w:r>
        <w:rPr>
          <w:rFonts w:eastAsia="黑体"/>
          <w:kern w:val="2"/>
          <w:szCs w:val="32"/>
          <w14:ligatures w14:val="standardContextual"/>
        </w:rPr>
        <w:t>：</w:t>
      </w:r>
      <w:r>
        <w:rPr>
          <w:rFonts w:eastAsia="黑体"/>
          <w:w w:val="99"/>
          <w:kern w:val="2"/>
          <w:szCs w:val="32"/>
          <w:u w:val="single"/>
          <w14:ligatures w14:val="standardContextual"/>
        </w:rPr>
        <w:t xml:space="preserve"> </w:t>
      </w:r>
      <w:r>
        <w:rPr>
          <w:rFonts w:eastAsia="黑体"/>
          <w:kern w:val="2"/>
          <w:szCs w:val="32"/>
          <w:u w:val="single"/>
          <w14:ligatures w14:val="standardContextual"/>
        </w:rPr>
        <w:tab/>
      </w:r>
    </w:p>
    <w:p>
      <w:pPr>
        <w:tabs>
          <w:tab w:val="left" w:pos="7937"/>
        </w:tabs>
        <w:autoSpaceDE w:val="0"/>
        <w:autoSpaceDN w:val="0"/>
        <w:snapToGrid w:val="0"/>
        <w:spacing w:line="760" w:lineRule="exact"/>
        <w:ind w:firstLine="0" w:firstLineChars="0"/>
        <w:rPr>
          <w:rFonts w:eastAsia="黑体"/>
          <w:kern w:val="2"/>
          <w:szCs w:val="32"/>
          <w14:ligatures w14:val="standardContextual"/>
        </w:rPr>
      </w:pPr>
      <w:r>
        <w:rPr>
          <w:rFonts w:eastAsia="黑体"/>
          <w:spacing w:val="42"/>
          <w:kern w:val="0"/>
          <w:szCs w:val="32"/>
          <w:fitText w:val="1536" w:id="2093317837"/>
          <w14:ligatures w14:val="standardContextual"/>
        </w:rPr>
        <w:t>申请时</w:t>
      </w:r>
      <w:r>
        <w:rPr>
          <w:rFonts w:eastAsia="黑体"/>
          <w:spacing w:val="2"/>
          <w:kern w:val="0"/>
          <w:szCs w:val="32"/>
          <w:fitText w:val="1536" w:id="2093317837"/>
          <w14:ligatures w14:val="standardContextual"/>
        </w:rPr>
        <w:t>间</w:t>
      </w:r>
      <w:r>
        <w:rPr>
          <w:rFonts w:eastAsia="黑体"/>
          <w:kern w:val="2"/>
          <w:szCs w:val="32"/>
          <w14:ligatures w14:val="standardContextual"/>
        </w:rPr>
        <w:t>：</w:t>
      </w:r>
      <w:r>
        <w:rPr>
          <w:rFonts w:eastAsia="黑体"/>
          <w:kern w:val="2"/>
          <w:szCs w:val="32"/>
          <w:u w:val="single"/>
          <w14:ligatures w14:val="standardContextual"/>
        </w:rPr>
        <w:tab/>
      </w:r>
    </w:p>
    <w:p>
      <w:pPr>
        <w:autoSpaceDE w:val="0"/>
        <w:autoSpaceDN w:val="0"/>
        <w:snapToGrid w:val="0"/>
        <w:spacing w:line="560" w:lineRule="exact"/>
        <w:ind w:right="-1" w:firstLine="0" w:firstLineChars="0"/>
        <w:rPr>
          <w:rFonts w:eastAsia="仿宋"/>
          <w:kern w:val="2"/>
          <w:sz w:val="26"/>
          <w:szCs w:val="32"/>
          <w14:ligatures w14:val="standardContextual"/>
        </w:rPr>
      </w:pPr>
    </w:p>
    <w:p>
      <w:pPr>
        <w:spacing w:after="120"/>
        <w:ind w:firstLine="420"/>
        <w:rPr>
          <w:rFonts w:eastAsia="宋体"/>
          <w:kern w:val="2"/>
          <w:sz w:val="21"/>
          <w14:ligatures w14:val="standardContextual"/>
        </w:rPr>
      </w:pPr>
    </w:p>
    <w:p>
      <w:pPr>
        <w:autoSpaceDE w:val="0"/>
        <w:autoSpaceDN w:val="0"/>
        <w:snapToGrid w:val="0"/>
        <w:spacing w:line="560" w:lineRule="exact"/>
        <w:ind w:right="-1" w:firstLine="0" w:firstLineChars="0"/>
        <w:rPr>
          <w:rFonts w:eastAsia="仿宋"/>
          <w:kern w:val="2"/>
          <w:sz w:val="26"/>
          <w:szCs w:val="32"/>
          <w14:ligatures w14:val="standardContextual"/>
        </w:rPr>
      </w:pPr>
    </w:p>
    <w:p>
      <w:pPr>
        <w:autoSpaceDE w:val="0"/>
        <w:autoSpaceDN w:val="0"/>
        <w:snapToGrid w:val="0"/>
        <w:spacing w:line="560" w:lineRule="exact"/>
        <w:ind w:left="-205" w:leftChars="-64" w:right="-142" w:firstLine="567" w:firstLineChars="0"/>
        <w:rPr>
          <w:kern w:val="2"/>
          <w:sz w:val="30"/>
          <w:szCs w:val="30"/>
          <w14:ligatures w14:val="standardContextual"/>
        </w:rPr>
      </w:pPr>
      <w:r>
        <w:rPr>
          <w:kern w:val="2"/>
          <w:sz w:val="30"/>
          <w:szCs w:val="30"/>
          <w14:ligatures w14:val="standardContextual"/>
        </w:rPr>
        <w:t>注：申报材料连续编码并列出目录，务必添加对应页码，纸质版规范打印装订成册，左侧胶装，并加盖骑缝章。</w:t>
      </w:r>
    </w:p>
    <w:p>
      <w:pPr>
        <w:autoSpaceDE w:val="0"/>
        <w:autoSpaceDN w:val="0"/>
        <w:snapToGrid w:val="0"/>
        <w:spacing w:line="560" w:lineRule="exact"/>
        <w:ind w:right="1280" w:rightChars="400" w:firstLine="600"/>
        <w:rPr>
          <w:sz w:val="30"/>
          <w:szCs w:val="30"/>
        </w:rPr>
        <w:sectPr>
          <w:headerReference r:id="rId5" w:type="default"/>
          <w:footerReference r:id="rId6" w:type="default"/>
          <w:pgSz w:w="11910" w:h="16840"/>
          <w:pgMar w:top="1417" w:right="1588" w:bottom="1417" w:left="1588" w:header="850" w:footer="1304" w:gutter="0"/>
          <w:pgNumType w:fmt="numberInDash"/>
          <w:cols w:space="0" w:num="1"/>
        </w:sectPr>
      </w:pPr>
    </w:p>
    <w:p>
      <w:pPr>
        <w:autoSpaceDE w:val="0"/>
        <w:autoSpaceDN w:val="0"/>
        <w:snapToGrid w:val="0"/>
        <w:spacing w:line="590" w:lineRule="exact"/>
        <w:ind w:firstLine="0" w:firstLineChars="0"/>
        <w:jc w:val="center"/>
        <w:rPr>
          <w:rFonts w:eastAsia="方正小标宋_GBK"/>
          <w:sz w:val="44"/>
          <w:szCs w:val="44"/>
          <w14:ligatures w14:val="standardContextual"/>
        </w:rPr>
      </w:pPr>
    </w:p>
    <w:p>
      <w:pPr>
        <w:overflowPunct w:val="0"/>
        <w:autoSpaceDE w:val="0"/>
        <w:autoSpaceDN w:val="0"/>
        <w:snapToGrid w:val="0"/>
        <w:spacing w:line="590" w:lineRule="exact"/>
        <w:ind w:firstLine="0" w:firstLineChars="0"/>
        <w:jc w:val="center"/>
        <w:rPr>
          <w:rFonts w:eastAsia="方正小标宋_GBK"/>
          <w:sz w:val="44"/>
          <w:szCs w:val="44"/>
          <w14:ligatures w14:val="standardContextual"/>
        </w:rPr>
      </w:pPr>
      <w:r>
        <w:rPr>
          <w:rFonts w:eastAsia="方正小标宋_GBK"/>
          <w:sz w:val="44"/>
          <w:szCs w:val="44"/>
          <w14:ligatures w14:val="standardContextual"/>
        </w:rPr>
        <w:t>申报材料提交内容要求</w:t>
      </w:r>
    </w:p>
    <w:p>
      <w:pPr>
        <w:overflowPunct w:val="0"/>
        <w:autoSpaceDE w:val="0"/>
        <w:autoSpaceDN w:val="0"/>
        <w:snapToGrid w:val="0"/>
        <w:spacing w:line="590" w:lineRule="exact"/>
        <w:ind w:firstLine="0" w:firstLineChars="0"/>
        <w:rPr>
          <w:rFonts w:eastAsia="仿宋"/>
          <w:kern w:val="2"/>
          <w:sz w:val="28"/>
          <w:szCs w:val="32"/>
          <w14:ligatures w14:val="standardContextual"/>
        </w:rPr>
      </w:pPr>
    </w:p>
    <w:p>
      <w:pPr>
        <w:overflowPunct w:val="0"/>
        <w:autoSpaceDE w:val="0"/>
        <w:autoSpaceDN w:val="0"/>
        <w:snapToGrid w:val="0"/>
        <w:ind w:firstLine="640"/>
        <w:rPr>
          <w:kern w:val="2"/>
          <w:szCs w:val="32"/>
          <w14:ligatures w14:val="standardContextual"/>
        </w:rPr>
      </w:pPr>
      <w:r>
        <w:rPr>
          <w:rFonts w:eastAsia="黑体"/>
          <w:kern w:val="2"/>
          <w:szCs w:val="32"/>
          <w14:ligatures w14:val="standardContextual"/>
        </w:rPr>
        <w:t>一、申报管理机构情况</w:t>
      </w:r>
      <w:r>
        <w:rPr>
          <w:kern w:val="2"/>
          <w:szCs w:val="32"/>
          <w14:ligatures w14:val="standardContextual"/>
        </w:rPr>
        <w:t xml:space="preserve">  </w:t>
      </w:r>
    </w:p>
    <w:p>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（一）基本概况说明，另附情况简表（详见附表</w:t>
      </w:r>
      <w:r>
        <w:rPr>
          <w:rFonts w:hint="eastAsia" w:eastAsia="楷体_GB2312"/>
          <w:b/>
          <w:bCs/>
          <w:kern w:val="2"/>
          <w:szCs w:val="32"/>
          <w14:ligatures w14:val="standardContextual"/>
        </w:rPr>
        <w:t>6-</w:t>
      </w:r>
      <w:r>
        <w:rPr>
          <w:rFonts w:eastAsia="楷体_GB2312"/>
          <w:b/>
          <w:bCs/>
          <w:kern w:val="2"/>
          <w:szCs w:val="32"/>
          <w14:ligatures w14:val="standardContextual"/>
        </w:rPr>
        <w:t>1）</w:t>
      </w:r>
    </w:p>
    <w:p>
      <w:pPr>
        <w:overflowPunct w:val="0"/>
        <w:autoSpaceDE w:val="0"/>
        <w:autoSpaceDN w:val="0"/>
        <w:snapToGrid w:val="0"/>
        <w:ind w:firstLine="640"/>
        <w:rPr>
          <w:kern w:val="2"/>
          <w:szCs w:val="32"/>
          <w14:ligatures w14:val="standardContextual"/>
        </w:rPr>
      </w:pPr>
      <w:r>
        <w:rPr>
          <w:kern w:val="2"/>
          <w:szCs w:val="32"/>
          <w14:ligatures w14:val="standardContextual"/>
        </w:rPr>
        <w:t>主要阐述管理机构历史沿革、注册资本（含实缴情况）</w:t>
      </w:r>
      <w:r>
        <w:rPr>
          <w:rFonts w:hint="eastAsia"/>
          <w:kern w:val="2"/>
          <w:szCs w:val="32"/>
          <w14:ligatures w14:val="standardContextual"/>
        </w:rPr>
        <w:t>、</w:t>
      </w:r>
      <w:r>
        <w:rPr>
          <w:kern w:val="2"/>
          <w:szCs w:val="32"/>
          <w14:ligatures w14:val="standardContextual"/>
        </w:rPr>
        <w:t>机构性质（如：国有独资企业、国有绝对控股企业、国有相对控股企业、民营企业、外资企业及其他）、职工人数、股东情况（穿透至自然人）、治理架构、高级管理人员简介、子基金专属管理团队人员简介、中基协管理人登记编号等情况。</w:t>
      </w:r>
    </w:p>
    <w:p>
      <w:pPr>
        <w:overflowPunct w:val="0"/>
        <w:autoSpaceDE w:val="0"/>
        <w:autoSpaceDN w:val="0"/>
        <w:snapToGrid w:val="0"/>
        <w:ind w:firstLine="640"/>
        <w:rPr>
          <w:kern w:val="2"/>
          <w:szCs w:val="32"/>
          <w14:ligatures w14:val="standardContextual"/>
        </w:rPr>
      </w:pPr>
      <w:r>
        <w:rPr>
          <w:kern w:val="2"/>
          <w:szCs w:val="32"/>
          <w14:ligatures w14:val="standardContextual"/>
        </w:rPr>
        <w:t>该部分请提供：</w:t>
      </w:r>
    </w:p>
    <w:p>
      <w:pPr>
        <w:overflowPunct w:val="0"/>
        <w:autoSpaceDE w:val="0"/>
        <w:autoSpaceDN w:val="0"/>
        <w:snapToGrid w:val="0"/>
        <w:ind w:firstLine="640"/>
        <w:rPr>
          <w:kern w:val="2"/>
          <w:szCs w:val="32"/>
          <w14:ligatures w14:val="standardContextual"/>
        </w:rPr>
      </w:pPr>
      <w:r>
        <w:rPr>
          <w:kern w:val="2"/>
          <w:szCs w:val="32"/>
          <w14:ligatures w14:val="standardContextual"/>
        </w:rPr>
        <w:t>1.营业执照复印件、税务登记证书复印件、企业信用报告、完税证明复印件、实缴资本专项审计报告复印件或其他证明文件；</w:t>
      </w:r>
    </w:p>
    <w:p>
      <w:pPr>
        <w:overflowPunct w:val="0"/>
        <w:autoSpaceDE w:val="0"/>
        <w:autoSpaceDN w:val="0"/>
        <w:snapToGrid w:val="0"/>
        <w:ind w:firstLine="640"/>
        <w:rPr>
          <w:kern w:val="2"/>
          <w:szCs w:val="32"/>
          <w14:ligatures w14:val="standardContextual"/>
        </w:rPr>
      </w:pPr>
      <w:r>
        <w:rPr>
          <w:kern w:val="2"/>
          <w:szCs w:val="32"/>
          <w14:ligatures w14:val="standardContextual"/>
        </w:rPr>
        <w:t>2.法定代表人、高级管理人员、子基金专属管理团队人员的简历，并附身份证复印件、任职证明及所获主要荣誉，近一年内管理团队成员社保记录单据等证明材料（从属地社保机构下载打印并加盖公章）；</w:t>
      </w:r>
    </w:p>
    <w:p>
      <w:pPr>
        <w:overflowPunct w:val="0"/>
        <w:autoSpaceDE w:val="0"/>
        <w:autoSpaceDN w:val="0"/>
        <w:snapToGrid w:val="0"/>
        <w:ind w:firstLine="640"/>
        <w:rPr>
          <w:kern w:val="2"/>
          <w:szCs w:val="32"/>
          <w14:ligatures w14:val="standardContextual"/>
        </w:rPr>
      </w:pPr>
      <w:r>
        <w:rPr>
          <w:kern w:val="2"/>
          <w:szCs w:val="32"/>
          <w14:ligatures w14:val="standardContextual"/>
        </w:rPr>
        <w:t>3.</w:t>
      </w:r>
      <w:r>
        <w:rPr>
          <w:spacing w:val="-11"/>
          <w:kern w:val="2"/>
          <w:szCs w:val="32"/>
          <w14:ligatures w14:val="standardContextual"/>
        </w:rPr>
        <w:t>申报机构有关诉讼、担保、其他或有风险事项说明及文件。最近三年内申报机构及其工作人员无行政主管</w:t>
      </w:r>
      <w:r>
        <w:rPr>
          <w:rFonts w:hint="eastAsia"/>
          <w:spacing w:val="-11"/>
          <w:kern w:val="2"/>
          <w:szCs w:val="32"/>
          <w14:ligatures w14:val="standardContextual"/>
        </w:rPr>
        <w:t>部门</w:t>
      </w:r>
      <w:r>
        <w:rPr>
          <w:spacing w:val="-11"/>
          <w:kern w:val="2"/>
          <w:szCs w:val="32"/>
          <w14:ligatures w14:val="standardContextual"/>
        </w:rPr>
        <w:t>或司法机关处罚的不良记录、不存在违法违规行为或被中国证券投资基金业协会列为异常机构或存在不良诚信记录等的声明或承诺；</w:t>
      </w:r>
    </w:p>
    <w:p>
      <w:pPr>
        <w:overflowPunct w:val="0"/>
        <w:autoSpaceDE w:val="0"/>
        <w:autoSpaceDN w:val="0"/>
        <w:snapToGrid w:val="0"/>
        <w:ind w:firstLine="640"/>
        <w:rPr>
          <w:kern w:val="2"/>
          <w:szCs w:val="32"/>
          <w14:ligatures w14:val="standardContextual"/>
        </w:rPr>
      </w:pPr>
      <w:r>
        <w:rPr>
          <w:kern w:val="2"/>
          <w:szCs w:val="32"/>
          <w14:ligatures w14:val="standardContextual"/>
        </w:rPr>
        <w:t>4.穿透核查。申报机构通过信用中国、信用信息公示系统、征信系统、中国裁判文书网、中国</w:t>
      </w:r>
      <w:r>
        <w:rPr>
          <w:spacing w:val="-11"/>
          <w:kern w:val="2"/>
          <w:szCs w:val="32"/>
          <w14:ligatures w14:val="standardContextual"/>
        </w:rPr>
        <w:t>证券投资</w:t>
      </w:r>
      <w:r>
        <w:rPr>
          <w:kern w:val="2"/>
          <w:szCs w:val="32"/>
          <w14:ligatures w14:val="standardContextual"/>
        </w:rPr>
        <w:t>基金业协会信息公示等数据库（至少选取两家公示网站），对申报机构及其股东（穿透到实际出资方）、实际控制人、关联方及高管人员是否涉嫌违法犯罪、受到行业行政监管措施、行政监管处罚及举报投诉情况等进行穿透核查，并提供相关截屏材料。</w:t>
      </w:r>
    </w:p>
    <w:p>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（二）累计管理基金及效益情况</w:t>
      </w:r>
    </w:p>
    <w:p>
      <w:pPr>
        <w:overflowPunct w:val="0"/>
        <w:autoSpaceDE w:val="0"/>
        <w:autoSpaceDN w:val="0"/>
        <w:snapToGrid w:val="0"/>
        <w:ind w:firstLine="640"/>
        <w:rPr>
          <w:kern w:val="2"/>
          <w:szCs w:val="32"/>
          <w14:ligatures w14:val="standardContextual"/>
        </w:rPr>
      </w:pPr>
      <w:r>
        <w:rPr>
          <w:kern w:val="2"/>
          <w:szCs w:val="32"/>
          <w14:ligatures w14:val="standardContextual"/>
        </w:rPr>
        <w:t>主要阐述管理机构</w:t>
      </w:r>
      <w:r>
        <w:rPr>
          <w:rFonts w:hint="eastAsia"/>
          <w:kern w:val="2"/>
          <w:szCs w:val="32"/>
          <w14:ligatures w14:val="standardContextual"/>
        </w:rPr>
        <w:t>/投资团队核心成员</w:t>
      </w:r>
      <w:r>
        <w:rPr>
          <w:kern w:val="2"/>
          <w:szCs w:val="32"/>
          <w14:ligatures w14:val="standardContextual"/>
        </w:rPr>
        <w:t>既往累计管理的基金及效益情况。另附管理机构/投资团队核心成员累计管理基金及效益情况表（详见附表</w:t>
      </w:r>
      <w:r>
        <w:rPr>
          <w:rFonts w:hint="eastAsia"/>
          <w:kern w:val="2"/>
          <w:szCs w:val="32"/>
          <w14:ligatures w14:val="standardContextual"/>
        </w:rPr>
        <w:t>6-</w:t>
      </w:r>
      <w:r>
        <w:rPr>
          <w:kern w:val="2"/>
          <w:szCs w:val="32"/>
          <w14:ligatures w14:val="standardContextual"/>
        </w:rPr>
        <w:t>2）。</w:t>
      </w:r>
    </w:p>
    <w:p>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（三）累计投资项目及业绩情况</w:t>
      </w:r>
    </w:p>
    <w:p>
      <w:pPr>
        <w:overflowPunct w:val="0"/>
        <w:autoSpaceDE w:val="0"/>
        <w:autoSpaceDN w:val="0"/>
        <w:snapToGrid w:val="0"/>
        <w:ind w:firstLine="640"/>
        <w:rPr>
          <w:kern w:val="2"/>
          <w:szCs w:val="32"/>
          <w14:ligatures w14:val="standardContextual"/>
        </w:rPr>
      </w:pPr>
      <w:r>
        <w:rPr>
          <w:kern w:val="2"/>
          <w:szCs w:val="32"/>
          <w14:ligatures w14:val="standardContextual"/>
        </w:rPr>
        <w:t>主要阐述管理机构/</w:t>
      </w:r>
      <w:r>
        <w:rPr>
          <w:rFonts w:hint="eastAsia"/>
          <w:kern w:val="2"/>
          <w:szCs w:val="32"/>
          <w14:ligatures w14:val="standardContextual"/>
        </w:rPr>
        <w:t>投资团队</w:t>
      </w:r>
      <w:r>
        <w:rPr>
          <w:kern w:val="2"/>
          <w:szCs w:val="32"/>
          <w14:ligatures w14:val="standardContextual"/>
        </w:rPr>
        <w:t>核心成员累计已投资项目数量及投资金额；累计已退出项目数量、占比及平均收益率；过往投资</w:t>
      </w:r>
      <w:r>
        <w:rPr>
          <w:rFonts w:hint="eastAsia"/>
          <w:kern w:val="2"/>
          <w:szCs w:val="32"/>
          <w14:ligatures w14:val="standardContextual"/>
        </w:rPr>
        <w:t>文化</w:t>
      </w:r>
      <w:r>
        <w:rPr>
          <w:kern w:val="2"/>
          <w:szCs w:val="32"/>
          <w14:ligatures w14:val="standardContextual"/>
        </w:rPr>
        <w:t>产业领域的项目数量及投资金额、盈亏及退出情况等。另附管理机构/</w:t>
      </w:r>
      <w:r>
        <w:rPr>
          <w:kern w:val="2"/>
          <w:szCs w:val="32"/>
          <w:lang w:bidi="ar"/>
          <w14:ligatures w14:val="standardContextual"/>
        </w:rPr>
        <w:t>投资团队</w:t>
      </w:r>
      <w:r>
        <w:rPr>
          <w:kern w:val="2"/>
          <w:szCs w:val="32"/>
          <w14:ligatures w14:val="standardContextual"/>
        </w:rPr>
        <w:t>核心成员累计投资年化收益率</w:t>
      </w:r>
      <w:r>
        <w:rPr>
          <w:rFonts w:hint="eastAsia"/>
          <w:kern w:val="2"/>
          <w:szCs w:val="32"/>
          <w14:ligatures w14:val="standardContextual"/>
        </w:rPr>
        <w:t>（IRR）</w:t>
      </w:r>
      <w:r>
        <w:rPr>
          <w:kern w:val="2"/>
          <w:szCs w:val="32"/>
          <w14:ligatures w14:val="standardContextual"/>
        </w:rPr>
        <w:t>为1</w:t>
      </w:r>
      <w:r>
        <w:rPr>
          <w:rFonts w:hint="eastAsia"/>
          <w:kern w:val="2"/>
          <w:szCs w:val="32"/>
          <w14:ligatures w14:val="standardContextual"/>
        </w:rPr>
        <w:t>0</w:t>
      </w:r>
      <w:r>
        <w:rPr>
          <w:kern w:val="2"/>
          <w:szCs w:val="32"/>
          <w14:ligatures w14:val="standardContextual"/>
        </w:rPr>
        <w:t>%以上的项目情况表（详见附表</w:t>
      </w:r>
      <w:r>
        <w:rPr>
          <w:rFonts w:hint="eastAsia" w:eastAsia="楷体_GB2312"/>
          <w:kern w:val="2"/>
          <w:szCs w:val="32"/>
          <w14:ligatures w14:val="standardContextual"/>
        </w:rPr>
        <w:t>6-</w:t>
      </w:r>
      <w:r>
        <w:rPr>
          <w:kern w:val="2"/>
          <w:szCs w:val="32"/>
          <w14:ligatures w14:val="standardContextual"/>
        </w:rPr>
        <w:t>3）。</w:t>
      </w:r>
    </w:p>
    <w:p>
      <w:pPr>
        <w:overflowPunct w:val="0"/>
        <w:autoSpaceDE w:val="0"/>
        <w:autoSpaceDN w:val="0"/>
        <w:snapToGrid w:val="0"/>
        <w:ind w:firstLine="640"/>
        <w:rPr>
          <w:kern w:val="2"/>
          <w:szCs w:val="32"/>
          <w14:ligatures w14:val="standardContextual"/>
        </w:rPr>
      </w:pPr>
      <w:r>
        <w:rPr>
          <w:kern w:val="2"/>
          <w:szCs w:val="32"/>
          <w14:ligatures w14:val="standardContextual"/>
        </w:rPr>
        <w:t>列举管理机构/</w:t>
      </w:r>
      <w:r>
        <w:rPr>
          <w:rFonts w:hint="eastAsia"/>
          <w:kern w:val="2"/>
          <w:szCs w:val="32"/>
          <w14:ligatures w14:val="standardContextual"/>
        </w:rPr>
        <w:t>投资团队</w:t>
      </w:r>
      <w:r>
        <w:rPr>
          <w:kern w:val="2"/>
          <w:szCs w:val="32"/>
          <w14:ligatures w14:val="standardContextual"/>
        </w:rPr>
        <w:t>核心成员过往在</w:t>
      </w:r>
      <w:r>
        <w:rPr>
          <w:rFonts w:hint="eastAsia"/>
          <w:kern w:val="2"/>
          <w:szCs w:val="32"/>
          <w14:ligatures w14:val="standardContextual"/>
        </w:rPr>
        <w:t>文化</w:t>
      </w:r>
      <w:r>
        <w:rPr>
          <w:kern w:val="2"/>
          <w:szCs w:val="32"/>
          <w14:ligatures w14:val="standardContextual"/>
        </w:rPr>
        <w:t>产业领域投早投小（B轮及B轮以前）的项目情况。</w:t>
      </w:r>
    </w:p>
    <w:p>
      <w:pPr>
        <w:overflowPunct w:val="0"/>
        <w:autoSpaceDE w:val="0"/>
        <w:autoSpaceDN w:val="0"/>
        <w:snapToGrid w:val="0"/>
        <w:ind w:firstLine="643"/>
        <w:rPr>
          <w:spacing w:val="-11"/>
          <w:kern w:val="2"/>
          <w:szCs w:val="32"/>
          <w14:ligatures w14:val="standardContextual"/>
        </w:rPr>
      </w:pPr>
      <w:r>
        <w:rPr>
          <w:rFonts w:eastAsia="楷体_GB2312"/>
          <w:b/>
          <w:bCs/>
          <w:kern w:val="2"/>
          <w:szCs w:val="32"/>
          <w14:ligatures w14:val="standardContextual"/>
        </w:rPr>
        <w:t>（四）近</w:t>
      </w:r>
      <w:r>
        <w:rPr>
          <w:rFonts w:eastAsia="楷体_GB2312"/>
          <w:b/>
          <w:bCs/>
          <w:spacing w:val="-11"/>
          <w:kern w:val="2"/>
          <w:szCs w:val="32"/>
          <w14:ligatures w14:val="standardContextual"/>
        </w:rPr>
        <w:t>三年知名机构发布的创业及股权投资机构排名情况（或具有良好业内口碑和市场认可度）说明，并附证明材料</w:t>
      </w:r>
    </w:p>
    <w:p>
      <w:pPr>
        <w:overflowPunct w:val="0"/>
        <w:autoSpaceDE w:val="0"/>
        <w:autoSpaceDN w:val="0"/>
        <w:snapToGrid w:val="0"/>
        <w:ind w:firstLine="643"/>
        <w:rPr>
          <w:kern w:val="2"/>
          <w:szCs w:val="32"/>
          <w14:ligatures w14:val="standardContextual"/>
        </w:rPr>
      </w:pPr>
      <w:r>
        <w:rPr>
          <w:rFonts w:eastAsia="楷体_GB2312"/>
          <w:b/>
          <w:bCs/>
          <w:kern w:val="2"/>
          <w:szCs w:val="32"/>
          <w14:ligatures w14:val="standardContextual"/>
        </w:rPr>
        <w:t>（五）内部治理相关制度</w:t>
      </w:r>
    </w:p>
    <w:p>
      <w:pPr>
        <w:overflowPunct w:val="0"/>
        <w:autoSpaceDE w:val="0"/>
        <w:autoSpaceDN w:val="0"/>
        <w:snapToGrid w:val="0"/>
        <w:ind w:firstLine="640"/>
        <w:rPr>
          <w:kern w:val="2"/>
          <w:szCs w:val="32"/>
          <w14:ligatures w14:val="standardContextual"/>
        </w:rPr>
      </w:pPr>
      <w:r>
        <w:rPr>
          <w:kern w:val="2"/>
          <w:szCs w:val="32"/>
          <w14:ligatures w14:val="standardContextual"/>
        </w:rPr>
        <w:t>主要阐述管理机构的投资决策制度、员工跟投制度、风险控制制度</w:t>
      </w:r>
      <w:r>
        <w:rPr>
          <w:rFonts w:hint="eastAsia"/>
          <w:kern w:val="2"/>
          <w:szCs w:val="32"/>
          <w14:ligatures w14:val="standardContextual"/>
        </w:rPr>
        <w:t>、关联交易制度</w:t>
      </w:r>
      <w:r>
        <w:rPr>
          <w:kern w:val="2"/>
          <w:szCs w:val="32"/>
          <w14:ligatures w14:val="standardContextual"/>
        </w:rPr>
        <w:t>及财务管理制度等。</w:t>
      </w:r>
    </w:p>
    <w:p>
      <w:pPr>
        <w:overflowPunct w:val="0"/>
        <w:autoSpaceDE w:val="0"/>
        <w:autoSpaceDN w:val="0"/>
        <w:snapToGrid w:val="0"/>
        <w:ind w:firstLine="640"/>
        <w:rPr>
          <w:kern w:val="2"/>
          <w:szCs w:val="32"/>
          <w14:ligatures w14:val="standardContextual"/>
        </w:rPr>
      </w:pPr>
      <w:r>
        <w:rPr>
          <w:kern w:val="2"/>
          <w:szCs w:val="32"/>
          <w14:ligatures w14:val="standardContextual"/>
        </w:rPr>
        <w:t>该部分请提供：公司的投资决策制度、员工跟投制度、风险控制制度</w:t>
      </w:r>
      <w:r>
        <w:rPr>
          <w:rFonts w:hint="eastAsia"/>
          <w:kern w:val="2"/>
          <w:szCs w:val="32"/>
          <w14:ligatures w14:val="standardContextual"/>
        </w:rPr>
        <w:t>、关联交易制度</w:t>
      </w:r>
      <w:r>
        <w:rPr>
          <w:kern w:val="2"/>
          <w:szCs w:val="32"/>
          <w14:ligatures w14:val="standardContextual"/>
        </w:rPr>
        <w:t>及财务管理制度等制度性文件</w:t>
      </w:r>
      <w:r>
        <w:rPr>
          <w:rFonts w:hint="eastAsia"/>
          <w:kern w:val="2"/>
          <w:szCs w:val="32"/>
          <w14:ligatures w14:val="standardContextual"/>
        </w:rPr>
        <w:t>，并加盖申请单位公章</w:t>
      </w:r>
      <w:r>
        <w:rPr>
          <w:kern w:val="2"/>
          <w:szCs w:val="32"/>
          <w14:ligatures w14:val="standardContextual"/>
        </w:rPr>
        <w:t>。</w:t>
      </w:r>
    </w:p>
    <w:p>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（六）近三年经营情况说明及近一年审计报告</w:t>
      </w:r>
    </w:p>
    <w:p>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（七）本地服务能力</w:t>
      </w:r>
    </w:p>
    <w:p>
      <w:pPr>
        <w:overflowPunct w:val="0"/>
        <w:autoSpaceDE w:val="0"/>
        <w:autoSpaceDN w:val="0"/>
        <w:snapToGrid w:val="0"/>
        <w:ind w:firstLine="640"/>
        <w:rPr>
          <w:kern w:val="2"/>
          <w:szCs w:val="32"/>
          <w14:ligatures w14:val="standardContextual"/>
        </w:rPr>
      </w:pPr>
      <w:r>
        <w:rPr>
          <w:kern w:val="2"/>
          <w:szCs w:val="32"/>
          <w14:ligatures w14:val="standardContextual"/>
        </w:rPr>
        <w:t>主要阐述管理机构在湖南省已配备或拟配备的管理团队情况、固定办公场所情况等，以及在湖南省的投资经验。</w:t>
      </w:r>
    </w:p>
    <w:p>
      <w:pPr>
        <w:overflowPunct w:val="0"/>
        <w:autoSpaceDE w:val="0"/>
        <w:autoSpaceDN w:val="0"/>
        <w:snapToGrid w:val="0"/>
        <w:ind w:firstLine="640"/>
        <w:rPr>
          <w:kern w:val="2"/>
          <w:szCs w:val="32"/>
          <w14:ligatures w14:val="standardContextual"/>
        </w:rPr>
      </w:pPr>
      <w:r>
        <w:rPr>
          <w:kern w:val="2"/>
          <w:szCs w:val="32"/>
          <w14:ligatures w14:val="standardContextual"/>
        </w:rPr>
        <w:t>该部分请提供：管理机构已在湖南设立固定办公场所的，提供管理机构在湖南省内设置的固定办公场所房屋产权证明或租赁协议（租赁协议上需注明租赁期限，租赁剩余期限原则上不低于2年）。管理机构未在湖南设立固定办公场所的，须出具承诺，在中选后在湖南设立固定办公场所。列举管理机构在湖南省内的项目投资或招商引资情况。</w:t>
      </w:r>
    </w:p>
    <w:p>
      <w:pPr>
        <w:overflowPunct w:val="0"/>
        <w:autoSpaceDE w:val="0"/>
        <w:autoSpaceDN w:val="0"/>
        <w:snapToGrid w:val="0"/>
        <w:ind w:firstLine="643"/>
        <w:rPr>
          <w:kern w:val="2"/>
          <w:szCs w:val="32"/>
          <w14:ligatures w14:val="standardContextual"/>
        </w:rPr>
      </w:pPr>
      <w:r>
        <w:rPr>
          <w:rFonts w:eastAsia="楷体_GB2312"/>
          <w:b/>
          <w:bCs/>
          <w:kern w:val="2"/>
          <w:szCs w:val="32"/>
          <w14:ligatures w14:val="standardContextual"/>
        </w:rPr>
        <w:t>（八）其他需说明事项</w:t>
      </w:r>
    </w:p>
    <w:p>
      <w:pPr>
        <w:overflowPunct w:val="0"/>
        <w:autoSpaceDE w:val="0"/>
        <w:autoSpaceDN w:val="0"/>
        <w:snapToGrid w:val="0"/>
        <w:ind w:firstLine="640"/>
        <w:rPr>
          <w:kern w:val="2"/>
          <w:szCs w:val="32"/>
          <w14:ligatures w14:val="standardContextual"/>
        </w:rPr>
      </w:pPr>
      <w:r>
        <w:rPr>
          <w:rFonts w:eastAsia="黑体"/>
          <w:kern w:val="2"/>
          <w:szCs w:val="32"/>
          <w14:ligatures w14:val="standardContextual"/>
        </w:rPr>
        <w:t>二、拟服务于子基金的管理团队情况</w:t>
      </w:r>
      <w:r>
        <w:rPr>
          <w:kern w:val="2"/>
          <w:szCs w:val="32"/>
          <w14:ligatures w14:val="standardContextual"/>
        </w:rPr>
        <w:t xml:space="preserve"> </w:t>
      </w:r>
    </w:p>
    <w:p>
      <w:pPr>
        <w:overflowPunct w:val="0"/>
        <w:autoSpaceDE w:val="0"/>
        <w:autoSpaceDN w:val="0"/>
        <w:snapToGrid w:val="0"/>
        <w:ind w:firstLine="643"/>
        <w:rPr>
          <w:kern w:val="2"/>
          <w:szCs w:val="32"/>
          <w14:ligatures w14:val="standardContextual"/>
        </w:rPr>
      </w:pPr>
      <w:r>
        <w:rPr>
          <w:rFonts w:eastAsia="楷体_GB2312"/>
          <w:b/>
          <w:bCs/>
          <w:kern w:val="2"/>
          <w:szCs w:val="32"/>
          <w14:ligatures w14:val="standardContextual"/>
        </w:rPr>
        <w:t>（一）配备的管理团队情况（详见附表</w:t>
      </w:r>
      <w:r>
        <w:rPr>
          <w:rFonts w:hint="eastAsia" w:eastAsia="楷体_GB2312"/>
          <w:b/>
          <w:bCs/>
          <w:kern w:val="2"/>
          <w:szCs w:val="32"/>
          <w14:ligatures w14:val="standardContextual"/>
        </w:rPr>
        <w:t>6-</w:t>
      </w:r>
      <w:r>
        <w:rPr>
          <w:rFonts w:eastAsia="楷体_GB2312"/>
          <w:b/>
          <w:bCs/>
          <w:kern w:val="2"/>
          <w:szCs w:val="32"/>
          <w14:ligatures w14:val="standardContextual"/>
        </w:rPr>
        <w:t>4.1</w:t>
      </w:r>
      <w:r>
        <w:rPr>
          <w:rFonts w:hint="eastAsia" w:eastAsia="楷体_GB2312"/>
          <w:b/>
          <w:bCs/>
          <w:kern w:val="2"/>
          <w:szCs w:val="32"/>
          <w14:ligatures w14:val="standardContextual"/>
        </w:rPr>
        <w:t>、</w:t>
      </w:r>
      <w:r>
        <w:rPr>
          <w:rFonts w:eastAsia="楷体_GB2312"/>
          <w:b/>
          <w:bCs/>
          <w:kern w:val="2"/>
          <w:szCs w:val="32"/>
          <w14:ligatures w14:val="standardContextual"/>
        </w:rPr>
        <w:t>附表</w:t>
      </w:r>
      <w:r>
        <w:rPr>
          <w:rFonts w:hint="eastAsia" w:eastAsia="楷体_GB2312"/>
          <w:b/>
          <w:bCs/>
          <w:kern w:val="2"/>
          <w:szCs w:val="32"/>
          <w14:ligatures w14:val="standardContextual"/>
        </w:rPr>
        <w:t>6-</w:t>
      </w:r>
      <w:r>
        <w:rPr>
          <w:rFonts w:eastAsia="楷体_GB2312"/>
          <w:b/>
          <w:bCs/>
          <w:kern w:val="2"/>
          <w:szCs w:val="32"/>
          <w14:ligatures w14:val="standardContextual"/>
        </w:rPr>
        <w:t>4.2</w:t>
      </w:r>
      <w:r>
        <w:rPr>
          <w:rFonts w:hint="eastAsia" w:eastAsia="楷体_GB2312"/>
          <w:b/>
          <w:bCs/>
          <w:kern w:val="2"/>
          <w:szCs w:val="32"/>
          <w14:ligatures w14:val="standardContextual"/>
        </w:rPr>
        <w:t>、附表6-4.3</w:t>
      </w:r>
      <w:r>
        <w:rPr>
          <w:rFonts w:eastAsia="楷体_GB2312"/>
          <w:b/>
          <w:bCs/>
          <w:kern w:val="2"/>
          <w:szCs w:val="32"/>
          <w14:ligatures w14:val="standardContextual"/>
        </w:rPr>
        <w:t>）</w:t>
      </w:r>
    </w:p>
    <w:p>
      <w:pPr>
        <w:overflowPunct w:val="0"/>
        <w:autoSpaceDE w:val="0"/>
        <w:autoSpaceDN w:val="0"/>
        <w:snapToGrid w:val="0"/>
        <w:ind w:firstLine="640"/>
        <w:rPr>
          <w:kern w:val="2"/>
          <w:szCs w:val="32"/>
          <w14:ligatures w14:val="standardContextual"/>
        </w:rPr>
      </w:pPr>
      <w:r>
        <w:rPr>
          <w:kern w:val="2"/>
          <w:szCs w:val="32"/>
          <w14:ligatures w14:val="standardContextual"/>
        </w:rPr>
        <w:t>主要阐述配备的管理团队人员总数量及专职高级管理人员数量，关键人士、投委会成员、专职高管等核心团队情况介绍，并附所有成员履历表，主要内容包括：现职务、工作履历、教育背景、主要投资经历、其他兼职情况（如有）等情况。</w:t>
      </w:r>
    </w:p>
    <w:p>
      <w:pPr>
        <w:overflowPunct w:val="0"/>
        <w:autoSpaceDE w:val="0"/>
        <w:autoSpaceDN w:val="0"/>
        <w:snapToGrid w:val="0"/>
        <w:ind w:firstLine="640"/>
        <w:rPr>
          <w:kern w:val="2"/>
          <w:szCs w:val="32"/>
          <w14:ligatures w14:val="standardContextual"/>
        </w:rPr>
      </w:pPr>
      <w:r>
        <w:rPr>
          <w:kern w:val="2"/>
          <w:szCs w:val="32"/>
          <w14:ligatures w14:val="standardContextual"/>
        </w:rPr>
        <w:t>该部分请提供：所有成员的身份证、学历证书、职称证书、从业资格证书及所获主要荣誉等证明材料；关键人士近三年获得知名机构发布的投资人榜单证明材料。</w:t>
      </w:r>
    </w:p>
    <w:p>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（二）配备的核心成员基本情况（详见附表</w:t>
      </w:r>
      <w:r>
        <w:rPr>
          <w:rFonts w:hint="eastAsia" w:eastAsia="楷体_GB2312"/>
          <w:b/>
          <w:bCs/>
          <w:kern w:val="2"/>
          <w:szCs w:val="32"/>
          <w14:ligatures w14:val="standardContextual"/>
        </w:rPr>
        <w:t>6-</w:t>
      </w:r>
      <w:r>
        <w:rPr>
          <w:rFonts w:eastAsia="楷体_GB2312"/>
          <w:b/>
          <w:bCs/>
          <w:kern w:val="2"/>
          <w:szCs w:val="32"/>
          <w14:ligatures w14:val="standardContextual"/>
        </w:rPr>
        <w:t>5）</w:t>
      </w:r>
    </w:p>
    <w:p>
      <w:pPr>
        <w:overflowPunct w:val="0"/>
        <w:autoSpaceDE w:val="0"/>
        <w:autoSpaceDN w:val="0"/>
        <w:snapToGrid w:val="0"/>
        <w:ind w:firstLine="640"/>
        <w:rPr>
          <w:kern w:val="2"/>
          <w:szCs w:val="32"/>
          <w14:ligatures w14:val="standardContextual"/>
        </w:rPr>
      </w:pPr>
      <w:r>
        <w:rPr>
          <w:kern w:val="2"/>
          <w:szCs w:val="32"/>
          <w14:ligatures w14:val="standardContextual"/>
        </w:rPr>
        <w:t>该部分请提供：核心成员在所参与管理相关基金中曾担任关键人士或委派代表，或在申报单位及相关基金的管理人中担任负责投资业务高级管理人员的任职证明文件。</w:t>
      </w:r>
    </w:p>
    <w:p>
      <w:pPr>
        <w:overflowPunct w:val="0"/>
        <w:autoSpaceDE w:val="0"/>
        <w:autoSpaceDN w:val="0"/>
        <w:snapToGrid w:val="0"/>
        <w:ind w:firstLine="640"/>
        <w:rPr>
          <w:rFonts w:eastAsia="黑体"/>
          <w:kern w:val="2"/>
          <w:szCs w:val="32"/>
          <w14:ligatures w14:val="standardContextual"/>
        </w:rPr>
      </w:pPr>
      <w:r>
        <w:rPr>
          <w:rFonts w:eastAsia="黑体"/>
          <w:kern w:val="2"/>
          <w:szCs w:val="32"/>
          <w14:ligatures w14:val="standardContextual"/>
        </w:rPr>
        <w:t>三、子基金运作方案</w:t>
      </w:r>
    </w:p>
    <w:p>
      <w:pPr>
        <w:overflowPunct w:val="0"/>
        <w:autoSpaceDE w:val="0"/>
        <w:autoSpaceDN w:val="0"/>
        <w:snapToGrid w:val="0"/>
        <w:ind w:firstLine="640"/>
        <w:rPr>
          <w:kern w:val="2"/>
          <w:szCs w:val="32"/>
          <w14:ligatures w14:val="standardContextual"/>
        </w:rPr>
      </w:pPr>
      <w:r>
        <w:rPr>
          <w:kern w:val="2"/>
          <w:szCs w:val="32"/>
          <w14:ligatures w14:val="standardContextual"/>
        </w:rPr>
        <w:t>该部分内容须另附方案概要简表（详见附表6</w:t>
      </w:r>
      <w:r>
        <w:rPr>
          <w:rFonts w:hint="eastAsia"/>
          <w:kern w:val="2"/>
          <w:szCs w:val="32"/>
          <w14:ligatures w14:val="standardContextual"/>
        </w:rPr>
        <w:t>-6</w:t>
      </w:r>
      <w:r>
        <w:rPr>
          <w:kern w:val="2"/>
          <w:szCs w:val="32"/>
          <w14:ligatures w14:val="standardContextual"/>
        </w:rPr>
        <w:t>），方案主要内容包括但不限于：</w:t>
      </w:r>
    </w:p>
    <w:p>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（一）基本概况</w:t>
      </w:r>
    </w:p>
    <w:p>
      <w:pPr>
        <w:overflowPunct w:val="0"/>
        <w:autoSpaceDE w:val="0"/>
        <w:autoSpaceDN w:val="0"/>
        <w:snapToGrid w:val="0"/>
        <w:ind w:firstLine="640"/>
        <w:rPr>
          <w:kern w:val="2"/>
          <w:szCs w:val="32"/>
          <w14:ligatures w14:val="standardContextual"/>
        </w:rPr>
      </w:pPr>
      <w:r>
        <w:rPr>
          <w:kern w:val="2"/>
          <w:szCs w:val="32"/>
          <w14:ligatures w14:val="standardContextual"/>
        </w:rPr>
        <w:t>主要包括：名称及拟注册地点、期限（存续/投资/退出）、组织形式（合伙制、公司制）、基金设立规模、申请母基金出资规模及比例、拟首次交割时间、分期缴款计划、投资进度安排等。</w:t>
      </w:r>
    </w:p>
    <w:p>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（二）投资方向与策略</w:t>
      </w:r>
    </w:p>
    <w:p>
      <w:pPr>
        <w:overflowPunct w:val="0"/>
        <w:autoSpaceDE w:val="0"/>
        <w:autoSpaceDN w:val="0"/>
        <w:snapToGrid w:val="0"/>
        <w:ind w:firstLine="640"/>
        <w:rPr>
          <w:kern w:val="2"/>
          <w:szCs w:val="32"/>
          <w14:ligatures w14:val="standardContextual"/>
        </w:rPr>
      </w:pPr>
      <w:r>
        <w:rPr>
          <w:kern w:val="2"/>
          <w:szCs w:val="32"/>
          <w14:ligatures w14:val="standardContextual"/>
        </w:rPr>
        <w:t>结合子基金定位，阐述拟设立子基金的投资方向与策略及返投计划，并就项目储备来源、拟投项目所处阶段分布、开展投资时段分布、基金整体现金回流计划等方面进行说明，对投资方向所属行业现状及趋势进行简要分析。</w:t>
      </w:r>
    </w:p>
    <w:p>
      <w:pPr>
        <w:overflowPunct w:val="0"/>
        <w:autoSpaceDE w:val="0"/>
        <w:autoSpaceDN w:val="0"/>
        <w:snapToGrid w:val="0"/>
        <w:ind w:firstLine="643"/>
        <w:rPr>
          <w:kern w:val="2"/>
          <w:szCs w:val="32"/>
          <w14:ligatures w14:val="standardContextual"/>
        </w:rPr>
      </w:pPr>
      <w:r>
        <w:rPr>
          <w:rFonts w:eastAsia="楷体_GB2312"/>
          <w:b/>
          <w:bCs/>
          <w:kern w:val="2"/>
          <w:szCs w:val="32"/>
          <w14:ligatures w14:val="standardContextual"/>
        </w:rPr>
        <w:t>（三）募资计划</w:t>
      </w:r>
    </w:p>
    <w:p>
      <w:pPr>
        <w:overflowPunct w:val="0"/>
        <w:autoSpaceDE w:val="0"/>
        <w:autoSpaceDN w:val="0"/>
        <w:snapToGrid w:val="0"/>
        <w:ind w:firstLine="640"/>
        <w:rPr>
          <w:kern w:val="2"/>
          <w:szCs w:val="32"/>
          <w14:ligatures w14:val="standardContextual"/>
        </w:rPr>
      </w:pPr>
      <w:r>
        <w:rPr>
          <w:kern w:val="2"/>
          <w:szCs w:val="32"/>
          <w14:ligatures w14:val="standardContextual"/>
        </w:rPr>
        <w:t>主要包括：募资总规模、募集方式、已确认的出资人和出资金额、意向出资人和出资金额、出资人情况简介。管理机构已取得其他机构出具的投资意向函或证明材料，不少于子基金</w:t>
      </w:r>
      <w:r>
        <w:rPr>
          <w:rFonts w:hint="eastAsia"/>
          <w:kern w:val="2"/>
          <w:szCs w:val="32"/>
          <w14:ligatures w14:val="standardContextual"/>
        </w:rPr>
        <w:t>认缴</w:t>
      </w:r>
      <w:r>
        <w:rPr>
          <w:kern w:val="2"/>
          <w:szCs w:val="32"/>
          <w14:ligatures w14:val="standardContextual"/>
        </w:rPr>
        <w:t>规模</w:t>
      </w:r>
      <w:r>
        <w:rPr>
          <w:rFonts w:hint="eastAsia"/>
          <w:kern w:val="2"/>
          <w:szCs w:val="32"/>
          <w14:ligatures w14:val="standardContextual"/>
        </w:rPr>
        <w:t>中社会出资部分的50%</w:t>
      </w:r>
      <w:r>
        <w:rPr>
          <w:kern w:val="2"/>
          <w:szCs w:val="32"/>
          <w14:ligatures w14:val="standardContextual"/>
        </w:rPr>
        <w:t>。</w:t>
      </w:r>
    </w:p>
    <w:p>
      <w:pPr>
        <w:overflowPunct w:val="0"/>
        <w:autoSpaceDE w:val="0"/>
        <w:autoSpaceDN w:val="0"/>
        <w:snapToGrid w:val="0"/>
        <w:ind w:firstLine="640"/>
        <w:rPr>
          <w:kern w:val="2"/>
          <w:szCs w:val="32"/>
          <w14:ligatures w14:val="standardContextual"/>
        </w:rPr>
      </w:pPr>
      <w:r>
        <w:rPr>
          <w:kern w:val="2"/>
          <w:szCs w:val="32"/>
          <w14:ligatures w14:val="standardContextual"/>
        </w:rPr>
        <w:t>该部分请提供：已确认出资</w:t>
      </w:r>
      <w:r>
        <w:rPr>
          <w:rFonts w:hint="eastAsia"/>
          <w:kern w:val="2"/>
          <w:szCs w:val="32"/>
          <w14:ligatures w14:val="standardContextual"/>
        </w:rPr>
        <w:t>人</w:t>
      </w:r>
      <w:r>
        <w:rPr>
          <w:kern w:val="2"/>
          <w:szCs w:val="32"/>
          <w14:ligatures w14:val="standardContextual"/>
        </w:rPr>
        <w:t>的出资承诺函；意向出资人的投资意向书；已确认出资人及意向出资人的营业执照复印件及合格投资者证明材料等。子基金管理机构的社会化募资情况、募资承诺书。</w:t>
      </w:r>
    </w:p>
    <w:p>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（四）管理方案</w:t>
      </w:r>
    </w:p>
    <w:p>
      <w:pPr>
        <w:overflowPunct w:val="0"/>
        <w:autoSpaceDE w:val="0"/>
        <w:autoSpaceDN w:val="0"/>
        <w:snapToGrid w:val="0"/>
        <w:ind w:firstLine="640"/>
        <w:rPr>
          <w:kern w:val="2"/>
          <w:szCs w:val="32"/>
          <w14:ligatures w14:val="standardContextual"/>
        </w:rPr>
      </w:pPr>
      <w:r>
        <w:rPr>
          <w:kern w:val="2"/>
          <w:szCs w:val="32"/>
          <w14:ligatures w14:val="standardContextual"/>
        </w:rPr>
        <w:t>主要包括：在管基金与申报子基金利益冲突、关联交易等处理原则及方案；员工跟投制度或措施；基金管理费和Carry向管理团队的分配机制，员工激励约束机制等；风险控制机制；项目投后管理方案及可提供的资源和服务；项目储备情况介绍。</w:t>
      </w:r>
    </w:p>
    <w:p>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（五）管理费、门槛收益率及绩效奖励</w:t>
      </w:r>
    </w:p>
    <w:p>
      <w:pPr>
        <w:overflowPunct w:val="0"/>
        <w:autoSpaceDE w:val="0"/>
        <w:autoSpaceDN w:val="0"/>
        <w:snapToGrid w:val="0"/>
        <w:ind w:firstLine="640"/>
        <w:rPr>
          <w:kern w:val="2"/>
          <w:szCs w:val="32"/>
          <w14:ligatures w14:val="standardContextual"/>
        </w:rPr>
      </w:pPr>
      <w:r>
        <w:rPr>
          <w:kern w:val="2"/>
          <w:szCs w:val="32"/>
          <w14:ligatures w14:val="standardContextual"/>
        </w:rPr>
        <w:t>主要包括：管理费方案（如：使用范围、存续期间的提取比例及基数等）；门槛收益率标准、团队超额收益分配比例及合伙人收益分配安排等。</w:t>
      </w:r>
    </w:p>
    <w:p>
      <w:pPr>
        <w:overflowPunct w:val="0"/>
        <w:autoSpaceDE w:val="0"/>
        <w:autoSpaceDN w:val="0"/>
        <w:snapToGrid w:val="0"/>
        <w:ind w:firstLine="643"/>
        <w:rPr>
          <w:kern w:val="2"/>
          <w:szCs w:val="32"/>
          <w14:ligatures w14:val="standardContextual"/>
        </w:rPr>
      </w:pPr>
      <w:r>
        <w:rPr>
          <w:rFonts w:eastAsia="楷体_GB2312"/>
          <w:b/>
          <w:bCs/>
          <w:kern w:val="2"/>
          <w:szCs w:val="32"/>
          <w14:ligatures w14:val="standardContextual"/>
        </w:rPr>
        <w:t>（六）收益分配及退出方案</w:t>
      </w:r>
    </w:p>
    <w:p>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（七）投资决策委员会及成员配备情况（详见附表</w:t>
      </w:r>
      <w:r>
        <w:rPr>
          <w:rFonts w:hint="eastAsia" w:eastAsia="楷体_GB2312"/>
          <w:b/>
          <w:bCs/>
          <w:kern w:val="2"/>
          <w:szCs w:val="32"/>
          <w14:ligatures w14:val="standardContextual"/>
        </w:rPr>
        <w:t>6-</w:t>
      </w:r>
      <w:r>
        <w:rPr>
          <w:rFonts w:eastAsia="楷体_GB2312"/>
          <w:b/>
          <w:bCs/>
          <w:kern w:val="2"/>
          <w:szCs w:val="32"/>
          <w14:ligatures w14:val="standardContextual"/>
        </w:rPr>
        <w:t>7）</w:t>
      </w:r>
    </w:p>
    <w:p>
      <w:pPr>
        <w:overflowPunct w:val="0"/>
        <w:autoSpaceDE w:val="0"/>
        <w:autoSpaceDN w:val="0"/>
        <w:snapToGrid w:val="0"/>
        <w:ind w:firstLine="640"/>
        <w:rPr>
          <w:kern w:val="2"/>
          <w:szCs w:val="32"/>
          <w14:ligatures w14:val="standardContextual"/>
        </w:rPr>
      </w:pPr>
      <w:r>
        <w:rPr>
          <w:kern w:val="2"/>
          <w:szCs w:val="32"/>
          <w14:ligatures w14:val="standardContextual"/>
        </w:rPr>
        <w:t>主要阐述投资决策委员会构成及投资决策机制。</w:t>
      </w:r>
    </w:p>
    <w:p>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（八）项目储备情况</w:t>
      </w:r>
    </w:p>
    <w:p>
      <w:pPr>
        <w:overflowPunct w:val="0"/>
        <w:autoSpaceDE w:val="0"/>
        <w:autoSpaceDN w:val="0"/>
        <w:snapToGrid w:val="0"/>
        <w:ind w:firstLine="640"/>
        <w:rPr>
          <w:kern w:val="2"/>
          <w:szCs w:val="32"/>
          <w14:ligatures w14:val="standardContextual"/>
        </w:rPr>
      </w:pPr>
      <w:r>
        <w:rPr>
          <w:kern w:val="2"/>
          <w:szCs w:val="32"/>
          <w14:ligatures w14:val="standardContextual"/>
        </w:rPr>
        <w:t>主要阐述管理机构在</w:t>
      </w:r>
      <w:r>
        <w:rPr>
          <w:rFonts w:hint="eastAsia"/>
          <w:kern w:val="2"/>
          <w:szCs w:val="32"/>
          <w14:ligatures w14:val="standardContextual"/>
        </w:rPr>
        <w:t>文化</w:t>
      </w:r>
      <w:r>
        <w:rPr>
          <w:kern w:val="2"/>
          <w:szCs w:val="32"/>
          <w14:ligatures w14:val="standardContextual"/>
        </w:rPr>
        <w:t>产业领域的项目储备情况（详见附表6</w:t>
      </w:r>
      <w:r>
        <w:rPr>
          <w:rFonts w:hint="eastAsia"/>
          <w:kern w:val="2"/>
          <w:szCs w:val="32"/>
          <w14:ligatures w14:val="standardContextual"/>
        </w:rPr>
        <w:t>-6</w:t>
      </w:r>
      <w:r>
        <w:rPr>
          <w:kern w:val="2"/>
          <w:szCs w:val="32"/>
          <w14:ligatures w14:val="standardContextual"/>
        </w:rPr>
        <w:t>）以及可落地湖南项目储备情况（详见附表</w:t>
      </w:r>
      <w:r>
        <w:rPr>
          <w:rFonts w:hint="eastAsia"/>
          <w:kern w:val="2"/>
          <w:szCs w:val="32"/>
          <w14:ligatures w14:val="standardContextual"/>
        </w:rPr>
        <w:t>6-</w:t>
      </w:r>
      <w:r>
        <w:rPr>
          <w:kern w:val="2"/>
          <w:szCs w:val="32"/>
          <w14:ligatures w14:val="standardContextual"/>
        </w:rPr>
        <w:t>8）。</w:t>
      </w:r>
    </w:p>
    <w:p>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（九）申报单位认为重要的其他内容</w:t>
      </w:r>
    </w:p>
    <w:p>
      <w:pPr>
        <w:spacing w:after="120"/>
        <w:ind w:firstLine="420"/>
        <w:rPr>
          <w:rFonts w:eastAsia="宋体"/>
          <w:kern w:val="2"/>
          <w:sz w:val="21"/>
          <w14:ligatures w14:val="standardContextual"/>
        </w:rPr>
      </w:pPr>
    </w:p>
    <w:p>
      <w:pPr>
        <w:overflowPunct w:val="0"/>
        <w:autoSpaceDE w:val="0"/>
        <w:autoSpaceDN w:val="0"/>
        <w:snapToGrid w:val="0"/>
        <w:ind w:firstLine="640"/>
        <w:rPr>
          <w:kern w:val="2"/>
          <w:sz w:val="28"/>
          <w:szCs w:val="28"/>
          <w14:ligatures w14:val="standardContextual"/>
        </w:rPr>
      </w:pPr>
      <w:r>
        <w:rPr>
          <w:kern w:val="2"/>
          <w:szCs w:val="32"/>
          <w14:ligatures w14:val="standardContextual"/>
        </w:rPr>
        <w:t>注：以上所有证明材料、情况说明</w:t>
      </w:r>
      <w:r>
        <w:rPr>
          <w:rFonts w:hint="eastAsia"/>
          <w:kern w:val="2"/>
          <w:szCs w:val="32"/>
          <w14:ligatures w14:val="standardContextual"/>
        </w:rPr>
        <w:t>、附表以及</w:t>
      </w:r>
      <w:r>
        <w:rPr>
          <w:kern w:val="2"/>
          <w:szCs w:val="32"/>
          <w14:ligatures w14:val="standardContextual"/>
        </w:rPr>
        <w:t>申报单位自行提供认为重要的其他内容或佐证材料均须加盖申报单位公章</w:t>
      </w:r>
      <w:r>
        <w:rPr>
          <w:rFonts w:hint="eastAsia"/>
          <w:kern w:val="2"/>
          <w:szCs w:val="32"/>
          <w14:ligatures w14:val="standardContextual"/>
        </w:rPr>
        <w:t>（首页章加骑缝章）</w:t>
      </w:r>
      <w:r>
        <w:rPr>
          <w:kern w:val="2"/>
          <w:szCs w:val="32"/>
          <w14:ligatures w14:val="standardContextual"/>
        </w:rPr>
        <w:t>。</w:t>
      </w:r>
    </w:p>
    <w:p>
      <w:pPr>
        <w:overflowPunct w:val="0"/>
        <w:autoSpaceDE w:val="0"/>
        <w:autoSpaceDN w:val="0"/>
        <w:snapToGrid w:val="0"/>
        <w:spacing w:line="520" w:lineRule="exact"/>
        <w:ind w:firstLine="643"/>
        <w:rPr>
          <w:b/>
          <w:kern w:val="2"/>
          <w:szCs w:val="32"/>
          <w14:ligatures w14:val="standardContextual"/>
        </w:rPr>
      </w:pPr>
      <w:r>
        <w:rPr>
          <w:b/>
          <w:kern w:val="2"/>
          <w:szCs w:val="32"/>
          <w14:ligatures w14:val="standardContextual"/>
        </w:rPr>
        <w:br w:type="page"/>
      </w:r>
    </w:p>
    <w:p>
      <w:pPr>
        <w:autoSpaceDE w:val="0"/>
        <w:autoSpaceDN w:val="0"/>
        <w:snapToGrid w:val="0"/>
        <w:ind w:right="-1" w:firstLine="0" w:firstLineChars="0"/>
        <w:rPr>
          <w:rFonts w:eastAsia="宋体"/>
          <w:kern w:val="2"/>
          <w:sz w:val="21"/>
          <w14:ligatures w14:val="standardContextual"/>
        </w:rPr>
      </w:pPr>
      <w:r>
        <w:rPr>
          <w:rFonts w:eastAsia="黑体"/>
          <w:kern w:val="2"/>
          <w:szCs w:val="32"/>
          <w14:ligatures w14:val="standardContextual"/>
        </w:rPr>
        <w:t>附件3</w:t>
      </w:r>
    </w:p>
    <w:p>
      <w:pPr>
        <w:autoSpaceDE w:val="0"/>
        <w:autoSpaceDN w:val="0"/>
        <w:snapToGrid w:val="0"/>
        <w:ind w:firstLine="0" w:firstLineChars="0"/>
        <w:jc w:val="center"/>
        <w:outlineLvl w:val="0"/>
        <w:rPr>
          <w:rFonts w:eastAsia="方正小标宋_GBK"/>
          <w:kern w:val="2"/>
          <w:sz w:val="44"/>
          <w:szCs w:val="44"/>
          <w14:ligatures w14:val="standardContextual"/>
        </w:rPr>
      </w:pPr>
      <w:r>
        <w:rPr>
          <w:rFonts w:eastAsia="方正小标宋_GBK"/>
          <w:kern w:val="2"/>
          <w:sz w:val="44"/>
          <w:szCs w:val="44"/>
          <w14:ligatures w14:val="standardContextual"/>
        </w:rPr>
        <w:t>申 报 承 诺 书</w:t>
      </w:r>
    </w:p>
    <w:p>
      <w:pPr>
        <w:autoSpaceDE w:val="0"/>
        <w:autoSpaceDN w:val="0"/>
        <w:snapToGrid w:val="0"/>
        <w:ind w:right="-1" w:firstLine="629"/>
        <w:rPr>
          <w:rFonts w:eastAsia="仿宋"/>
          <w:spacing w:val="6"/>
          <w:w w:val="95"/>
          <w:kern w:val="2"/>
          <w:szCs w:val="32"/>
          <w14:ligatures w14:val="standardContextual"/>
        </w:rPr>
      </w:pPr>
      <w:bookmarkStart w:id="2" w:name="_Hlk120804515"/>
    </w:p>
    <w:p>
      <w:pPr>
        <w:autoSpaceDE w:val="0"/>
        <w:autoSpaceDN w:val="0"/>
        <w:snapToGrid w:val="0"/>
        <w:ind w:firstLine="605"/>
        <w:rPr>
          <w:kern w:val="2"/>
          <w:szCs w:val="32"/>
          <w14:ligatures w14:val="standardContextual"/>
        </w:rPr>
      </w:pPr>
      <w:r>
        <w:rPr>
          <w:w w:val="95"/>
          <w:kern w:val="2"/>
          <w:szCs w:val="32"/>
          <w14:ligatures w14:val="standardContextual"/>
        </w:rPr>
        <w:t>本单位已了解并响应湖南省</w:t>
      </w:r>
      <w:r>
        <w:rPr>
          <w:rFonts w:hint="eastAsia"/>
          <w:w w:val="95"/>
          <w:kern w:val="2"/>
          <w:szCs w:val="32"/>
          <w14:ligatures w14:val="standardContextual"/>
        </w:rPr>
        <w:t>金芙蓉</w:t>
      </w:r>
      <w:r>
        <w:rPr>
          <w:w w:val="95"/>
          <w:kern w:val="2"/>
          <w:szCs w:val="32"/>
          <w14:ligatures w14:val="standardContextual"/>
        </w:rPr>
        <w:t>产业引导基金</w:t>
      </w:r>
      <w:r>
        <w:rPr>
          <w:rFonts w:hint="eastAsia"/>
          <w:w w:val="95"/>
          <w:kern w:val="2"/>
          <w:szCs w:val="32"/>
          <w14:ligatures w14:val="standardContextual"/>
        </w:rPr>
        <w:t>马栏山文化产业子基金</w:t>
      </w:r>
      <w:r>
        <w:rPr>
          <w:w w:val="95"/>
          <w:kern w:val="2"/>
          <w:szCs w:val="32"/>
          <w14:ligatures w14:val="standardContextual"/>
        </w:rPr>
        <w:t>管理机构</w:t>
      </w:r>
      <w:r>
        <w:rPr>
          <w:kern w:val="2"/>
          <w:szCs w:val="32"/>
          <w14:ligatures w14:val="standardContextual"/>
        </w:rPr>
        <w:t>遴选的相关政策、规定及申报要求，现</w:t>
      </w:r>
      <w:r>
        <w:rPr>
          <w:w w:val="95"/>
          <w:kern w:val="2"/>
          <w:szCs w:val="32"/>
          <w14:ligatures w14:val="standardContextual"/>
        </w:rPr>
        <w:t>向湖南省财信产业基金管理有限公司申请担任</w:t>
      </w:r>
      <w:r>
        <w:rPr>
          <w:rFonts w:hint="eastAsia"/>
          <w:w w:val="95"/>
          <w:kern w:val="2"/>
          <w:szCs w:val="32"/>
          <w14:ligatures w14:val="standardContextual"/>
        </w:rPr>
        <w:t>湖南省金芙蓉产业引导基金马栏山文化产业子基金</w:t>
      </w:r>
      <w:r>
        <w:rPr>
          <w:kern w:val="2"/>
          <w:szCs w:val="32"/>
          <w14:ligatures w14:val="standardContextual"/>
        </w:rPr>
        <w:t>管理机构</w:t>
      </w:r>
      <w:bookmarkEnd w:id="2"/>
      <w:r>
        <w:rPr>
          <w:kern w:val="2"/>
          <w:szCs w:val="32"/>
          <w14:ligatures w14:val="standardContextual"/>
        </w:rPr>
        <w:t>，申请</w:t>
      </w:r>
      <w:r>
        <w:rPr>
          <w:rFonts w:hint="eastAsia"/>
          <w:kern w:val="2"/>
          <w:szCs w:val="32"/>
          <w14:ligatures w14:val="standardContextual"/>
        </w:rPr>
        <w:t>湖南省金芙蓉产业引导基金</w:t>
      </w:r>
      <w:r>
        <w:rPr>
          <w:kern w:val="2"/>
          <w:szCs w:val="32"/>
          <w14:ligatures w14:val="standardContextual"/>
        </w:rPr>
        <w:t>出资___亿元。本单位已认真准备了申报材料，并对本次申报郑重承诺如下：</w:t>
      </w:r>
    </w:p>
    <w:p>
      <w:pPr>
        <w:autoSpaceDE w:val="0"/>
        <w:autoSpaceDN w:val="0"/>
        <w:snapToGrid w:val="0"/>
        <w:ind w:firstLine="640"/>
        <w:rPr>
          <w:kern w:val="2"/>
          <w:szCs w:val="32"/>
          <w14:ligatures w14:val="standardContextual"/>
        </w:rPr>
      </w:pPr>
      <w:r>
        <w:rPr>
          <w:kern w:val="2"/>
          <w:szCs w:val="32"/>
          <w14:ligatures w14:val="standardContextual"/>
        </w:rPr>
        <w:t>一、本单位所提交的申报材料为本单位独立编写，无委托其他机构代编写行为；</w:t>
      </w:r>
    </w:p>
    <w:p>
      <w:pPr>
        <w:autoSpaceDE w:val="0"/>
        <w:autoSpaceDN w:val="0"/>
        <w:snapToGrid w:val="0"/>
        <w:ind w:firstLine="640"/>
        <w:rPr>
          <w:kern w:val="2"/>
          <w:szCs w:val="32"/>
          <w14:ligatures w14:val="standardContextual"/>
        </w:rPr>
      </w:pPr>
      <w:r>
        <w:rPr>
          <w:kern w:val="2"/>
          <w:szCs w:val="32"/>
          <w14:ligatures w14:val="standardContextual"/>
        </w:rPr>
        <w:t>二、本单位所提交的申报材料相关内容完整、真实、准确，无欺瞒和作假行为；</w:t>
      </w:r>
    </w:p>
    <w:p>
      <w:pPr>
        <w:autoSpaceDE w:val="0"/>
        <w:autoSpaceDN w:val="0"/>
        <w:snapToGrid w:val="0"/>
        <w:ind w:firstLine="640"/>
        <w:rPr>
          <w:kern w:val="2"/>
          <w:szCs w:val="32"/>
          <w14:ligatures w14:val="standardContextual"/>
        </w:rPr>
      </w:pPr>
      <w:r>
        <w:rPr>
          <w:kern w:val="2"/>
          <w:szCs w:val="32"/>
          <w14:ligatures w14:val="standardContextual"/>
        </w:rPr>
        <w:t>三、在申报过程中，本单位将积极配合湖南省财信产业基金管理有限公司组织的相关评审和尽职调查等工作。</w:t>
      </w:r>
    </w:p>
    <w:p>
      <w:pPr>
        <w:autoSpaceDE w:val="0"/>
        <w:autoSpaceDN w:val="0"/>
        <w:snapToGrid w:val="0"/>
        <w:ind w:firstLine="640"/>
        <w:rPr>
          <w:kern w:val="2"/>
          <w:szCs w:val="32"/>
          <w14:ligatures w14:val="standardContextual"/>
        </w:rPr>
      </w:pPr>
      <w:r>
        <w:rPr>
          <w:kern w:val="2"/>
          <w:szCs w:val="32"/>
          <w14:ligatures w14:val="standardContextual"/>
        </w:rPr>
        <w:t>如违反上述承诺，本单位愿意承担由此带来的一切后果及相关法律责任。</w:t>
      </w:r>
    </w:p>
    <w:p>
      <w:pPr>
        <w:autoSpaceDE w:val="0"/>
        <w:autoSpaceDN w:val="0"/>
        <w:snapToGrid w:val="0"/>
        <w:ind w:firstLine="640"/>
        <w:rPr>
          <w:kern w:val="2"/>
          <w:szCs w:val="32"/>
          <w14:ligatures w14:val="standardContextual"/>
        </w:rPr>
      </w:pPr>
    </w:p>
    <w:p>
      <w:pPr>
        <w:autoSpaceDE w:val="0"/>
        <w:autoSpaceDN w:val="0"/>
        <w:snapToGrid w:val="0"/>
        <w:spacing w:line="660" w:lineRule="exact"/>
        <w:ind w:firstLine="640"/>
        <w:rPr>
          <w:kern w:val="2"/>
          <w:szCs w:val="32"/>
          <w14:ligatures w14:val="standardContextual"/>
        </w:rPr>
      </w:pPr>
      <w:r>
        <w:rPr>
          <w:kern w:val="2"/>
          <w:szCs w:val="32"/>
          <w14:ligatures w14:val="standardContextual"/>
        </w:rPr>
        <w:t>申请单位：（公章）</w:t>
      </w:r>
    </w:p>
    <w:p>
      <w:pPr>
        <w:autoSpaceDE w:val="0"/>
        <w:autoSpaceDN w:val="0"/>
        <w:snapToGrid w:val="0"/>
        <w:spacing w:line="660" w:lineRule="exact"/>
        <w:ind w:firstLine="640"/>
        <w:rPr>
          <w:kern w:val="2"/>
          <w:szCs w:val="32"/>
          <w14:ligatures w14:val="standardContextual"/>
        </w:rPr>
      </w:pPr>
      <w:r>
        <w:rPr>
          <w:kern w:val="2"/>
          <w:szCs w:val="32"/>
          <w14:ligatures w14:val="standardContextual"/>
        </w:rPr>
        <w:t>法定代表人（或执行事务合伙人委派代表或其授权代表）：</w:t>
      </w:r>
    </w:p>
    <w:p>
      <w:pPr>
        <w:autoSpaceDE w:val="0"/>
        <w:autoSpaceDN w:val="0"/>
        <w:snapToGrid w:val="0"/>
        <w:spacing w:line="660" w:lineRule="exact"/>
        <w:ind w:firstLine="640"/>
        <w:rPr>
          <w:kern w:val="2"/>
          <w:szCs w:val="32"/>
          <w14:ligatures w14:val="standardContextual"/>
        </w:rPr>
      </w:pPr>
      <w:r>
        <w:rPr>
          <w:kern w:val="2"/>
          <w:szCs w:val="32"/>
          <w14:ligatures w14:val="standardContextual"/>
        </w:rPr>
        <w:t>___________（签字）</w:t>
      </w:r>
    </w:p>
    <w:p>
      <w:pPr>
        <w:autoSpaceDE w:val="0"/>
        <w:autoSpaceDN w:val="0"/>
        <w:snapToGrid w:val="0"/>
        <w:spacing w:line="660" w:lineRule="exact"/>
        <w:ind w:firstLine="640"/>
        <w:rPr>
          <w:rFonts w:eastAsia="方正仿宋_GBK"/>
          <w:kern w:val="2"/>
          <w:szCs w:val="32"/>
          <w14:ligatures w14:val="standardContextual"/>
        </w:rPr>
      </w:pPr>
      <w:r>
        <w:rPr>
          <w:kern w:val="2"/>
          <w:szCs w:val="32"/>
          <w14:ligatures w14:val="standardContextual"/>
        </w:rPr>
        <w:t>日期：   年    月    日</w:t>
      </w:r>
    </w:p>
    <w:p>
      <w:pPr>
        <w:spacing w:line="660" w:lineRule="exact"/>
        <w:ind w:firstLine="0" w:firstLineChars="0"/>
        <w:rPr>
          <w:rFonts w:eastAsia="方正仿宋_GBK"/>
          <w:kern w:val="2"/>
          <w:sz w:val="21"/>
          <w:szCs w:val="22"/>
          <w14:ligatures w14:val="standardContextual"/>
        </w:rPr>
      </w:pPr>
      <w:r>
        <w:rPr>
          <w:rFonts w:eastAsia="方正仿宋_GBK"/>
          <w:kern w:val="2"/>
          <w:sz w:val="21"/>
          <w:szCs w:val="22"/>
          <w14:ligatures w14:val="standardContextual"/>
        </w:rPr>
        <w:br w:type="page"/>
      </w:r>
    </w:p>
    <w:p>
      <w:pPr>
        <w:autoSpaceDE w:val="0"/>
        <w:autoSpaceDN w:val="0"/>
        <w:snapToGrid w:val="0"/>
        <w:ind w:right="-1" w:firstLine="0" w:firstLineChars="0"/>
        <w:rPr>
          <w:rFonts w:eastAsia="仿宋"/>
          <w:kern w:val="2"/>
          <w:szCs w:val="32"/>
          <w14:ligatures w14:val="standardContextual"/>
        </w:rPr>
      </w:pPr>
    </w:p>
    <w:p>
      <w:pPr>
        <w:autoSpaceDE w:val="0"/>
        <w:autoSpaceDN w:val="0"/>
        <w:snapToGrid w:val="0"/>
        <w:ind w:firstLine="0" w:firstLineChars="0"/>
        <w:jc w:val="center"/>
        <w:outlineLvl w:val="0"/>
        <w:rPr>
          <w:rFonts w:eastAsia="方正小标宋_GBK"/>
          <w:kern w:val="2"/>
          <w:sz w:val="44"/>
          <w:szCs w:val="44"/>
          <w14:ligatures w14:val="standardContextual"/>
        </w:rPr>
      </w:pPr>
      <w:r>
        <w:rPr>
          <w:rFonts w:eastAsia="方正小标宋_GBK"/>
          <w:kern w:val="2"/>
          <w:sz w:val="44"/>
          <w:szCs w:val="44"/>
          <w14:ligatures w14:val="standardContextual"/>
        </w:rPr>
        <w:t xml:space="preserve">承 诺 </w:t>
      </w:r>
      <w:r>
        <w:rPr>
          <w:rFonts w:hint="eastAsia" w:eastAsia="方正小标宋_GBK"/>
          <w:kern w:val="2"/>
          <w:sz w:val="44"/>
          <w:szCs w:val="44"/>
          <w14:ligatures w14:val="standardContextual"/>
        </w:rPr>
        <w:t>函</w:t>
      </w:r>
    </w:p>
    <w:p>
      <w:pPr>
        <w:tabs>
          <w:tab w:val="left" w:pos="8080"/>
        </w:tabs>
        <w:autoSpaceDE w:val="0"/>
        <w:autoSpaceDN w:val="0"/>
        <w:snapToGrid w:val="0"/>
        <w:ind w:right="1280" w:rightChars="400" w:firstLine="0" w:firstLineChars="0"/>
        <w:rPr>
          <w:rFonts w:eastAsia="仿宋"/>
          <w:kern w:val="2"/>
          <w:sz w:val="28"/>
          <w:szCs w:val="32"/>
          <w14:ligatures w14:val="standardContextual"/>
        </w:rPr>
      </w:pPr>
    </w:p>
    <w:p>
      <w:pPr>
        <w:tabs>
          <w:tab w:val="left" w:pos="8080"/>
        </w:tabs>
        <w:autoSpaceDE w:val="0"/>
        <w:autoSpaceDN w:val="0"/>
        <w:snapToGrid w:val="0"/>
        <w:ind w:firstLine="640"/>
        <w:rPr>
          <w:kern w:val="2"/>
          <w:szCs w:val="32"/>
          <w14:ligatures w14:val="standardContextual"/>
        </w:rPr>
      </w:pPr>
      <w:r>
        <w:rPr>
          <w:rFonts w:hint="eastAsia"/>
          <w:kern w:val="2"/>
          <w:szCs w:val="32"/>
          <w14:ligatures w14:val="standardContextual"/>
        </w:rPr>
        <w:t>本单位已了解并响应湖南省金芙蓉产业引导基金</w:t>
      </w:r>
      <w:r>
        <w:rPr>
          <w:rFonts w:hint="eastAsia"/>
          <w:w w:val="95"/>
          <w:kern w:val="2"/>
          <w:szCs w:val="32"/>
          <w14:ligatures w14:val="standardContextual"/>
        </w:rPr>
        <w:t>马栏山文化产业</w:t>
      </w:r>
      <w:r>
        <w:rPr>
          <w:rFonts w:hint="eastAsia"/>
          <w:kern w:val="2"/>
          <w:szCs w:val="32"/>
          <w14:ligatures w14:val="standardContextual"/>
        </w:rPr>
        <w:t>子基金（以下简称子基金）管理机构遴选的相关政策、规定及申报要求，现向湖南省财信产业基金管理有限公司申请担任子基金管理机构，并对本次申报郑重说明和承诺如下：</w:t>
      </w:r>
    </w:p>
    <w:p>
      <w:pPr>
        <w:tabs>
          <w:tab w:val="left" w:pos="8080"/>
        </w:tabs>
        <w:autoSpaceDE w:val="0"/>
        <w:autoSpaceDN w:val="0"/>
        <w:snapToGrid w:val="0"/>
        <w:ind w:firstLine="640"/>
        <w:rPr>
          <w:kern w:val="2"/>
          <w:szCs w:val="32"/>
          <w14:ligatures w14:val="standardContextual"/>
        </w:rPr>
      </w:pPr>
      <w:r>
        <w:rPr>
          <w:rFonts w:hint="eastAsia"/>
          <w:kern w:val="2"/>
          <w:szCs w:val="32"/>
          <w14:ligatures w14:val="standardContextual"/>
        </w:rPr>
        <w:t>一、本单位已具备中国证券投资基金业协会备案认可的私募基金管理人资质，且实缴注册资本不低于1000万元人民币；</w:t>
      </w:r>
    </w:p>
    <w:p>
      <w:pPr>
        <w:tabs>
          <w:tab w:val="left" w:pos="8080"/>
        </w:tabs>
        <w:autoSpaceDE w:val="0"/>
        <w:autoSpaceDN w:val="0"/>
        <w:snapToGrid w:val="0"/>
        <w:ind w:firstLine="640"/>
        <w:rPr>
          <w:rFonts w:hint="eastAsia" w:eastAsia="仿宋_GB2312"/>
          <w:kern w:val="2"/>
          <w:szCs w:val="32"/>
          <w:lang w:eastAsia="zh-CN"/>
          <w14:ligatures w14:val="standardContextual"/>
        </w:rPr>
      </w:pPr>
      <w:r>
        <w:rPr>
          <w:rFonts w:hint="eastAsia"/>
          <w:kern w:val="2"/>
          <w:szCs w:val="32"/>
          <w14:ligatures w14:val="standardContextual"/>
        </w:rPr>
        <w:t>二、本单位及管理团队主要成员拥有良好的合规记录，无基金业管理相关行政主管部门行政处罚或司法机关刑事处罚的不良记录，且最近三年不存在违法违规行为或被中国证券投资基金业协会列为异常机构或存在不良诚信记录，近一年内不存在管理团队成员大量离职等情形</w:t>
      </w:r>
      <w:r>
        <w:rPr>
          <w:rFonts w:hint="eastAsia"/>
          <w:kern w:val="2"/>
          <w:szCs w:val="32"/>
          <w:lang w:eastAsia="zh-CN"/>
          <w14:ligatures w14:val="standardContextual"/>
        </w:rPr>
        <w:t>；</w:t>
      </w:r>
    </w:p>
    <w:p>
      <w:pPr>
        <w:tabs>
          <w:tab w:val="left" w:pos="8080"/>
        </w:tabs>
        <w:autoSpaceDE w:val="0"/>
        <w:autoSpaceDN w:val="0"/>
        <w:snapToGrid w:val="0"/>
        <w:ind w:firstLine="640"/>
        <w:rPr>
          <w:rFonts w:hint="eastAsia"/>
          <w:kern w:val="2"/>
          <w:szCs w:val="32"/>
          <w14:ligatures w14:val="standardContextual"/>
        </w:rPr>
      </w:pPr>
      <w:r>
        <w:rPr>
          <w:rFonts w:hint="eastAsia"/>
          <w:kern w:val="2"/>
          <w:szCs w:val="32"/>
          <w14:ligatures w14:val="standardContextual"/>
        </w:rPr>
        <w:t>三、</w:t>
      </w:r>
      <w:r>
        <w:rPr>
          <w:rFonts w:hint="eastAsia"/>
          <w:kern w:val="2"/>
          <w:szCs w:val="32"/>
          <w:lang w:val="en-US" w:eastAsia="zh-CN"/>
          <w14:ligatures w14:val="standardContextual"/>
        </w:rPr>
        <w:t>本单位/管理团队开展</w:t>
      </w:r>
      <w:r>
        <w:rPr>
          <w:kern w:val="2"/>
          <w:szCs w:val="32"/>
          <w14:ligatures w14:val="standardContextual"/>
        </w:rPr>
        <w:t>股权投资</w:t>
      </w:r>
      <w:r>
        <w:rPr>
          <w:rFonts w:hint="eastAsia"/>
          <w:kern w:val="2"/>
          <w:szCs w:val="32"/>
          <w:lang w:val="en-US" w:eastAsia="zh-CN"/>
          <w14:ligatures w14:val="standardContextual"/>
        </w:rPr>
        <w:t>相关业务3年以上；</w:t>
      </w:r>
    </w:p>
    <w:p>
      <w:pPr>
        <w:tabs>
          <w:tab w:val="left" w:pos="8080"/>
        </w:tabs>
        <w:autoSpaceDE w:val="0"/>
        <w:autoSpaceDN w:val="0"/>
        <w:snapToGrid w:val="0"/>
        <w:ind w:firstLine="640"/>
        <w:rPr>
          <w:kern w:val="2"/>
          <w:szCs w:val="32"/>
          <w14:ligatures w14:val="standardContextual"/>
        </w:rPr>
      </w:pPr>
      <w:r>
        <w:rPr>
          <w:rFonts w:hint="eastAsia"/>
          <w:kern w:val="2"/>
          <w:szCs w:val="32"/>
          <w:lang w:val="en-US" w:eastAsia="zh-CN"/>
          <w14:ligatures w14:val="standardContextual"/>
        </w:rPr>
        <w:t>四、</w:t>
      </w:r>
      <w:r>
        <w:rPr>
          <w:rFonts w:hint="eastAsia"/>
          <w:kern w:val="2"/>
          <w:szCs w:val="32"/>
          <w14:ligatures w14:val="standardContextual"/>
        </w:rPr>
        <w:t>本单位/管理团队具备5名（含）以上股权投资相关专业人员，其中至少3名具有5年（含）以上相关经验；</w:t>
      </w:r>
    </w:p>
    <w:p>
      <w:pPr>
        <w:tabs>
          <w:tab w:val="left" w:pos="8080"/>
        </w:tabs>
        <w:autoSpaceDE w:val="0"/>
        <w:autoSpaceDN w:val="0"/>
        <w:snapToGrid w:val="0"/>
        <w:ind w:firstLine="640"/>
        <w:rPr>
          <w:kern w:val="2"/>
          <w:szCs w:val="32"/>
          <w14:ligatures w14:val="standardContextual"/>
        </w:rPr>
      </w:pPr>
      <w:r>
        <w:rPr>
          <w:rFonts w:hint="eastAsia"/>
          <w:kern w:val="2"/>
          <w:szCs w:val="32"/>
          <w:lang w:val="en-US" w:eastAsia="zh-CN"/>
          <w14:ligatures w14:val="standardContextual"/>
        </w:rPr>
        <w:t>五</w:t>
      </w:r>
      <w:r>
        <w:rPr>
          <w:rFonts w:hint="eastAsia"/>
          <w:kern w:val="2"/>
          <w:szCs w:val="32"/>
          <w14:ligatures w14:val="standardContextual"/>
        </w:rPr>
        <w:t>、本单位承诺在中选子基金管理机构后的一定时间内在湖南省内设置固定的工作场所，配备常驻管理人员；</w:t>
      </w:r>
    </w:p>
    <w:p>
      <w:pPr>
        <w:tabs>
          <w:tab w:val="left" w:pos="8080"/>
        </w:tabs>
        <w:autoSpaceDE w:val="0"/>
        <w:autoSpaceDN w:val="0"/>
        <w:snapToGrid w:val="0"/>
        <w:ind w:firstLine="640"/>
        <w:rPr>
          <w:kern w:val="2"/>
          <w:szCs w:val="32"/>
          <w14:ligatures w14:val="standardContextual"/>
        </w:rPr>
      </w:pPr>
      <w:r>
        <w:rPr>
          <w:rFonts w:hint="eastAsia"/>
          <w:kern w:val="2"/>
          <w:szCs w:val="32"/>
          <w:lang w:val="en-US" w:eastAsia="zh-CN"/>
          <w14:ligatures w14:val="standardContextual"/>
        </w:rPr>
        <w:t>六</w:t>
      </w:r>
      <w:r>
        <w:rPr>
          <w:rFonts w:hint="eastAsia"/>
          <w:kern w:val="2"/>
          <w:szCs w:val="32"/>
          <w14:ligatures w14:val="standardContextual"/>
        </w:rPr>
        <w:t>、本单位承诺</w:t>
      </w:r>
      <w:r>
        <w:rPr>
          <w:rFonts w:hint="eastAsia"/>
          <w:kern w:val="2"/>
          <w:szCs w:val="32"/>
          <w:lang w:val="en-US" w:eastAsia="zh-CN"/>
          <w14:ligatures w14:val="standardContextual"/>
        </w:rPr>
        <w:t>本单位</w:t>
      </w:r>
      <w:r>
        <w:rPr>
          <w:rFonts w:hint="eastAsia"/>
          <w:kern w:val="2"/>
          <w:szCs w:val="32"/>
          <w14:ligatures w14:val="standardContextual"/>
        </w:rPr>
        <w:t>/管理团队累计管理运营的投资基金不少于3</w:t>
      </w:r>
      <w:r>
        <w:rPr>
          <w:rFonts w:hint="eastAsia"/>
          <w:kern w:val="2"/>
          <w:szCs w:val="32"/>
          <w:lang w:val="en-US" w:eastAsia="zh-CN"/>
          <w14:ligatures w14:val="standardContextual"/>
        </w:rPr>
        <w:t>支</w:t>
      </w:r>
      <w:r>
        <w:rPr>
          <w:rFonts w:hint="eastAsia"/>
          <w:kern w:val="2"/>
          <w:szCs w:val="32"/>
          <w14:ligatures w14:val="standardContextual"/>
        </w:rPr>
        <w:t>且总规模20亿元（含）以上；</w:t>
      </w:r>
      <w:r>
        <w:rPr>
          <w:rFonts w:hint="eastAsia"/>
          <w:kern w:val="2"/>
          <w:szCs w:val="32"/>
          <w:lang w:val="en-US" w:eastAsia="zh-CN"/>
          <w14:ligatures w14:val="standardContextual"/>
        </w:rPr>
        <w:t>本单位</w:t>
      </w:r>
      <w:r>
        <w:rPr>
          <w:rFonts w:hint="eastAsia"/>
          <w:kern w:val="2"/>
          <w:szCs w:val="32"/>
          <w14:ligatures w14:val="standardContextual"/>
        </w:rPr>
        <w:t>具备3个（含）以上投资文化产业领域项目</w:t>
      </w:r>
      <w:bookmarkStart w:id="3" w:name="_GoBack"/>
      <w:bookmarkEnd w:id="3"/>
      <w:r>
        <w:rPr>
          <w:rFonts w:hint="eastAsia"/>
          <w:kern w:val="2"/>
          <w:szCs w:val="32"/>
          <w14:ligatures w14:val="standardContextual"/>
        </w:rPr>
        <w:t>的经验，且投资规模不低于5亿元；具备良好的历史投资业绩，且有</w:t>
      </w:r>
      <w:r>
        <w:rPr>
          <w:rFonts w:hint="eastAsia"/>
          <w:kern w:val="2"/>
          <w:szCs w:val="32"/>
          <w:lang w:val="en-US" w:eastAsia="zh-CN"/>
          <w14:ligatures w14:val="standardContextual"/>
        </w:rPr>
        <w:t>3</w:t>
      </w:r>
      <w:r>
        <w:rPr>
          <w:rFonts w:hint="eastAsia"/>
          <w:kern w:val="2"/>
          <w:szCs w:val="32"/>
          <w14:ligatures w14:val="standardContextual"/>
        </w:rPr>
        <w:t>个（含）以上的文化产业领域成功投资</w:t>
      </w:r>
      <w:r>
        <w:rPr>
          <w:rFonts w:hint="eastAsia"/>
          <w:kern w:val="2"/>
          <w:szCs w:val="32"/>
          <w:lang w:val="en-US" w:eastAsia="zh-CN"/>
          <w14:ligatures w14:val="standardContextual"/>
        </w:rPr>
        <w:t>并退出</w:t>
      </w:r>
      <w:r>
        <w:rPr>
          <w:rFonts w:hint="eastAsia"/>
          <w:kern w:val="2"/>
          <w:szCs w:val="32"/>
          <w14:ligatures w14:val="standardContextual"/>
        </w:rPr>
        <w:t>案例；</w:t>
      </w:r>
    </w:p>
    <w:p>
      <w:pPr>
        <w:tabs>
          <w:tab w:val="left" w:pos="8080"/>
        </w:tabs>
        <w:autoSpaceDE w:val="0"/>
        <w:autoSpaceDN w:val="0"/>
        <w:snapToGrid w:val="0"/>
        <w:ind w:firstLine="640"/>
        <w:rPr>
          <w:rFonts w:hint="eastAsia" w:eastAsia="仿宋_GB2312"/>
          <w:kern w:val="2"/>
          <w:szCs w:val="32"/>
          <w:lang w:eastAsia="zh-CN"/>
          <w14:ligatures w14:val="standardContextual"/>
        </w:rPr>
      </w:pPr>
      <w:r>
        <w:rPr>
          <w:rFonts w:hint="eastAsia"/>
          <w:kern w:val="2"/>
          <w:szCs w:val="32"/>
          <w:lang w:val="en-US" w:eastAsia="zh-CN"/>
          <w14:ligatures w14:val="standardContextual"/>
        </w:rPr>
        <w:t>七</w:t>
      </w:r>
      <w:r>
        <w:rPr>
          <w:rFonts w:hint="eastAsia"/>
          <w:kern w:val="2"/>
          <w:szCs w:val="32"/>
          <w14:ligatures w14:val="standardContextual"/>
        </w:rPr>
        <w:t>、</w:t>
      </w:r>
      <w:r>
        <w:rPr>
          <w:rFonts w:hint="eastAsia"/>
          <w:kern w:val="2"/>
          <w:szCs w:val="32"/>
          <w:lang w:val="en-US" w:eastAsia="zh-CN"/>
          <w14:ligatures w14:val="standardContextual"/>
        </w:rPr>
        <w:t>本单位</w:t>
      </w:r>
      <w:r>
        <w:rPr>
          <w:rFonts w:hint="eastAsia"/>
          <w:kern w:val="2"/>
          <w:szCs w:val="32"/>
          <w14:ligatures w14:val="standardContextual"/>
        </w:rPr>
        <w:t>具有有效的约束激励机制，确保管理团队对其管理的股权基金勤勉尽责</w:t>
      </w:r>
      <w:r>
        <w:rPr>
          <w:rFonts w:hint="eastAsia"/>
          <w:kern w:val="2"/>
          <w:szCs w:val="32"/>
          <w:lang w:eastAsia="zh-CN"/>
          <w14:ligatures w14:val="standardContextual"/>
        </w:rPr>
        <w:t>；</w:t>
      </w:r>
    </w:p>
    <w:p>
      <w:pPr>
        <w:tabs>
          <w:tab w:val="left" w:pos="8080"/>
        </w:tabs>
        <w:autoSpaceDE w:val="0"/>
        <w:autoSpaceDN w:val="0"/>
        <w:snapToGrid w:val="0"/>
        <w:ind w:firstLine="640"/>
        <w:rPr>
          <w:kern w:val="2"/>
          <w:szCs w:val="32"/>
          <w14:ligatures w14:val="standardContextual"/>
        </w:rPr>
      </w:pPr>
      <w:r>
        <w:rPr>
          <w:rFonts w:hint="eastAsia"/>
          <w:kern w:val="2"/>
          <w:szCs w:val="32"/>
          <w:lang w:val="en-US" w:eastAsia="zh-CN"/>
          <w14:ligatures w14:val="standardContextual"/>
        </w:rPr>
        <w:t>八、</w:t>
      </w:r>
      <w:r>
        <w:rPr>
          <w:rFonts w:hint="eastAsia"/>
          <w:kern w:val="2"/>
          <w:szCs w:val="32"/>
          <w14:ligatures w14:val="standardContextual"/>
        </w:rPr>
        <w:t>本单位承诺在提交合作方案时，已建立投资决策、风险控制及财务管理相关制度；</w:t>
      </w:r>
    </w:p>
    <w:p>
      <w:pPr>
        <w:tabs>
          <w:tab w:val="left" w:pos="8080"/>
        </w:tabs>
        <w:autoSpaceDE w:val="0"/>
        <w:autoSpaceDN w:val="0"/>
        <w:snapToGrid w:val="0"/>
        <w:ind w:firstLine="640"/>
        <w:rPr>
          <w:rFonts w:hint="eastAsia" w:eastAsia="仿宋_GB2312"/>
          <w:kern w:val="2"/>
          <w:szCs w:val="32"/>
          <w:lang w:eastAsia="zh-CN"/>
          <w14:ligatures w14:val="standardContextual"/>
        </w:rPr>
      </w:pPr>
      <w:r>
        <w:rPr>
          <w:rFonts w:hint="eastAsia"/>
          <w:kern w:val="2"/>
          <w:szCs w:val="32"/>
          <w:lang w:val="en-US" w:eastAsia="zh-CN"/>
          <w14:ligatures w14:val="standardContextual"/>
        </w:rPr>
        <w:t>九</w:t>
      </w:r>
      <w:r>
        <w:rPr>
          <w:rFonts w:hint="eastAsia"/>
          <w:kern w:val="2"/>
          <w:szCs w:val="32"/>
          <w14:ligatures w14:val="standardContextual"/>
        </w:rPr>
        <w:t>、本单位承诺子基金返投于湖南省内的投资总额不低于湖南省市出资额的1倍，且不低于湖南省金芙蓉产业引导基金出资额的1.2倍</w:t>
      </w:r>
      <w:r>
        <w:rPr>
          <w:rFonts w:hint="eastAsia"/>
          <w:kern w:val="2"/>
          <w:szCs w:val="32"/>
          <w:lang w:eastAsia="zh-CN"/>
          <w14:ligatures w14:val="standardContextual"/>
        </w:rPr>
        <w:t>；</w:t>
      </w:r>
    </w:p>
    <w:p>
      <w:pPr>
        <w:tabs>
          <w:tab w:val="left" w:pos="8080"/>
        </w:tabs>
        <w:autoSpaceDE w:val="0"/>
        <w:autoSpaceDN w:val="0"/>
        <w:snapToGrid w:val="0"/>
        <w:ind w:firstLine="640"/>
        <w:rPr>
          <w:kern w:val="2"/>
          <w:szCs w:val="32"/>
          <w14:ligatures w14:val="standardContextual"/>
        </w:rPr>
      </w:pPr>
      <w:r>
        <w:rPr>
          <w:rFonts w:hint="eastAsia"/>
          <w:kern w:val="2"/>
          <w:szCs w:val="32"/>
          <w14:ligatures w14:val="standardContextual"/>
        </w:rPr>
        <w:t>如违反上述承诺，本单位愿意承担由此带来的一切后果及相关法律责任</w:t>
      </w:r>
      <w:r>
        <w:rPr>
          <w:kern w:val="2"/>
          <w:szCs w:val="32"/>
          <w14:ligatures w14:val="standardContextual"/>
        </w:rPr>
        <w:t>。</w:t>
      </w:r>
    </w:p>
    <w:p>
      <w:pPr>
        <w:tabs>
          <w:tab w:val="left" w:pos="8080"/>
        </w:tabs>
        <w:autoSpaceDE w:val="0"/>
        <w:autoSpaceDN w:val="0"/>
        <w:snapToGrid w:val="0"/>
        <w:ind w:firstLine="640"/>
        <w:rPr>
          <w:kern w:val="2"/>
          <w:szCs w:val="32"/>
          <w14:ligatures w14:val="standardContextual"/>
        </w:rPr>
      </w:pPr>
    </w:p>
    <w:p>
      <w:pPr>
        <w:tabs>
          <w:tab w:val="left" w:pos="8080"/>
        </w:tabs>
        <w:autoSpaceDE w:val="0"/>
        <w:autoSpaceDN w:val="0"/>
        <w:snapToGrid w:val="0"/>
        <w:ind w:right="1280" w:rightChars="400" w:firstLine="640"/>
        <w:rPr>
          <w:kern w:val="2"/>
          <w:szCs w:val="32"/>
          <w14:ligatures w14:val="standardContextual"/>
        </w:rPr>
      </w:pPr>
    </w:p>
    <w:p>
      <w:pPr>
        <w:autoSpaceDE w:val="0"/>
        <w:autoSpaceDN w:val="0"/>
        <w:snapToGrid w:val="0"/>
        <w:spacing w:line="740" w:lineRule="exact"/>
        <w:ind w:firstLine="640"/>
        <w:rPr>
          <w:kern w:val="2"/>
          <w:szCs w:val="32"/>
          <w14:ligatures w14:val="standardContextual"/>
        </w:rPr>
      </w:pPr>
      <w:r>
        <w:rPr>
          <w:kern w:val="2"/>
          <w:szCs w:val="32"/>
          <w14:ligatures w14:val="standardContextual"/>
        </w:rPr>
        <w:t>申请单位：（公章）</w:t>
      </w:r>
    </w:p>
    <w:p>
      <w:pPr>
        <w:tabs>
          <w:tab w:val="left" w:pos="8222"/>
        </w:tabs>
        <w:autoSpaceDE w:val="0"/>
        <w:autoSpaceDN w:val="0"/>
        <w:snapToGrid w:val="0"/>
        <w:spacing w:line="740" w:lineRule="exact"/>
        <w:ind w:firstLine="640"/>
        <w:rPr>
          <w:kern w:val="2"/>
          <w:szCs w:val="32"/>
          <w14:ligatures w14:val="standardContextual"/>
        </w:rPr>
      </w:pPr>
      <w:r>
        <w:rPr>
          <w:kern w:val="2"/>
          <w:szCs w:val="32"/>
          <w14:ligatures w14:val="standardContextual"/>
        </w:rPr>
        <w:t>法定代表人（或执行事务合伙人委派代表或其授权代表）：</w:t>
      </w:r>
    </w:p>
    <w:p>
      <w:pPr>
        <w:autoSpaceDE w:val="0"/>
        <w:autoSpaceDN w:val="0"/>
        <w:snapToGrid w:val="0"/>
        <w:spacing w:line="740" w:lineRule="exact"/>
        <w:ind w:firstLine="640"/>
        <w:rPr>
          <w:kern w:val="2"/>
          <w:szCs w:val="32"/>
          <w14:ligatures w14:val="standardContextual"/>
        </w:rPr>
      </w:pPr>
      <w:r>
        <w:rPr>
          <w:kern w:val="2"/>
          <w:szCs w:val="32"/>
          <w14:ligatures w14:val="standardContextual"/>
        </w:rPr>
        <w:t>___________（签字）</w:t>
      </w:r>
    </w:p>
    <w:p>
      <w:pPr>
        <w:autoSpaceDE w:val="0"/>
        <w:autoSpaceDN w:val="0"/>
        <w:snapToGrid w:val="0"/>
        <w:spacing w:line="740" w:lineRule="exact"/>
        <w:ind w:firstLine="640"/>
        <w:rPr>
          <w:rFonts w:eastAsia="方正仿宋_GBK"/>
          <w:kern w:val="2"/>
          <w:szCs w:val="32"/>
          <w14:ligatures w14:val="standardContextual"/>
        </w:rPr>
      </w:pPr>
      <w:r>
        <w:rPr>
          <w:kern w:val="2"/>
          <w:szCs w:val="32"/>
          <w14:ligatures w14:val="standardContextual"/>
        </w:rPr>
        <w:t>日期： 年  月  日</w:t>
      </w:r>
    </w:p>
    <w:p>
      <w:pPr>
        <w:spacing w:line="240" w:lineRule="auto"/>
        <w:ind w:firstLine="0" w:firstLineChars="0"/>
        <w:rPr>
          <w:rFonts w:eastAsia="方正仿宋_GBK"/>
          <w:kern w:val="2"/>
          <w:sz w:val="21"/>
          <w:szCs w:val="22"/>
          <w14:ligatures w14:val="standardContextual"/>
        </w:rPr>
      </w:pPr>
      <w:r>
        <w:rPr>
          <w:rFonts w:eastAsia="方正仿宋_GBK"/>
          <w:kern w:val="2"/>
          <w:sz w:val="21"/>
          <w:szCs w:val="22"/>
          <w14:ligatures w14:val="standardContextual"/>
        </w:rPr>
        <w:br w:type="page"/>
      </w:r>
    </w:p>
    <w:p>
      <w:pPr>
        <w:autoSpaceDE w:val="0"/>
        <w:autoSpaceDN w:val="0"/>
        <w:snapToGrid w:val="0"/>
        <w:spacing w:line="560" w:lineRule="exact"/>
        <w:ind w:right="205" w:rightChars="64" w:firstLine="0" w:firstLineChars="0"/>
        <w:jc w:val="center"/>
        <w:rPr>
          <w:rFonts w:eastAsia="方正小标宋_GBK"/>
          <w:kern w:val="2"/>
          <w:sz w:val="44"/>
          <w:szCs w:val="44"/>
          <w14:ligatures w14:val="standardContextual"/>
        </w:rPr>
      </w:pPr>
    </w:p>
    <w:p>
      <w:pPr>
        <w:autoSpaceDE w:val="0"/>
        <w:autoSpaceDN w:val="0"/>
        <w:snapToGrid w:val="0"/>
        <w:spacing w:line="540" w:lineRule="exact"/>
        <w:ind w:right="205" w:rightChars="64" w:firstLine="0" w:firstLineChars="0"/>
        <w:jc w:val="center"/>
        <w:outlineLvl w:val="0"/>
        <w:rPr>
          <w:rFonts w:eastAsia="方正小标宋_GBK"/>
          <w:kern w:val="2"/>
          <w:sz w:val="44"/>
          <w:szCs w:val="44"/>
          <w14:ligatures w14:val="standardContextual"/>
        </w:rPr>
      </w:pPr>
      <w:r>
        <w:rPr>
          <w:rFonts w:eastAsia="方正小标宋_GBK"/>
          <w:kern w:val="2"/>
          <w:sz w:val="44"/>
          <w:szCs w:val="44"/>
          <w14:ligatures w14:val="standardContextual"/>
        </w:rPr>
        <w:t>法定代表人授权书</w:t>
      </w:r>
    </w:p>
    <w:p>
      <w:pPr>
        <w:autoSpaceDE w:val="0"/>
        <w:autoSpaceDN w:val="0"/>
        <w:snapToGrid w:val="0"/>
        <w:spacing w:line="540" w:lineRule="exact"/>
        <w:ind w:right="205" w:rightChars="64" w:firstLine="0" w:firstLineChars="0"/>
        <w:jc w:val="center"/>
        <w:rPr>
          <w:rFonts w:eastAsia="方正仿宋_GBK"/>
          <w:kern w:val="2"/>
          <w:sz w:val="44"/>
          <w:szCs w:val="44"/>
          <w14:ligatures w14:val="standardContextual"/>
        </w:rPr>
      </w:pPr>
    </w:p>
    <w:p>
      <w:pPr>
        <w:autoSpaceDE w:val="0"/>
        <w:autoSpaceDN w:val="0"/>
        <w:snapToGrid w:val="0"/>
        <w:spacing w:line="580" w:lineRule="exact"/>
        <w:ind w:firstLine="640"/>
        <w:rPr>
          <w:kern w:val="2"/>
          <w:szCs w:val="32"/>
          <w14:ligatures w14:val="standardContextual"/>
        </w:rPr>
      </w:pPr>
      <w:r>
        <w:rPr>
          <w:kern w:val="2"/>
          <w:szCs w:val="32"/>
          <w14:ligatures w14:val="standardContextual"/>
        </w:rPr>
        <w:t>本授权书声明：________（法定代表人姓名、职务）为______________（单位名称）法定代表人，经单位内部合法程序，兹授权_________（授权委托代理人的姓名、职务）（身份证号码：___________ ）为本单位的授权委托代理人，可代表本单位针对</w:t>
      </w:r>
      <w:r>
        <w:rPr>
          <w:rFonts w:hint="eastAsia"/>
          <w:kern w:val="2"/>
          <w:szCs w:val="32"/>
          <w14:ligatures w14:val="standardContextual"/>
        </w:rPr>
        <w:t>湖南省金芙蓉产业引导基金</w:t>
      </w:r>
      <w:r>
        <w:rPr>
          <w:rFonts w:hint="eastAsia"/>
          <w:w w:val="95"/>
          <w:kern w:val="2"/>
          <w:szCs w:val="32"/>
          <w14:ligatures w14:val="standardContextual"/>
        </w:rPr>
        <w:t>马栏山文化产业</w:t>
      </w:r>
      <w:r>
        <w:rPr>
          <w:rFonts w:hint="eastAsia"/>
          <w:kern w:val="2"/>
          <w:szCs w:val="32"/>
          <w14:ligatures w14:val="standardContextual"/>
        </w:rPr>
        <w:t>子基金</w:t>
      </w:r>
      <w:r>
        <w:rPr>
          <w:kern w:val="2"/>
          <w:szCs w:val="32"/>
          <w14:ligatures w14:val="standardContextual"/>
        </w:rPr>
        <w:t>管理机构遴选项目（以下简称本项目），以本单位名义签署或处理与本项目遴选相关的事务。________（授权委托代理人的姓名）在上述授权范围内的一切行为均代表本单位，本单位承担授权委托代理人行为的全部法律后果。本授权书有效期自____年___月___日到  ____年___月___日。授权委托代理人无转委托权。</w:t>
      </w:r>
    </w:p>
    <w:p>
      <w:pPr>
        <w:autoSpaceDE w:val="0"/>
        <w:autoSpaceDN w:val="0"/>
        <w:snapToGrid w:val="0"/>
        <w:spacing w:line="580" w:lineRule="exact"/>
        <w:ind w:firstLine="640"/>
        <w:rPr>
          <w:kern w:val="2"/>
          <w:szCs w:val="32"/>
          <w14:ligatures w14:val="standardContextual"/>
        </w:rPr>
      </w:pPr>
      <w:r>
        <w:rPr>
          <w:kern w:val="2"/>
          <w:szCs w:val="32"/>
          <w14:ligatures w14:val="standardContextual"/>
        </w:rPr>
        <w:t>特此委托授权。</w:t>
      </w:r>
    </w:p>
    <w:p>
      <w:pPr>
        <w:autoSpaceDE w:val="0"/>
        <w:autoSpaceDN w:val="0"/>
        <w:snapToGrid w:val="0"/>
        <w:spacing w:line="580" w:lineRule="exact"/>
        <w:ind w:firstLine="640"/>
        <w:rPr>
          <w:kern w:val="2"/>
          <w:szCs w:val="32"/>
          <w14:ligatures w14:val="standardContextual"/>
        </w:rPr>
      </w:pPr>
      <w:r>
        <w:rPr>
          <w:kern w:val="2"/>
          <w:szCs w:val="32"/>
          <w14:ligatures w14:val="standardContextual"/>
        </w:rPr>
        <w:t>后附法定代表人身份证复印件（加盖公章）、授权委托代理人身份证复印件（加盖公章）。</w:t>
      </w:r>
    </w:p>
    <w:p>
      <w:pPr>
        <w:tabs>
          <w:tab w:val="left" w:pos="5399"/>
        </w:tabs>
        <w:autoSpaceDE w:val="0"/>
        <w:autoSpaceDN w:val="0"/>
        <w:snapToGrid w:val="0"/>
        <w:spacing w:line="580" w:lineRule="exact"/>
        <w:ind w:firstLine="640"/>
        <w:rPr>
          <w:kern w:val="2"/>
          <w:szCs w:val="32"/>
          <w14:ligatures w14:val="standardContextual"/>
        </w:rPr>
      </w:pPr>
      <w:r>
        <w:rPr>
          <w:kern w:val="2"/>
          <w:szCs w:val="32"/>
          <w14:ligatures w14:val="standardContextual"/>
        </w:rPr>
        <w:t>申报单位：</w:t>
      </w:r>
      <w:r>
        <w:rPr>
          <w:kern w:val="2"/>
          <w:szCs w:val="32"/>
          <w14:ligatures w14:val="standardContextual"/>
        </w:rPr>
        <w:tab/>
      </w:r>
      <w:r>
        <w:rPr>
          <w:kern w:val="2"/>
          <w:szCs w:val="32"/>
          <w14:ligatures w14:val="standardContextual"/>
        </w:rPr>
        <w:t>授权委托代理人：</w:t>
      </w:r>
    </w:p>
    <w:p>
      <w:pPr>
        <w:tabs>
          <w:tab w:val="left" w:pos="5399"/>
        </w:tabs>
        <w:autoSpaceDE w:val="0"/>
        <w:autoSpaceDN w:val="0"/>
        <w:snapToGrid w:val="0"/>
        <w:spacing w:line="580" w:lineRule="exact"/>
        <w:ind w:firstLine="640"/>
        <w:rPr>
          <w:kern w:val="2"/>
          <w:szCs w:val="32"/>
          <w14:ligatures w14:val="standardContextual"/>
        </w:rPr>
      </w:pPr>
      <w:r>
        <w:rPr>
          <w:kern w:val="2"/>
          <w:szCs w:val="32"/>
          <w14:ligatures w14:val="standardContextual"/>
        </w:rPr>
        <w:t>法定代表人签字：</w:t>
      </w:r>
      <w:r>
        <w:rPr>
          <w:kern w:val="2"/>
          <w:szCs w:val="32"/>
          <w14:ligatures w14:val="standardContextual"/>
        </w:rPr>
        <w:tab/>
      </w:r>
      <w:r>
        <w:rPr>
          <w:kern w:val="2"/>
          <w:szCs w:val="32"/>
          <w14:ligatures w14:val="standardContextual"/>
        </w:rPr>
        <w:t>签名：</w:t>
      </w:r>
    </w:p>
    <w:p>
      <w:pPr>
        <w:tabs>
          <w:tab w:val="left" w:pos="5399"/>
        </w:tabs>
        <w:autoSpaceDE w:val="0"/>
        <w:autoSpaceDN w:val="0"/>
        <w:snapToGrid w:val="0"/>
        <w:spacing w:line="580" w:lineRule="exact"/>
        <w:ind w:firstLine="640"/>
        <w:rPr>
          <w:kern w:val="2"/>
          <w:szCs w:val="32"/>
          <w14:ligatures w14:val="standardContextual"/>
        </w:rPr>
      </w:pPr>
      <w:r>
        <w:rPr>
          <w:kern w:val="2"/>
          <w:szCs w:val="32"/>
          <w14:ligatures w14:val="standardContextual"/>
        </w:rPr>
        <w:t>单位公章：</w:t>
      </w:r>
      <w:r>
        <w:rPr>
          <w:kern w:val="2"/>
          <w:szCs w:val="32"/>
          <w14:ligatures w14:val="standardContextual"/>
        </w:rPr>
        <w:tab/>
      </w:r>
      <w:r>
        <w:rPr>
          <w:kern w:val="2"/>
          <w:szCs w:val="32"/>
          <w14:ligatures w14:val="standardContextual"/>
        </w:rPr>
        <w:t>身份证号码：</w:t>
      </w:r>
    </w:p>
    <w:p>
      <w:pPr>
        <w:tabs>
          <w:tab w:val="left" w:pos="5399"/>
        </w:tabs>
        <w:autoSpaceDE w:val="0"/>
        <w:autoSpaceDN w:val="0"/>
        <w:snapToGrid w:val="0"/>
        <w:spacing w:line="580" w:lineRule="exact"/>
        <w:ind w:firstLine="640"/>
        <w:rPr>
          <w:kern w:val="2"/>
          <w:szCs w:val="32"/>
          <w14:ligatures w14:val="standardContextual"/>
        </w:rPr>
      </w:pPr>
      <w:r>
        <w:rPr>
          <w:kern w:val="2"/>
          <w:szCs w:val="32"/>
          <w14:ligatures w14:val="standardContextual"/>
        </w:rPr>
        <w:t>地址：</w:t>
      </w:r>
      <w:r>
        <w:rPr>
          <w:kern w:val="2"/>
          <w:szCs w:val="32"/>
          <w14:ligatures w14:val="standardContextual"/>
        </w:rPr>
        <w:tab/>
      </w:r>
      <w:r>
        <w:rPr>
          <w:kern w:val="2"/>
          <w:szCs w:val="32"/>
          <w14:ligatures w14:val="standardContextual"/>
        </w:rPr>
        <w:t>单位：</w:t>
      </w:r>
    </w:p>
    <w:p>
      <w:pPr>
        <w:tabs>
          <w:tab w:val="left" w:pos="5399"/>
        </w:tabs>
        <w:autoSpaceDE w:val="0"/>
        <w:autoSpaceDN w:val="0"/>
        <w:snapToGrid w:val="0"/>
        <w:spacing w:line="580" w:lineRule="exact"/>
        <w:ind w:firstLine="640"/>
        <w:rPr>
          <w:kern w:val="2"/>
          <w:szCs w:val="32"/>
          <w14:ligatures w14:val="standardContextual"/>
        </w:rPr>
      </w:pPr>
      <w:r>
        <w:rPr>
          <w:kern w:val="2"/>
          <w:szCs w:val="32"/>
          <w14:ligatures w14:val="standardContextual"/>
        </w:rPr>
        <w:t>电话：</w:t>
      </w:r>
      <w:r>
        <w:rPr>
          <w:kern w:val="2"/>
          <w:szCs w:val="32"/>
          <w14:ligatures w14:val="standardContextual"/>
        </w:rPr>
        <w:tab/>
      </w:r>
      <w:r>
        <w:rPr>
          <w:kern w:val="2"/>
          <w:szCs w:val="32"/>
          <w14:ligatures w14:val="standardContextual"/>
        </w:rPr>
        <w:t>联系电话：</w:t>
      </w:r>
    </w:p>
    <w:p>
      <w:pPr>
        <w:autoSpaceDE w:val="0"/>
        <w:autoSpaceDN w:val="0"/>
        <w:snapToGrid w:val="0"/>
        <w:spacing w:line="580" w:lineRule="exact"/>
        <w:ind w:firstLine="4592" w:firstLineChars="1400"/>
        <w:rPr>
          <w:kern w:val="2"/>
          <w:szCs w:val="32"/>
          <w14:ligatures w14:val="standardContextual"/>
        </w:rPr>
      </w:pPr>
      <w:r>
        <w:rPr>
          <w:spacing w:val="4"/>
          <w:kern w:val="2"/>
          <w:szCs w:val="32"/>
          <w14:ligatures w14:val="standardContextual"/>
        </w:rPr>
        <w:t>日期：  年   月  日</w:t>
      </w:r>
    </w:p>
    <w:p>
      <w:pPr>
        <w:autoSpaceDE w:val="0"/>
        <w:autoSpaceDN w:val="0"/>
        <w:snapToGrid w:val="0"/>
        <w:spacing w:line="580" w:lineRule="exact"/>
        <w:ind w:firstLine="663" w:firstLineChars="221"/>
        <w:rPr>
          <w:rFonts w:eastAsia="方正仿宋_GBK"/>
          <w:kern w:val="2"/>
          <w:sz w:val="30"/>
          <w:szCs w:val="30"/>
          <w14:ligatures w14:val="standardContextual"/>
        </w:rPr>
      </w:pPr>
      <w:r>
        <w:rPr>
          <w:kern w:val="2"/>
          <w:sz w:val="30"/>
          <w:szCs w:val="30"/>
          <w14:ligatures w14:val="standardContextual"/>
        </w:rPr>
        <w:t>注：如法定代表人授权他人办理，须按此模板提供委托书。</w:t>
      </w:r>
    </w:p>
    <w:p>
      <w:pPr>
        <w:spacing w:line="240" w:lineRule="auto"/>
        <w:ind w:firstLine="0" w:firstLineChars="0"/>
        <w:rPr>
          <w:rFonts w:eastAsia="方正仿宋_GBK"/>
          <w:kern w:val="2"/>
          <w:szCs w:val="32"/>
          <w14:ligatures w14:val="standardContextual"/>
        </w:rPr>
      </w:pPr>
      <w:r>
        <w:rPr>
          <w:rFonts w:eastAsia="方正仿宋_GBK"/>
          <w:kern w:val="2"/>
          <w:szCs w:val="32"/>
          <w14:ligatures w14:val="standardContextual"/>
        </w:rPr>
        <w:br w:type="page"/>
      </w:r>
    </w:p>
    <w:p>
      <w:pPr>
        <w:autoSpaceDE w:val="0"/>
        <w:autoSpaceDN w:val="0"/>
        <w:snapToGrid w:val="0"/>
        <w:spacing w:line="560" w:lineRule="exact"/>
        <w:ind w:right="-1" w:firstLine="0" w:firstLineChars="0"/>
        <w:rPr>
          <w:rFonts w:eastAsia="黑体"/>
          <w:kern w:val="2"/>
          <w:szCs w:val="32"/>
          <w14:ligatures w14:val="standardContextual"/>
        </w:rPr>
      </w:pPr>
      <w:r>
        <w:rPr>
          <w:rFonts w:eastAsia="黑体"/>
          <w:kern w:val="2"/>
          <w:szCs w:val="32"/>
          <w14:ligatures w14:val="standardContextual"/>
        </w:rPr>
        <w:t>附件4</w:t>
      </w:r>
    </w:p>
    <w:p>
      <w:pPr>
        <w:autoSpaceDE w:val="0"/>
        <w:autoSpaceDN w:val="0"/>
        <w:snapToGrid w:val="0"/>
        <w:spacing w:line="560" w:lineRule="exact"/>
        <w:ind w:right="205" w:rightChars="64" w:firstLine="0" w:firstLineChars="0"/>
        <w:jc w:val="center"/>
        <w:rPr>
          <w:rFonts w:eastAsia="方正小标宋_GBK"/>
          <w:kern w:val="2"/>
          <w:sz w:val="44"/>
          <w:szCs w:val="44"/>
          <w14:ligatures w14:val="standardContextual"/>
        </w:rPr>
      </w:pPr>
    </w:p>
    <w:p>
      <w:pPr>
        <w:autoSpaceDE w:val="0"/>
        <w:autoSpaceDN w:val="0"/>
        <w:snapToGrid w:val="0"/>
        <w:spacing w:line="560" w:lineRule="exact"/>
        <w:ind w:right="205" w:rightChars="64" w:firstLine="0" w:firstLineChars="0"/>
        <w:jc w:val="center"/>
        <w:outlineLvl w:val="0"/>
        <w:rPr>
          <w:rFonts w:eastAsia="方正小标宋_GBK"/>
          <w:kern w:val="2"/>
          <w:sz w:val="44"/>
          <w:szCs w:val="44"/>
          <w14:ligatures w14:val="standardContextual"/>
        </w:rPr>
      </w:pPr>
      <w:r>
        <w:rPr>
          <w:rFonts w:eastAsia="方正小标宋_GBK"/>
          <w:kern w:val="2"/>
          <w:sz w:val="44"/>
          <w:szCs w:val="44"/>
          <w14:ligatures w14:val="standardContextual"/>
        </w:rPr>
        <w:t>穿透核查承诺书</w:t>
      </w:r>
    </w:p>
    <w:p>
      <w:pPr>
        <w:autoSpaceDE w:val="0"/>
        <w:autoSpaceDN w:val="0"/>
        <w:snapToGrid w:val="0"/>
        <w:spacing w:line="560" w:lineRule="exact"/>
        <w:ind w:right="205" w:rightChars="64" w:firstLine="0" w:firstLineChars="0"/>
        <w:jc w:val="center"/>
        <w:rPr>
          <w:rFonts w:eastAsia="华文中宋"/>
          <w:b/>
          <w:bCs/>
          <w:kern w:val="2"/>
          <w:sz w:val="44"/>
          <w:szCs w:val="44"/>
          <w14:ligatures w14:val="standardContextual"/>
        </w:rPr>
      </w:pPr>
    </w:p>
    <w:p>
      <w:pPr>
        <w:autoSpaceDE w:val="0"/>
        <w:autoSpaceDN w:val="0"/>
        <w:snapToGrid w:val="0"/>
        <w:spacing w:line="560" w:lineRule="exact"/>
        <w:ind w:firstLine="640"/>
        <w:jc w:val="left"/>
        <w:rPr>
          <w:szCs w:val="32"/>
          <w14:ligatures w14:val="standardContextual"/>
        </w:rPr>
      </w:pPr>
      <w:r>
        <w:rPr>
          <w:szCs w:val="32"/>
          <w14:ligatures w14:val="standardContextual"/>
        </w:rPr>
        <w:t>本单位已了解并响应</w:t>
      </w:r>
      <w:r>
        <w:rPr>
          <w:rFonts w:hint="eastAsia"/>
          <w:szCs w:val="32"/>
          <w14:ligatures w14:val="standardContextual"/>
        </w:rPr>
        <w:t>湖南省金芙蓉产业引导基金</w:t>
      </w:r>
      <w:r>
        <w:rPr>
          <w:rFonts w:hint="eastAsia"/>
          <w:w w:val="95"/>
          <w:kern w:val="2"/>
          <w:szCs w:val="32"/>
          <w14:ligatures w14:val="standardContextual"/>
        </w:rPr>
        <w:t>马栏山文化产业</w:t>
      </w:r>
      <w:r>
        <w:rPr>
          <w:rFonts w:hint="eastAsia"/>
          <w:szCs w:val="32"/>
          <w14:ligatures w14:val="standardContextual"/>
        </w:rPr>
        <w:t>子基金</w:t>
      </w:r>
      <w:r>
        <w:rPr>
          <w:szCs w:val="32"/>
          <w14:ligatures w14:val="standardContextual"/>
        </w:rPr>
        <w:t>管理机构遴选的相关政策、规定及申报要求，现向湖南省财信产业基金管理有限公司申请担任</w:t>
      </w:r>
      <w:r>
        <w:rPr>
          <w:rFonts w:hint="eastAsia"/>
          <w:szCs w:val="32"/>
          <w14:ligatures w14:val="standardContextual"/>
        </w:rPr>
        <w:t>湖南省金芙蓉产业引导基金</w:t>
      </w:r>
      <w:r>
        <w:rPr>
          <w:rFonts w:hint="eastAsia"/>
          <w:w w:val="95"/>
          <w:kern w:val="2"/>
          <w:szCs w:val="32"/>
          <w14:ligatures w14:val="standardContextual"/>
        </w:rPr>
        <w:t>马栏山文化产业</w:t>
      </w:r>
      <w:r>
        <w:rPr>
          <w:rFonts w:hint="eastAsia"/>
          <w:szCs w:val="32"/>
          <w14:ligatures w14:val="standardContextual"/>
        </w:rPr>
        <w:t>子基金</w:t>
      </w:r>
      <w:r>
        <w:rPr>
          <w:szCs w:val="32"/>
          <w14:ligatures w14:val="standardContextual"/>
        </w:rPr>
        <w:t>管理机构，本单位承诺：</w:t>
      </w:r>
    </w:p>
    <w:p>
      <w:pPr>
        <w:autoSpaceDE w:val="0"/>
        <w:autoSpaceDN w:val="0"/>
        <w:snapToGrid w:val="0"/>
        <w:spacing w:line="560" w:lineRule="exact"/>
        <w:ind w:firstLine="640"/>
        <w:jc w:val="left"/>
        <w:rPr>
          <w:szCs w:val="32"/>
          <w14:ligatures w14:val="standardContextual"/>
        </w:rPr>
      </w:pPr>
      <w:r>
        <w:rPr>
          <w:szCs w:val="32"/>
          <w14:ligatures w14:val="standardContextual"/>
        </w:rPr>
        <w:t>一、已通过信用中国、信用信息公示系统、征信系统、中国裁判文书网、中国基金业协会信息公示等数据库，查询复核本单位及股东（穿透到实际出资方）、实际控制人、关联方及高管人员无涉嫌违法犯罪行为、未受到行业行政监管措施、行政监管处罚以及举报投诉情况。</w:t>
      </w:r>
    </w:p>
    <w:p>
      <w:pPr>
        <w:autoSpaceDE w:val="0"/>
        <w:autoSpaceDN w:val="0"/>
        <w:snapToGrid w:val="0"/>
        <w:spacing w:line="560" w:lineRule="exact"/>
        <w:ind w:firstLine="640"/>
        <w:jc w:val="left"/>
        <w:rPr>
          <w:szCs w:val="32"/>
          <w14:ligatures w14:val="standardContextual"/>
        </w:rPr>
      </w:pPr>
      <w:r>
        <w:rPr>
          <w:rFonts w:hint="eastAsia"/>
          <w:szCs w:val="32"/>
          <w14:ligatures w14:val="standardContextual"/>
        </w:rPr>
        <w:t>二</w:t>
      </w:r>
      <w:r>
        <w:rPr>
          <w:szCs w:val="32"/>
          <w14:ligatures w14:val="standardContextual"/>
        </w:rPr>
        <w:t>、对子基金其他出资方履行穿透核查职责，穿透核查内容参照母基金对本单位穿透核查内容。</w:t>
      </w:r>
    </w:p>
    <w:p>
      <w:pPr>
        <w:autoSpaceDE w:val="0"/>
        <w:autoSpaceDN w:val="0"/>
        <w:snapToGrid w:val="0"/>
        <w:spacing w:line="560" w:lineRule="exact"/>
        <w:ind w:right="-1" w:firstLine="640"/>
        <w:rPr>
          <w:kern w:val="2"/>
          <w:szCs w:val="32"/>
          <w14:ligatures w14:val="standardContextual"/>
        </w:rPr>
      </w:pPr>
      <w:r>
        <w:rPr>
          <w:kern w:val="2"/>
          <w:szCs w:val="32"/>
          <w14:ligatures w14:val="standardContextual"/>
        </w:rPr>
        <w:t xml:space="preserve">如违反上述承诺，本单位愿意承担由此带来的一切后果及相关法律责任。 </w:t>
      </w:r>
    </w:p>
    <w:p>
      <w:pPr>
        <w:autoSpaceDE w:val="0"/>
        <w:autoSpaceDN w:val="0"/>
        <w:snapToGrid w:val="0"/>
        <w:ind w:firstLine="563" w:firstLineChars="176"/>
        <w:jc w:val="left"/>
        <w:rPr>
          <w:szCs w:val="32"/>
          <w14:ligatures w14:val="standardContextual"/>
        </w:rPr>
      </w:pPr>
    </w:p>
    <w:p>
      <w:pPr>
        <w:autoSpaceDE w:val="0"/>
        <w:autoSpaceDN w:val="0"/>
        <w:snapToGrid w:val="0"/>
        <w:spacing w:line="640" w:lineRule="exact"/>
        <w:ind w:right="-1" w:firstLine="640"/>
        <w:rPr>
          <w:kern w:val="2"/>
          <w:szCs w:val="32"/>
          <w14:ligatures w14:val="standardContextual"/>
        </w:rPr>
      </w:pPr>
      <w:r>
        <w:rPr>
          <w:kern w:val="2"/>
          <w:szCs w:val="32"/>
          <w14:ligatures w14:val="standardContextual"/>
        </w:rPr>
        <w:t>申请单位：（公章）</w:t>
      </w:r>
    </w:p>
    <w:p>
      <w:pPr>
        <w:autoSpaceDE w:val="0"/>
        <w:autoSpaceDN w:val="0"/>
        <w:snapToGrid w:val="0"/>
        <w:spacing w:line="640" w:lineRule="exact"/>
        <w:ind w:right="-284" w:firstLine="640"/>
        <w:rPr>
          <w:kern w:val="2"/>
          <w:szCs w:val="32"/>
          <w14:ligatures w14:val="standardContextual"/>
        </w:rPr>
      </w:pPr>
      <w:r>
        <w:rPr>
          <w:kern w:val="2"/>
          <w:szCs w:val="32"/>
          <w14:ligatures w14:val="standardContextual"/>
        </w:rPr>
        <w:t>法定代表人（或执行事务合伙人委派代表或其授权代表）：</w:t>
      </w:r>
    </w:p>
    <w:p>
      <w:pPr>
        <w:autoSpaceDE w:val="0"/>
        <w:autoSpaceDN w:val="0"/>
        <w:snapToGrid w:val="0"/>
        <w:spacing w:line="640" w:lineRule="exact"/>
        <w:ind w:left="-202" w:leftChars="-63" w:right="-1" w:firstLine="771" w:firstLineChars="241"/>
        <w:rPr>
          <w:kern w:val="2"/>
          <w:szCs w:val="32"/>
          <w14:ligatures w14:val="standardContextual"/>
        </w:rPr>
      </w:pPr>
      <w:r>
        <w:rPr>
          <w:kern w:val="2"/>
          <w:szCs w:val="32"/>
          <w14:ligatures w14:val="standardContextual"/>
        </w:rPr>
        <w:t>___________（签字）</w:t>
      </w:r>
    </w:p>
    <w:p>
      <w:pPr>
        <w:autoSpaceDE w:val="0"/>
        <w:autoSpaceDN w:val="0"/>
        <w:snapToGrid w:val="0"/>
        <w:spacing w:line="640" w:lineRule="exact"/>
        <w:ind w:right="-1" w:firstLine="640"/>
        <w:rPr>
          <w:kern w:val="2"/>
          <w:szCs w:val="32"/>
          <w14:ligatures w14:val="standardContextual"/>
        </w:rPr>
      </w:pPr>
      <w:r>
        <w:rPr>
          <w:kern w:val="2"/>
          <w:szCs w:val="32"/>
          <w14:ligatures w14:val="standardContextual"/>
        </w:rPr>
        <w:t>日期：   年    月    日</w:t>
      </w:r>
    </w:p>
    <w:p>
      <w:pPr>
        <w:widowControl/>
        <w:spacing w:line="240" w:lineRule="auto"/>
        <w:ind w:firstLine="0" w:firstLineChars="0"/>
        <w:jc w:val="left"/>
        <w:rPr>
          <w:rFonts w:eastAsia="黑体"/>
          <w:kern w:val="2"/>
          <w:szCs w:val="32"/>
          <w14:ligatures w14:val="standardContextual"/>
        </w:rPr>
      </w:pPr>
      <w:r>
        <w:rPr>
          <w:rFonts w:eastAsia="黑体"/>
          <w:kern w:val="2"/>
          <w:szCs w:val="32"/>
          <w14:ligatures w14:val="standardContextual"/>
        </w:rPr>
        <w:br w:type="page"/>
      </w:r>
    </w:p>
    <w:p>
      <w:pPr>
        <w:autoSpaceDE w:val="0"/>
        <w:autoSpaceDN w:val="0"/>
        <w:snapToGrid w:val="0"/>
        <w:ind w:firstLine="0" w:firstLineChars="0"/>
        <w:rPr>
          <w:rFonts w:eastAsia="黑体"/>
          <w:kern w:val="2"/>
          <w:szCs w:val="32"/>
          <w14:ligatures w14:val="standardContextual"/>
        </w:rPr>
      </w:pPr>
      <w:r>
        <w:rPr>
          <w:rFonts w:eastAsia="黑体"/>
          <w:kern w:val="2"/>
          <w:szCs w:val="32"/>
          <w14:ligatures w14:val="standardContextual"/>
        </w:rPr>
        <w:t>附件5</w:t>
      </w:r>
    </w:p>
    <w:p>
      <w:pPr>
        <w:ind w:firstLine="420"/>
        <w:rPr>
          <w:rFonts w:eastAsia="宋体"/>
          <w:kern w:val="2"/>
          <w:sz w:val="21"/>
          <w14:ligatures w14:val="standardContextual"/>
        </w:rPr>
      </w:pPr>
    </w:p>
    <w:p>
      <w:pPr>
        <w:autoSpaceDE w:val="0"/>
        <w:autoSpaceDN w:val="0"/>
        <w:ind w:firstLine="0" w:firstLineChars="0"/>
        <w:jc w:val="center"/>
        <w:outlineLvl w:val="0"/>
        <w:rPr>
          <w:rFonts w:eastAsia="方正小标宋_GBK"/>
          <w:kern w:val="2"/>
          <w:sz w:val="44"/>
          <w:szCs w:val="44"/>
          <w14:ligatures w14:val="standardContextual"/>
        </w:rPr>
      </w:pPr>
      <w:r>
        <w:rPr>
          <w:rFonts w:eastAsia="方正小标宋_GBK"/>
          <w:kern w:val="2"/>
          <w:sz w:val="44"/>
          <w:szCs w:val="44"/>
          <w14:ligatures w14:val="standardContextual"/>
        </w:rPr>
        <w:t>募资承诺书</w:t>
      </w:r>
    </w:p>
    <w:p>
      <w:pPr>
        <w:autoSpaceDE w:val="0"/>
        <w:autoSpaceDN w:val="0"/>
        <w:snapToGrid w:val="0"/>
        <w:ind w:right="-1" w:firstLine="425" w:firstLineChars="133"/>
        <w:rPr>
          <w:rFonts w:eastAsia="仿宋"/>
          <w:kern w:val="2"/>
          <w:szCs w:val="32"/>
          <w14:ligatures w14:val="standardContextual"/>
        </w:rPr>
      </w:pPr>
    </w:p>
    <w:p>
      <w:pPr>
        <w:autoSpaceDE w:val="0"/>
        <w:autoSpaceDN w:val="0"/>
        <w:snapToGrid w:val="0"/>
        <w:ind w:firstLine="640"/>
        <w:rPr>
          <w:kern w:val="2"/>
          <w:szCs w:val="32"/>
          <w14:ligatures w14:val="standardContextual"/>
        </w:rPr>
      </w:pPr>
      <w:r>
        <w:rPr>
          <w:kern w:val="2"/>
          <w:szCs w:val="32"/>
          <w14:ligatures w14:val="standardContextual"/>
        </w:rPr>
        <w:t>本单位已了解并响应</w:t>
      </w:r>
      <w:r>
        <w:rPr>
          <w:rFonts w:hint="eastAsia"/>
          <w:kern w:val="2"/>
          <w:szCs w:val="32"/>
          <w14:ligatures w14:val="standardContextual"/>
        </w:rPr>
        <w:t>湖南省金芙蓉产业引导基金</w:t>
      </w:r>
      <w:r>
        <w:rPr>
          <w:rFonts w:hint="eastAsia"/>
          <w:w w:val="95"/>
          <w:kern w:val="2"/>
          <w:szCs w:val="32"/>
          <w14:ligatures w14:val="standardContextual"/>
        </w:rPr>
        <w:t>马栏山文化产业</w:t>
      </w:r>
      <w:r>
        <w:rPr>
          <w:rFonts w:hint="eastAsia"/>
          <w:kern w:val="2"/>
          <w:szCs w:val="32"/>
          <w14:ligatures w14:val="standardContextual"/>
        </w:rPr>
        <w:t>子基金</w:t>
      </w:r>
      <w:r>
        <w:rPr>
          <w:kern w:val="2"/>
          <w:szCs w:val="32"/>
          <w14:ligatures w14:val="standardContextual"/>
        </w:rPr>
        <w:t>（</w:t>
      </w:r>
      <w:r>
        <w:rPr>
          <w:rFonts w:hint="eastAsia"/>
          <w:kern w:val="2"/>
          <w:szCs w:val="32"/>
          <w14:ligatures w14:val="standardContextual"/>
        </w:rPr>
        <w:t>以下简称</w:t>
      </w:r>
      <w:r>
        <w:rPr>
          <w:rFonts w:hint="eastAsia"/>
          <w:w w:val="95"/>
          <w:kern w:val="2"/>
          <w:szCs w:val="32"/>
          <w14:ligatures w14:val="standardContextual"/>
        </w:rPr>
        <w:t>马栏山文化产业</w:t>
      </w:r>
      <w:r>
        <w:rPr>
          <w:rFonts w:hint="eastAsia"/>
          <w:kern w:val="2"/>
          <w:szCs w:val="32"/>
          <w14:ligatures w14:val="standardContextual"/>
        </w:rPr>
        <w:t>子基金</w:t>
      </w:r>
      <w:r>
        <w:rPr>
          <w:kern w:val="2"/>
          <w:szCs w:val="32"/>
          <w14:ligatures w14:val="standardContextual"/>
        </w:rPr>
        <w:t>）管理机构遴选的相关政策、规定及申报要求，现向湖南省财信产业基金管理有限公司申请担任</w:t>
      </w:r>
      <w:r>
        <w:rPr>
          <w:rFonts w:hint="eastAsia"/>
          <w:w w:val="95"/>
          <w:kern w:val="2"/>
          <w:szCs w:val="32"/>
          <w14:ligatures w14:val="standardContextual"/>
        </w:rPr>
        <w:t>马栏山文化产业</w:t>
      </w:r>
      <w:r>
        <w:rPr>
          <w:rFonts w:hint="eastAsia"/>
          <w:kern w:val="2"/>
          <w:szCs w:val="32"/>
          <w14:ligatures w14:val="standardContextual"/>
        </w:rPr>
        <w:t>子基金</w:t>
      </w:r>
      <w:r>
        <w:rPr>
          <w:kern w:val="2"/>
          <w:szCs w:val="32"/>
          <w14:ligatures w14:val="standardContextual"/>
        </w:rPr>
        <w:t>管理机构，本单位承诺：</w:t>
      </w:r>
    </w:p>
    <w:p>
      <w:pPr>
        <w:autoSpaceDE w:val="0"/>
        <w:autoSpaceDN w:val="0"/>
        <w:snapToGrid w:val="0"/>
        <w:ind w:firstLine="640"/>
        <w:rPr>
          <w:kern w:val="2"/>
          <w:szCs w:val="32"/>
          <w14:ligatures w14:val="standardContextual"/>
        </w:rPr>
      </w:pPr>
      <w:r>
        <w:rPr>
          <w:kern w:val="2"/>
          <w:szCs w:val="32"/>
          <w14:ligatures w14:val="standardContextual"/>
        </w:rPr>
        <w:t>若中标成为</w:t>
      </w:r>
      <w:r>
        <w:rPr>
          <w:rFonts w:hint="eastAsia"/>
          <w:w w:val="95"/>
          <w:kern w:val="2"/>
          <w:szCs w:val="32"/>
          <w14:ligatures w14:val="standardContextual"/>
        </w:rPr>
        <w:t>马栏山文化产业</w:t>
      </w:r>
      <w:r>
        <w:rPr>
          <w:rFonts w:hint="eastAsia"/>
          <w:kern w:val="2"/>
          <w:szCs w:val="32"/>
          <w14:ligatures w14:val="standardContextual"/>
        </w:rPr>
        <w:t>子基金</w:t>
      </w:r>
      <w:r>
        <w:rPr>
          <w:kern w:val="2"/>
          <w:szCs w:val="32"/>
          <w14:ligatures w14:val="standardContextual"/>
        </w:rPr>
        <w:t>管理机构，子基金最终设立完成时</w:t>
      </w:r>
      <w:r>
        <w:rPr>
          <w:rFonts w:hint="eastAsia"/>
          <w:kern w:val="2"/>
          <w:szCs w:val="32"/>
          <w14:ligatures w14:val="standardContextual"/>
        </w:rPr>
        <w:t>社会化</w:t>
      </w:r>
      <w:r>
        <w:rPr>
          <w:kern w:val="2"/>
          <w:szCs w:val="32"/>
          <w14:ligatures w14:val="standardContextual"/>
        </w:rPr>
        <w:t>募资比例不低于申报材料里承诺的比例。</w:t>
      </w:r>
    </w:p>
    <w:p>
      <w:pPr>
        <w:autoSpaceDE w:val="0"/>
        <w:autoSpaceDN w:val="0"/>
        <w:snapToGrid w:val="0"/>
        <w:ind w:firstLine="640"/>
        <w:rPr>
          <w:kern w:val="2"/>
          <w:szCs w:val="32"/>
          <w14:ligatures w14:val="standardContextual"/>
        </w:rPr>
      </w:pPr>
      <w:r>
        <w:rPr>
          <w:kern w:val="2"/>
          <w:szCs w:val="32"/>
          <w14:ligatures w14:val="standardContextual"/>
        </w:rPr>
        <w:t>如违反上述承诺，本单位愿意承担由此带来的一切后果及相关法律责任。</w:t>
      </w:r>
    </w:p>
    <w:p>
      <w:pPr>
        <w:autoSpaceDE w:val="0"/>
        <w:autoSpaceDN w:val="0"/>
        <w:snapToGrid w:val="0"/>
        <w:ind w:firstLine="640"/>
        <w:rPr>
          <w:kern w:val="2"/>
          <w:szCs w:val="32"/>
          <w14:ligatures w14:val="standardContextual"/>
        </w:rPr>
      </w:pPr>
    </w:p>
    <w:p>
      <w:pPr>
        <w:autoSpaceDE w:val="0"/>
        <w:autoSpaceDN w:val="0"/>
        <w:snapToGrid w:val="0"/>
        <w:ind w:firstLine="640"/>
        <w:rPr>
          <w:kern w:val="2"/>
          <w:szCs w:val="32"/>
          <w14:ligatures w14:val="standardContextual"/>
        </w:rPr>
      </w:pPr>
    </w:p>
    <w:p>
      <w:pPr>
        <w:autoSpaceDE w:val="0"/>
        <w:autoSpaceDN w:val="0"/>
        <w:snapToGrid w:val="0"/>
        <w:ind w:firstLine="640"/>
        <w:rPr>
          <w:kern w:val="2"/>
          <w:szCs w:val="32"/>
          <w14:ligatures w14:val="standardContextual"/>
        </w:rPr>
      </w:pPr>
      <w:r>
        <w:rPr>
          <w:kern w:val="2"/>
          <w:szCs w:val="32"/>
          <w14:ligatures w14:val="standardContextual"/>
        </w:rPr>
        <w:t>申请单位：（公章）</w:t>
      </w:r>
    </w:p>
    <w:p>
      <w:pPr>
        <w:autoSpaceDE w:val="0"/>
        <w:autoSpaceDN w:val="0"/>
        <w:snapToGrid w:val="0"/>
        <w:ind w:firstLine="640"/>
        <w:rPr>
          <w:kern w:val="2"/>
          <w:szCs w:val="32"/>
          <w14:ligatures w14:val="standardContextual"/>
        </w:rPr>
      </w:pPr>
      <w:r>
        <w:rPr>
          <w:kern w:val="2"/>
          <w:szCs w:val="32"/>
          <w14:ligatures w14:val="standardContextual"/>
        </w:rPr>
        <w:t>法定代表人（或执行事务合伙人委派代表或其授权代表）：</w:t>
      </w:r>
    </w:p>
    <w:p>
      <w:pPr>
        <w:autoSpaceDE w:val="0"/>
        <w:autoSpaceDN w:val="0"/>
        <w:snapToGrid w:val="0"/>
        <w:ind w:firstLine="640"/>
        <w:rPr>
          <w:kern w:val="2"/>
          <w:szCs w:val="32"/>
          <w14:ligatures w14:val="standardContextual"/>
        </w:rPr>
      </w:pPr>
      <w:r>
        <w:rPr>
          <w:kern w:val="2"/>
          <w:szCs w:val="32"/>
          <w14:ligatures w14:val="standardContextual"/>
        </w:rPr>
        <w:t>___________（签字）</w:t>
      </w:r>
    </w:p>
    <w:p>
      <w:pPr>
        <w:autoSpaceDE w:val="0"/>
        <w:autoSpaceDN w:val="0"/>
        <w:snapToGrid w:val="0"/>
        <w:ind w:firstLine="640"/>
        <w:rPr>
          <w:kern w:val="2"/>
          <w:szCs w:val="32"/>
          <w14:ligatures w14:val="standardContextual"/>
        </w:rPr>
      </w:pPr>
      <w:r>
        <w:rPr>
          <w:kern w:val="2"/>
          <w:szCs w:val="32"/>
          <w14:ligatures w14:val="standardContextual"/>
        </w:rPr>
        <w:t>日期：   年    月    日</w:t>
      </w:r>
    </w:p>
    <w:p>
      <w:pPr>
        <w:spacing w:line="240" w:lineRule="auto"/>
        <w:ind w:firstLine="0" w:firstLineChars="0"/>
        <w:rPr>
          <w:b/>
          <w:kern w:val="2"/>
          <w:szCs w:val="32"/>
          <w14:ligatures w14:val="standardContextual"/>
        </w:rPr>
      </w:pPr>
    </w:p>
    <w:p>
      <w:pPr>
        <w:ind w:firstLine="640"/>
        <w:sectPr>
          <w:footerReference r:id="rId7" w:type="default"/>
          <w:pgSz w:w="11906" w:h="16838"/>
          <w:pgMar w:top="1417" w:right="1588" w:bottom="1417" w:left="1588" w:header="851" w:footer="1304" w:gutter="0"/>
          <w:pgNumType w:fmt="numberInDash"/>
          <w:cols w:space="0" w:num="1"/>
          <w:docGrid w:type="lines" w:linePitch="312" w:charSpace="0"/>
        </w:sectPr>
      </w:pPr>
    </w:p>
    <w:p>
      <w:pPr>
        <w:widowControl/>
        <w:spacing w:line="240" w:lineRule="auto"/>
        <w:ind w:firstLine="0" w:firstLineChars="0"/>
        <w:textAlignment w:val="center"/>
        <w:rPr>
          <w:rFonts w:hint="eastAsia" w:ascii="黑体" w:hAnsi="黑体" w:eastAsia="黑体" w:cs="黑体"/>
          <w:szCs w:val="32"/>
          <w:lang w:bidi="ar"/>
          <w14:ligatures w14:val="standardContextual"/>
        </w:rPr>
      </w:pPr>
      <w:r>
        <w:rPr>
          <w:rFonts w:hint="eastAsia" w:ascii="黑体" w:hAnsi="黑体" w:eastAsia="黑体" w:cs="黑体"/>
          <w:szCs w:val="32"/>
          <w:lang w:bidi="ar"/>
          <w14:ligatures w14:val="standardContextual"/>
        </w:rPr>
        <w:t>附表</w:t>
      </w:r>
      <w:r>
        <w:rPr>
          <w:rFonts w:ascii="黑体" w:hAnsi="黑体" w:eastAsia="黑体" w:cs="黑体"/>
          <w:szCs w:val="32"/>
          <w:lang w:bidi="ar"/>
          <w14:ligatures w14:val="standardContextual"/>
        </w:rPr>
        <w:t>6</w:t>
      </w:r>
      <w:r>
        <w:rPr>
          <w:rFonts w:hint="eastAsia" w:ascii="黑体" w:hAnsi="黑体" w:eastAsia="黑体" w:cs="黑体"/>
          <w:szCs w:val="32"/>
          <w:lang w:bidi="ar"/>
          <w14:ligatures w14:val="standardContextual"/>
        </w:rPr>
        <w:t>-1</w:t>
      </w:r>
    </w:p>
    <w:p>
      <w:pPr>
        <w:widowControl/>
        <w:spacing w:line="240" w:lineRule="auto"/>
        <w:ind w:firstLine="0" w:firstLineChars="0"/>
        <w:jc w:val="center"/>
        <w:textAlignment w:val="center"/>
        <w:rPr>
          <w:rFonts w:hint="eastAsia" w:ascii="方正小标宋_GBK" w:hAnsi="方正小标宋_GBK" w:eastAsia="方正小标宋_GBK" w:cs="方正小标宋_GBK"/>
          <w:kern w:val="2"/>
          <w:sz w:val="36"/>
          <w:szCs w:val="36"/>
          <w14:ligatures w14:val="standardContextual"/>
        </w:rPr>
      </w:pPr>
      <w:r>
        <w:rPr>
          <w:rFonts w:hint="eastAsia" w:ascii="方正小标宋_GBK" w:hAnsi="方正小标宋_GBK" w:eastAsia="方正小标宋_GBK" w:cs="方正小标宋_GBK"/>
          <w:sz w:val="36"/>
          <w:szCs w:val="36"/>
          <w:lang w:bidi="ar"/>
          <w14:ligatures w14:val="standardContextual"/>
        </w:rPr>
        <w:t>子基金管理机构申请简表</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80"/>
        <w:gridCol w:w="2482"/>
        <w:gridCol w:w="2051"/>
        <w:gridCol w:w="3490"/>
        <w:gridCol w:w="3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000" w:type="pct"/>
            <w:gridSpan w:val="5"/>
            <w:tcBorders>
              <w:tl2br w:val="nil"/>
              <w:tr2bl w:val="nil"/>
            </w:tcBorders>
            <w:shd w:val="clear" w:color="auto" w:fill="auto"/>
            <w:vAlign w:val="center"/>
          </w:tcPr>
          <w:p>
            <w:pPr>
              <w:widowControl/>
              <w:spacing w:line="240" w:lineRule="auto"/>
              <w:ind w:firstLine="0" w:firstLineChars="0"/>
              <w:jc w:val="left"/>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一、基本情况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机构名称</w:t>
            </w:r>
          </w:p>
        </w:tc>
        <w:tc>
          <w:tcPr>
            <w:tcW w:w="1594" w:type="pct"/>
            <w:gridSpan w:val="2"/>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注册日期</w:t>
            </w:r>
          </w:p>
        </w:tc>
        <w:tc>
          <w:tcPr>
            <w:tcW w:w="1130" w:type="pct"/>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注册资本</w:t>
            </w:r>
          </w:p>
        </w:tc>
        <w:tc>
          <w:tcPr>
            <w:tcW w:w="1594" w:type="pct"/>
            <w:gridSpan w:val="2"/>
            <w:tcBorders>
              <w:tl2br w:val="nil"/>
              <w:tr2bl w:val="nil"/>
            </w:tcBorders>
            <w:shd w:val="clear" w:color="auto" w:fill="auto"/>
            <w:vAlign w:val="center"/>
          </w:tcPr>
          <w:p>
            <w:pPr>
              <w:widowControl/>
              <w:spacing w:line="240" w:lineRule="auto"/>
              <w:ind w:firstLine="0" w:firstLineChars="0"/>
              <w:jc w:val="left"/>
              <w:textAlignment w:val="center"/>
              <w:rPr>
                <w:rFonts w:hint="eastAsia" w:ascii="仿宋_GB2312" w:hAnsi="仿宋_GB2312" w:cs="仿宋_GB2312"/>
                <w:i/>
                <w:iCs/>
                <w:kern w:val="2"/>
                <w:sz w:val="21"/>
                <w:szCs w:val="21"/>
                <w14:ligatures w14:val="standardContextual"/>
              </w:rPr>
            </w:pPr>
            <w:r>
              <w:rPr>
                <w:rFonts w:hint="eastAsia" w:ascii="仿宋_GB2312" w:hAnsi="仿宋_GB2312" w:cs="仿宋_GB2312"/>
                <w:i/>
                <w:iCs/>
                <w:sz w:val="21"/>
                <w:szCs w:val="21"/>
                <w:lang w:bidi="ar"/>
                <w14:ligatures w14:val="standardContextual"/>
              </w:rPr>
              <w:t>（证明材料：营业执照；对应页码：第XX页）</w:t>
            </w:r>
          </w:p>
        </w:tc>
        <w:tc>
          <w:tcPr>
            <w:tcW w:w="1227"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其中实缴货币出资</w:t>
            </w:r>
          </w:p>
        </w:tc>
        <w:tc>
          <w:tcPr>
            <w:tcW w:w="1130" w:type="pct"/>
            <w:tcBorders>
              <w:tl2br w:val="nil"/>
              <w:tr2bl w:val="nil"/>
            </w:tcBorders>
            <w:shd w:val="clear" w:color="auto" w:fill="auto"/>
            <w:vAlign w:val="center"/>
          </w:tcPr>
          <w:p>
            <w:pPr>
              <w:widowControl/>
              <w:spacing w:line="240" w:lineRule="auto"/>
              <w:ind w:firstLine="0" w:firstLineChars="0"/>
              <w:jc w:val="left"/>
              <w:textAlignment w:val="center"/>
              <w:rPr>
                <w:rFonts w:hint="eastAsia" w:ascii="仿宋_GB2312" w:hAnsi="仿宋_GB2312" w:cs="仿宋_GB2312"/>
                <w:i/>
                <w:iCs/>
                <w:kern w:val="2"/>
                <w:sz w:val="21"/>
                <w:szCs w:val="21"/>
                <w14:ligatures w14:val="standardContextual"/>
              </w:rPr>
            </w:pPr>
            <w:r>
              <w:rPr>
                <w:rFonts w:hint="eastAsia" w:ascii="仿宋_GB2312" w:hAnsi="仿宋_GB2312" w:cs="仿宋_GB2312"/>
                <w:i/>
                <w:iCs/>
                <w:sz w:val="21"/>
                <w:szCs w:val="21"/>
                <w:lang w:bidi="ar"/>
                <w14:ligatures w14:val="standardContextual"/>
              </w:rPr>
              <w:t>（证明材料：银行转款凭证或验资报告）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统一社会信用代码</w:t>
            </w:r>
          </w:p>
        </w:tc>
        <w:tc>
          <w:tcPr>
            <w:tcW w:w="1594" w:type="pct"/>
            <w:gridSpan w:val="2"/>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法定代表人</w:t>
            </w:r>
          </w:p>
        </w:tc>
        <w:tc>
          <w:tcPr>
            <w:tcW w:w="1130" w:type="pct"/>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注册地址</w:t>
            </w:r>
          </w:p>
        </w:tc>
        <w:tc>
          <w:tcPr>
            <w:tcW w:w="1594" w:type="pct"/>
            <w:gridSpan w:val="2"/>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拟申请母基金出资份额</w:t>
            </w:r>
          </w:p>
        </w:tc>
        <w:tc>
          <w:tcPr>
            <w:tcW w:w="1130" w:type="pct"/>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通讯地址</w:t>
            </w:r>
          </w:p>
        </w:tc>
        <w:tc>
          <w:tcPr>
            <w:tcW w:w="1594" w:type="pct"/>
            <w:gridSpan w:val="2"/>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管理人登记时间</w:t>
            </w:r>
          </w:p>
        </w:tc>
        <w:tc>
          <w:tcPr>
            <w:tcW w:w="1130" w:type="pct"/>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网址</w:t>
            </w:r>
          </w:p>
        </w:tc>
        <w:tc>
          <w:tcPr>
            <w:tcW w:w="1594" w:type="pct"/>
            <w:gridSpan w:val="2"/>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管理人登记编号</w:t>
            </w:r>
          </w:p>
        </w:tc>
        <w:tc>
          <w:tcPr>
            <w:tcW w:w="1130" w:type="pct"/>
            <w:tcBorders>
              <w:tl2br w:val="nil"/>
              <w:tr2bl w:val="nil"/>
            </w:tcBorders>
            <w:shd w:val="clear" w:color="auto" w:fill="auto"/>
            <w:vAlign w:val="center"/>
          </w:tcPr>
          <w:p>
            <w:pPr>
              <w:widowControl/>
              <w:spacing w:line="240" w:lineRule="auto"/>
              <w:ind w:firstLine="0" w:firstLineChars="0"/>
              <w:jc w:val="left"/>
              <w:textAlignment w:val="center"/>
              <w:rPr>
                <w:rFonts w:hint="eastAsia" w:ascii="仿宋_GB2312" w:hAnsi="仿宋_GB2312" w:cs="仿宋_GB2312"/>
                <w:i/>
                <w:iCs/>
                <w:kern w:val="2"/>
                <w:sz w:val="21"/>
                <w:szCs w:val="21"/>
                <w14:ligatures w14:val="standardContextual"/>
              </w:rPr>
            </w:pPr>
            <w:r>
              <w:rPr>
                <w:rFonts w:hint="eastAsia" w:ascii="仿宋_GB2312" w:hAnsi="仿宋_GB2312" w:cs="仿宋_GB2312"/>
                <w:i/>
                <w:iCs/>
                <w:sz w:val="21"/>
                <w:szCs w:val="21"/>
                <w:lang w:bidi="ar"/>
                <w14:ligatures w14:val="standardContextual"/>
              </w:rPr>
              <w:t xml:space="preserve"> （证明材料：网站截图或其他材料；对应页码：第XX页）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申报联系人</w:t>
            </w:r>
          </w:p>
        </w:tc>
        <w:tc>
          <w:tcPr>
            <w:tcW w:w="1594" w:type="pct"/>
            <w:gridSpan w:val="2"/>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手机</w:t>
            </w:r>
          </w:p>
        </w:tc>
        <w:tc>
          <w:tcPr>
            <w:tcW w:w="1130" w:type="pct"/>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邮箱地址</w:t>
            </w:r>
          </w:p>
        </w:tc>
        <w:tc>
          <w:tcPr>
            <w:tcW w:w="1594" w:type="pct"/>
            <w:gridSpan w:val="2"/>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职工人数</w:t>
            </w:r>
          </w:p>
        </w:tc>
        <w:tc>
          <w:tcPr>
            <w:tcW w:w="1130" w:type="pct"/>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是否已在湖南设立独立机构或区域办公室</w:t>
            </w:r>
          </w:p>
        </w:tc>
        <w:tc>
          <w:tcPr>
            <w:tcW w:w="1594" w:type="pct"/>
            <w:gridSpan w:val="2"/>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预计在湖南设立独立机构或区域办公室的时间（如需）</w:t>
            </w:r>
          </w:p>
        </w:tc>
        <w:tc>
          <w:tcPr>
            <w:tcW w:w="1130" w:type="pct"/>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000" w:type="pct"/>
            <w:gridSpan w:val="5"/>
            <w:tcBorders>
              <w:tl2br w:val="nil"/>
              <w:tr2bl w:val="nil"/>
            </w:tcBorders>
            <w:shd w:val="clear" w:color="auto" w:fill="auto"/>
            <w:vAlign w:val="center"/>
          </w:tcPr>
          <w:p>
            <w:pPr>
              <w:widowControl/>
              <w:spacing w:line="240" w:lineRule="auto"/>
              <w:ind w:firstLine="0" w:firstLineChars="0"/>
              <w:jc w:val="left"/>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二、管理能力及基金运营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累计在湖南投资项目数量（个）</w:t>
            </w:r>
          </w:p>
        </w:tc>
        <w:tc>
          <w:tcPr>
            <w:tcW w:w="1594" w:type="pct"/>
            <w:gridSpan w:val="2"/>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累计在湖南投资项目金额（亿元）</w:t>
            </w:r>
          </w:p>
        </w:tc>
        <w:tc>
          <w:tcPr>
            <w:tcW w:w="1130" w:type="pct"/>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累计已退出项目的数量（个）</w:t>
            </w:r>
          </w:p>
        </w:tc>
        <w:tc>
          <w:tcPr>
            <w:tcW w:w="1594" w:type="pct"/>
            <w:gridSpan w:val="2"/>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已退出项目的数量占全部已投项目数量的比重（%）</w:t>
            </w:r>
          </w:p>
        </w:tc>
        <w:tc>
          <w:tcPr>
            <w:tcW w:w="1130" w:type="pct"/>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sz w:val="21"/>
                <w:szCs w:val="21"/>
                <w:lang w:bidi="ar"/>
                <w14:ligatures w14:val="standardContextual"/>
              </w:rPr>
            </w:pPr>
            <w:r>
              <w:rPr>
                <w:rFonts w:hint="eastAsia" w:ascii="仿宋_GB2312" w:hAnsi="仿宋_GB2312" w:cs="仿宋_GB2312"/>
                <w:sz w:val="21"/>
                <w:szCs w:val="21"/>
                <w:lang w:bidi="ar"/>
                <w14:ligatures w14:val="standardContextual"/>
              </w:rPr>
              <w:t>累计已退出项目的平均</w:t>
            </w:r>
          </w:p>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收益率（%）</w:t>
            </w:r>
          </w:p>
        </w:tc>
        <w:tc>
          <w:tcPr>
            <w:tcW w:w="1594" w:type="pct"/>
            <w:gridSpan w:val="2"/>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累计已IPO项目数量（个）</w:t>
            </w:r>
          </w:p>
        </w:tc>
        <w:tc>
          <w:tcPr>
            <w:tcW w:w="1130" w:type="pct"/>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sz w:val="21"/>
                <w:szCs w:val="21"/>
                <w:lang w:bidi="ar"/>
                <w14:ligatures w14:val="standardContextual"/>
              </w:rPr>
            </w:pPr>
            <w:r>
              <w:rPr>
                <w:rFonts w:hint="eastAsia" w:ascii="仿宋_GB2312" w:hAnsi="仿宋_GB2312" w:cs="仿宋_GB2312"/>
                <w:sz w:val="21"/>
                <w:szCs w:val="21"/>
                <w:lang w:bidi="ar"/>
                <w14:ligatures w14:val="standardContextual"/>
              </w:rPr>
              <w:t>入选行业权威榜单排名</w:t>
            </w:r>
          </w:p>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（如有）</w:t>
            </w:r>
          </w:p>
        </w:tc>
        <w:tc>
          <w:tcPr>
            <w:tcW w:w="1594" w:type="pct"/>
            <w:gridSpan w:val="2"/>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文化产业领域已投早期项目（B轮及B轮以前）数量（个）</w:t>
            </w:r>
          </w:p>
        </w:tc>
        <w:tc>
          <w:tcPr>
            <w:tcW w:w="1130" w:type="pct"/>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是否承诺提供项目跟投机会</w:t>
            </w:r>
          </w:p>
        </w:tc>
        <w:tc>
          <w:tcPr>
            <w:tcW w:w="1594" w:type="pct"/>
            <w:gridSpan w:val="2"/>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项目储备数量（个）</w:t>
            </w:r>
          </w:p>
        </w:tc>
        <w:tc>
          <w:tcPr>
            <w:tcW w:w="1130" w:type="pct"/>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000" w:type="pct"/>
            <w:gridSpan w:val="5"/>
            <w:tcBorders>
              <w:tl2br w:val="nil"/>
              <w:tr2bl w:val="nil"/>
            </w:tcBorders>
            <w:shd w:val="clear" w:color="auto" w:fill="auto"/>
            <w:vAlign w:val="center"/>
          </w:tcPr>
          <w:p>
            <w:pPr>
              <w:widowControl/>
              <w:spacing w:line="240" w:lineRule="auto"/>
              <w:ind w:firstLine="0" w:firstLineChars="0"/>
              <w:jc w:val="left"/>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三、管理机构股东情况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序号</w:t>
            </w:r>
          </w:p>
        </w:tc>
        <w:tc>
          <w:tcPr>
            <w:tcW w:w="873"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股东名称</w:t>
            </w:r>
          </w:p>
        </w:tc>
        <w:tc>
          <w:tcPr>
            <w:tcW w:w="721"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出资比例</w:t>
            </w:r>
          </w:p>
        </w:tc>
        <w:tc>
          <w:tcPr>
            <w:tcW w:w="1227"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出资方式</w:t>
            </w:r>
          </w:p>
        </w:tc>
        <w:tc>
          <w:tcPr>
            <w:tcW w:w="1130"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1</w:t>
            </w:r>
          </w:p>
        </w:tc>
        <w:tc>
          <w:tcPr>
            <w:tcW w:w="873"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c>
          <w:tcPr>
            <w:tcW w:w="721"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c>
          <w:tcPr>
            <w:tcW w:w="1130"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2</w:t>
            </w:r>
          </w:p>
        </w:tc>
        <w:tc>
          <w:tcPr>
            <w:tcW w:w="873"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c>
          <w:tcPr>
            <w:tcW w:w="721"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c>
          <w:tcPr>
            <w:tcW w:w="1130"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w:t>
            </w:r>
          </w:p>
        </w:tc>
        <w:tc>
          <w:tcPr>
            <w:tcW w:w="873"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c>
          <w:tcPr>
            <w:tcW w:w="721"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c>
          <w:tcPr>
            <w:tcW w:w="1130"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000" w:type="pct"/>
            <w:gridSpan w:val="5"/>
            <w:tcBorders>
              <w:tl2br w:val="nil"/>
              <w:tr2bl w:val="nil"/>
            </w:tcBorders>
            <w:shd w:val="clear" w:color="auto" w:fill="auto"/>
            <w:vAlign w:val="center"/>
          </w:tcPr>
          <w:p>
            <w:pPr>
              <w:widowControl/>
              <w:spacing w:line="240" w:lineRule="auto"/>
              <w:ind w:firstLine="0" w:firstLineChars="0"/>
              <w:jc w:val="left"/>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四、管理机构主要高管情况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姓名</w:t>
            </w:r>
          </w:p>
        </w:tc>
        <w:tc>
          <w:tcPr>
            <w:tcW w:w="873"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年龄</w:t>
            </w:r>
          </w:p>
        </w:tc>
        <w:tc>
          <w:tcPr>
            <w:tcW w:w="721"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职务</w:t>
            </w:r>
          </w:p>
        </w:tc>
        <w:tc>
          <w:tcPr>
            <w:tcW w:w="1227"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教育背景及学历</w:t>
            </w:r>
          </w:p>
        </w:tc>
        <w:tc>
          <w:tcPr>
            <w:tcW w:w="1130"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主要投资业绩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1</w:t>
            </w:r>
          </w:p>
        </w:tc>
        <w:tc>
          <w:tcPr>
            <w:tcW w:w="873"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c>
          <w:tcPr>
            <w:tcW w:w="721"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c>
          <w:tcPr>
            <w:tcW w:w="1130"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2</w:t>
            </w:r>
          </w:p>
        </w:tc>
        <w:tc>
          <w:tcPr>
            <w:tcW w:w="873"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c>
          <w:tcPr>
            <w:tcW w:w="721"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c>
          <w:tcPr>
            <w:tcW w:w="1130"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w:t>
            </w:r>
          </w:p>
        </w:tc>
        <w:tc>
          <w:tcPr>
            <w:tcW w:w="873"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c>
          <w:tcPr>
            <w:tcW w:w="721"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c>
          <w:tcPr>
            <w:tcW w:w="1130"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000" w:type="pct"/>
            <w:gridSpan w:val="5"/>
            <w:tcBorders>
              <w:tl2br w:val="nil"/>
              <w:tr2bl w:val="nil"/>
            </w:tcBorders>
            <w:shd w:val="clear" w:color="auto" w:fill="auto"/>
            <w:vAlign w:val="center"/>
          </w:tcPr>
          <w:p>
            <w:pPr>
              <w:widowControl/>
              <w:spacing w:line="240" w:lineRule="auto"/>
              <w:ind w:firstLine="0" w:firstLineChars="0"/>
              <w:jc w:val="left"/>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五、管理机构经营情况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年度</w:t>
            </w:r>
          </w:p>
        </w:tc>
        <w:tc>
          <w:tcPr>
            <w:tcW w:w="873"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资产总额（万元）</w:t>
            </w:r>
          </w:p>
        </w:tc>
        <w:tc>
          <w:tcPr>
            <w:tcW w:w="721"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负债总额（万元）</w:t>
            </w:r>
          </w:p>
        </w:tc>
        <w:tc>
          <w:tcPr>
            <w:tcW w:w="1227"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净资产（万元）</w:t>
            </w:r>
          </w:p>
        </w:tc>
        <w:tc>
          <w:tcPr>
            <w:tcW w:w="1130"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营业收入（万元）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202</w:t>
            </w:r>
            <w:r>
              <w:rPr>
                <w:rFonts w:hint="eastAsia" w:ascii="仿宋_GB2312" w:hAnsi="仿宋_GB2312" w:cs="仿宋_GB2312"/>
                <w:sz w:val="21"/>
                <w:szCs w:val="21"/>
                <w:lang w:val="en-US" w:eastAsia="zh-CN" w:bidi="ar"/>
                <w14:ligatures w14:val="standardContextual"/>
              </w:rPr>
              <w:t>4</w:t>
            </w:r>
            <w:r>
              <w:rPr>
                <w:rFonts w:hint="eastAsia" w:ascii="仿宋_GB2312" w:hAnsi="仿宋_GB2312" w:cs="仿宋_GB2312"/>
                <w:sz w:val="21"/>
                <w:szCs w:val="21"/>
                <w:lang w:bidi="ar"/>
                <w14:ligatures w14:val="standardContextual"/>
              </w:rPr>
              <w:t>年</w:t>
            </w:r>
          </w:p>
        </w:tc>
        <w:tc>
          <w:tcPr>
            <w:tcW w:w="873"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c>
          <w:tcPr>
            <w:tcW w:w="721"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c>
          <w:tcPr>
            <w:tcW w:w="1130"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202</w:t>
            </w:r>
            <w:r>
              <w:rPr>
                <w:rFonts w:hint="eastAsia" w:ascii="仿宋_GB2312" w:hAnsi="仿宋_GB2312" w:cs="仿宋_GB2312"/>
                <w:sz w:val="21"/>
                <w:szCs w:val="21"/>
                <w:lang w:val="en-US" w:eastAsia="zh-CN" w:bidi="ar"/>
                <w14:ligatures w14:val="standardContextual"/>
              </w:rPr>
              <w:t>3</w:t>
            </w:r>
            <w:r>
              <w:rPr>
                <w:rFonts w:hint="eastAsia" w:ascii="仿宋_GB2312" w:hAnsi="仿宋_GB2312" w:cs="仿宋_GB2312"/>
                <w:sz w:val="21"/>
                <w:szCs w:val="21"/>
                <w:lang w:bidi="ar"/>
                <w14:ligatures w14:val="standardContextual"/>
              </w:rPr>
              <w:t>年</w:t>
            </w:r>
          </w:p>
        </w:tc>
        <w:tc>
          <w:tcPr>
            <w:tcW w:w="873"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c>
          <w:tcPr>
            <w:tcW w:w="721"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c>
          <w:tcPr>
            <w:tcW w:w="1130"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8"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202</w:t>
            </w:r>
            <w:r>
              <w:rPr>
                <w:rFonts w:hint="eastAsia" w:ascii="仿宋_GB2312" w:hAnsi="仿宋_GB2312" w:cs="仿宋_GB2312"/>
                <w:sz w:val="21"/>
                <w:szCs w:val="21"/>
                <w:lang w:val="en-US" w:eastAsia="zh-CN" w:bidi="ar"/>
                <w14:ligatures w14:val="standardContextual"/>
              </w:rPr>
              <w:t>2</w:t>
            </w:r>
            <w:r>
              <w:rPr>
                <w:rFonts w:hint="eastAsia" w:ascii="仿宋_GB2312" w:hAnsi="仿宋_GB2312" w:cs="仿宋_GB2312"/>
                <w:sz w:val="21"/>
                <w:szCs w:val="21"/>
                <w:lang w:bidi="ar"/>
                <w14:ligatures w14:val="standardContextual"/>
              </w:rPr>
              <w:t>年</w:t>
            </w:r>
          </w:p>
        </w:tc>
        <w:tc>
          <w:tcPr>
            <w:tcW w:w="873"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c>
          <w:tcPr>
            <w:tcW w:w="721"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c>
          <w:tcPr>
            <w:tcW w:w="1227"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c>
          <w:tcPr>
            <w:tcW w:w="1130"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r>
    </w:tbl>
    <w:p>
      <w:pPr>
        <w:widowControl/>
        <w:spacing w:line="240" w:lineRule="auto"/>
        <w:ind w:firstLine="0" w:firstLineChars="0"/>
        <w:jc w:val="left"/>
        <w:textAlignment w:val="center"/>
        <w:rPr>
          <w:rFonts w:hint="eastAsia" w:ascii="仿宋_GB2312" w:hAnsi="仿宋_GB2312" w:cs="仿宋_GB2312"/>
          <w:sz w:val="21"/>
          <w:szCs w:val="21"/>
          <w:lang w:bidi="ar"/>
          <w14:ligatures w14:val="standardContextual"/>
        </w:rPr>
      </w:pPr>
      <w:r>
        <w:rPr>
          <w:rFonts w:hint="eastAsia" w:ascii="仿宋_GB2312" w:hAnsi="仿宋_GB2312" w:cs="仿宋_GB2312"/>
          <w:sz w:val="21"/>
          <w:szCs w:val="21"/>
          <w:lang w:bidi="ar"/>
          <w14:ligatures w14:val="standardContextual"/>
        </w:rPr>
        <w:t xml:space="preserve">                                </w:t>
      </w:r>
    </w:p>
    <w:p>
      <w:pPr>
        <w:widowControl/>
        <w:spacing w:line="240" w:lineRule="auto"/>
        <w:ind w:firstLine="1890" w:firstLineChars="900"/>
        <w:jc w:val="left"/>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 xml:space="preserve">      申报单位盖章：</w:t>
      </w:r>
    </w:p>
    <w:p>
      <w:pPr>
        <w:spacing w:line="240" w:lineRule="auto"/>
        <w:ind w:firstLine="0" w:firstLineChars="0"/>
        <w:jc w:val="left"/>
        <w:rPr>
          <w:rFonts w:hint="eastAsia" w:ascii="仿宋_GB2312" w:hAnsi="仿宋_GB2312" w:cs="仿宋_GB2312"/>
          <w:kern w:val="2"/>
          <w:sz w:val="21"/>
          <w:szCs w:val="21"/>
          <w14:ligatures w14:val="standardContextual"/>
        </w:rPr>
      </w:pPr>
    </w:p>
    <w:p>
      <w:pPr>
        <w:widowControl/>
        <w:spacing w:line="240" w:lineRule="auto"/>
        <w:ind w:firstLine="0" w:firstLineChars="0"/>
        <w:jc w:val="left"/>
        <w:textAlignment w:val="center"/>
        <w:rPr>
          <w:rFonts w:hint="eastAsia" w:ascii="仿宋_GB2312" w:hAnsi="仿宋_GB2312" w:cs="仿宋_GB2312"/>
          <w:sz w:val="21"/>
          <w:szCs w:val="21"/>
          <w:lang w:bidi="ar"/>
          <w14:ligatures w14:val="standardContextual"/>
        </w:rPr>
      </w:pPr>
      <w:r>
        <w:rPr>
          <w:rFonts w:hint="eastAsia" w:ascii="仿宋_GB2312" w:hAnsi="仿宋_GB2312" w:cs="仿宋_GB2312"/>
          <w:sz w:val="21"/>
          <w:szCs w:val="21"/>
          <w:lang w:bidi="ar"/>
          <w14:ligatures w14:val="standardContextual"/>
        </w:rPr>
        <w:t xml:space="preserve">                                           年    月    日</w:t>
      </w:r>
    </w:p>
    <w:p>
      <w:pPr>
        <w:widowControl/>
        <w:spacing w:line="240" w:lineRule="auto"/>
        <w:ind w:firstLine="0" w:firstLineChars="0"/>
        <w:jc w:val="left"/>
        <w:textAlignment w:val="center"/>
        <w:rPr>
          <w:rFonts w:hint="eastAsia" w:ascii="仿宋_GB2312" w:hAnsi="仿宋_GB2312" w:cs="仿宋_GB2312"/>
          <w:color w:val="000000"/>
          <w:kern w:val="2"/>
          <w:sz w:val="21"/>
          <w:szCs w:val="21"/>
          <w:lang w:bidi="ar"/>
          <w14:ligatures w14:val="standardContextual"/>
        </w:rPr>
      </w:pPr>
      <w:r>
        <w:rPr>
          <w:rFonts w:hint="eastAsia" w:ascii="仿宋_GB2312" w:hAnsi="仿宋_GB2312" w:cs="仿宋_GB2312"/>
          <w:sz w:val="21"/>
          <w:szCs w:val="21"/>
          <w:lang w:bidi="ar"/>
          <w14:ligatures w14:val="standardContextual"/>
        </w:rPr>
        <w:br w:type="page"/>
      </w:r>
      <w:r>
        <w:rPr>
          <w:rFonts w:ascii="黑体" w:hAnsi="黑体" w:eastAsia="黑体" w:cs="黑体"/>
          <w:b/>
          <w:bCs/>
          <w:color w:val="000000"/>
          <w:kern w:val="2"/>
          <w:szCs w:val="32"/>
          <w:lang w:bidi="ar"/>
          <w14:ligatures w14:val="standardContextual"/>
        </w:rPr>
        <w:t>附表6-2</w:t>
      </w:r>
    </w:p>
    <w:p>
      <w:pPr>
        <w:widowControl/>
        <w:spacing w:line="240" w:lineRule="auto"/>
        <w:ind w:firstLine="0" w:firstLineChars="0"/>
        <w:jc w:val="center"/>
        <w:textAlignment w:val="center"/>
        <w:rPr>
          <w:rFonts w:hint="eastAsia" w:ascii="方正小标宋_GBK" w:hAnsi="方正小标宋_GBK" w:eastAsia="方正小标宋_GBK" w:cs="方正小标宋_GBK"/>
          <w:color w:val="000000"/>
          <w:kern w:val="2"/>
          <w:sz w:val="36"/>
          <w:szCs w:val="36"/>
          <w14:ligatures w14:val="standardContextual"/>
        </w:rPr>
      </w:pPr>
      <w:r>
        <w:rPr>
          <w:rFonts w:ascii="方正小标宋_GBK" w:hAnsi="方正小标宋_GBK" w:eastAsia="方正小标宋_GBK" w:cs="方正小标宋_GBK"/>
          <w:b/>
          <w:bCs/>
          <w:color w:val="000000"/>
          <w:kern w:val="2"/>
          <w:sz w:val="36"/>
          <w:szCs w:val="36"/>
          <w:lang w:bidi="ar"/>
          <w14:ligatures w14:val="standardContextual"/>
        </w:rPr>
        <w:t>管理机构/投资团队核心成员累计管理基金及效益情况表</w:t>
      </w:r>
    </w:p>
    <w:tbl>
      <w:tblPr>
        <w:tblStyle w:val="12"/>
        <w:tblW w:w="536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7"/>
        <w:gridCol w:w="772"/>
        <w:gridCol w:w="693"/>
        <w:gridCol w:w="934"/>
        <w:gridCol w:w="919"/>
        <w:gridCol w:w="903"/>
        <w:gridCol w:w="992"/>
        <w:gridCol w:w="809"/>
        <w:gridCol w:w="775"/>
        <w:gridCol w:w="647"/>
        <w:gridCol w:w="647"/>
        <w:gridCol w:w="775"/>
        <w:gridCol w:w="775"/>
        <w:gridCol w:w="922"/>
        <w:gridCol w:w="1151"/>
        <w:gridCol w:w="598"/>
        <w:gridCol w:w="867"/>
        <w:gridCol w:w="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18"/>
            <w:tcBorders>
              <w:tl2br w:val="nil"/>
              <w:tr2bl w:val="nil"/>
            </w:tcBorders>
            <w:shd w:val="clear" w:color="auto" w:fill="auto"/>
            <w:vAlign w:val="center"/>
          </w:tcPr>
          <w:p>
            <w:pPr>
              <w:widowControl/>
              <w:spacing w:line="280" w:lineRule="exact"/>
              <w:ind w:firstLine="0" w:firstLineChars="0"/>
              <w:jc w:val="left"/>
              <w:textAlignment w:val="center"/>
              <w:rPr>
                <w:rFonts w:hint="eastAsia" w:ascii="仿宋_GB2312" w:hAnsi="仿宋_GB2312" w:cs="仿宋_GB2312"/>
                <w:b/>
                <w:bCs/>
                <w:color w:val="000000"/>
                <w:kern w:val="2"/>
                <w:sz w:val="21"/>
                <w:szCs w:val="21"/>
                <w14:ligatures w14:val="standardContextual"/>
              </w:rPr>
            </w:pPr>
            <w:r>
              <w:rPr>
                <w:rFonts w:ascii="仿宋_GB2312" w:hAnsi="仿宋_GB2312" w:cs="仿宋_GB2312"/>
                <w:b/>
                <w:bCs/>
                <w:color w:val="000000"/>
                <w:kern w:val="2"/>
                <w:sz w:val="20"/>
                <w:szCs w:val="21"/>
                <w:lang w:bidi="ar"/>
                <w14:ligatures w14:val="standardContextual"/>
              </w:rPr>
              <w:t>一、管理机构累计管理基金及效益情况表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18"/>
            <w:tcBorders>
              <w:tl2br w:val="nil"/>
              <w:tr2bl w:val="nil"/>
            </w:tcBorders>
            <w:shd w:val="clear" w:color="auto" w:fill="auto"/>
            <w:vAlign w:val="center"/>
          </w:tcPr>
          <w:p>
            <w:pPr>
              <w:widowControl/>
              <w:spacing w:line="280" w:lineRule="exact"/>
              <w:ind w:firstLine="0" w:firstLineChars="0"/>
              <w:jc w:val="left"/>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（一）管理机构累计管理已清算的基金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5" w:type="pct"/>
            <w:tcBorders>
              <w:tl2br w:val="nil"/>
              <w:tr2bl w:val="nil"/>
            </w:tcBorders>
            <w:shd w:val="clear" w:color="auto" w:fill="auto"/>
            <w:vAlign w:val="center"/>
          </w:tcPr>
          <w:p>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基金名称</w:t>
            </w:r>
          </w:p>
        </w:tc>
        <w:tc>
          <w:tcPr>
            <w:tcW w:w="253" w:type="pct"/>
            <w:tcBorders>
              <w:tl2br w:val="nil"/>
              <w:tr2bl w:val="nil"/>
            </w:tcBorders>
            <w:shd w:val="clear" w:color="auto" w:fill="auto"/>
            <w:vAlign w:val="center"/>
          </w:tcPr>
          <w:p>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基协备案编号</w:t>
            </w:r>
          </w:p>
        </w:tc>
        <w:tc>
          <w:tcPr>
            <w:tcW w:w="227" w:type="pct"/>
            <w:tcBorders>
              <w:tl2br w:val="nil"/>
              <w:tr2bl w:val="nil"/>
            </w:tcBorders>
            <w:shd w:val="clear" w:color="auto" w:fill="auto"/>
            <w:vAlign w:val="center"/>
          </w:tcPr>
          <w:p>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设立时间</w:t>
            </w:r>
          </w:p>
        </w:tc>
        <w:tc>
          <w:tcPr>
            <w:tcW w:w="306" w:type="pct"/>
            <w:tcBorders>
              <w:tl2br w:val="nil"/>
              <w:tr2bl w:val="nil"/>
            </w:tcBorders>
            <w:shd w:val="clear" w:color="auto" w:fill="auto"/>
            <w:vAlign w:val="center"/>
          </w:tcPr>
          <w:p>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认缴总规模</w:t>
            </w:r>
            <w:r>
              <w:rPr>
                <w:rFonts w:hint="eastAsia" w:ascii="仿宋_GB2312" w:hAnsi="仿宋_GB2312" w:cs="仿宋_GB2312"/>
                <w:b/>
                <w:bCs/>
                <w:color w:val="000000"/>
                <w:sz w:val="21"/>
                <w:szCs w:val="21"/>
                <w:lang w:bidi="ar"/>
                <w14:ligatures w14:val="standardContextual"/>
              </w:rPr>
              <w:br w:type="textWrapping"/>
            </w:r>
            <w:r>
              <w:rPr>
                <w:rFonts w:ascii="仿宋_GB2312" w:hAnsi="仿宋_GB2312" w:cs="仿宋_GB2312"/>
                <w:b/>
                <w:bCs/>
                <w:color w:val="000000"/>
                <w:sz w:val="21"/>
                <w:szCs w:val="21"/>
                <w:lang w:bidi="ar"/>
                <w14:ligatures w14:val="standardContextual"/>
              </w:rPr>
              <w:t>(</w:t>
            </w:r>
            <w:r>
              <w:rPr>
                <w:rFonts w:hint="eastAsia" w:ascii="仿宋_GB2312" w:hAnsi="仿宋_GB2312" w:cs="仿宋_GB2312"/>
                <w:b/>
                <w:bCs/>
                <w:color w:val="000000"/>
                <w:sz w:val="21"/>
                <w:szCs w:val="21"/>
                <w:lang w:bidi="ar"/>
                <w14:ligatures w14:val="standardContextual"/>
              </w:rPr>
              <w:t>亿元</w:t>
            </w:r>
            <w:r>
              <w:rPr>
                <w:rFonts w:ascii="仿宋_GB2312" w:hAnsi="仿宋_GB2312" w:cs="仿宋_GB2312"/>
                <w:b/>
                <w:bCs/>
                <w:color w:val="000000"/>
                <w:sz w:val="21"/>
                <w:szCs w:val="21"/>
                <w:lang w:bidi="ar"/>
                <w14:ligatures w14:val="standardContextual"/>
              </w:rPr>
              <w:t>)</w:t>
            </w:r>
          </w:p>
        </w:tc>
        <w:tc>
          <w:tcPr>
            <w:tcW w:w="301" w:type="pct"/>
            <w:tcBorders>
              <w:tl2br w:val="nil"/>
              <w:tr2bl w:val="nil"/>
            </w:tcBorders>
            <w:shd w:val="clear" w:color="auto" w:fill="auto"/>
            <w:vAlign w:val="center"/>
          </w:tcPr>
          <w:p>
            <w:pPr>
              <w:widowControl/>
              <w:spacing w:line="200" w:lineRule="exact"/>
              <w:ind w:firstLine="0" w:firstLineChars="0"/>
              <w:jc w:val="center"/>
              <w:textAlignment w:val="center"/>
              <w:rPr>
                <w:rFonts w:hint="eastAsia" w:ascii="仿宋_GB2312" w:hAnsi="仿宋_GB2312" w:cs="仿宋_GB2312"/>
                <w:b/>
                <w:bCs/>
                <w:color w:val="000000"/>
                <w:sz w:val="21"/>
                <w:szCs w:val="21"/>
                <w:lang w:bidi="ar"/>
                <w14:ligatures w14:val="standardContextual"/>
              </w:rPr>
            </w:pPr>
            <w:r>
              <w:rPr>
                <w:rFonts w:hint="eastAsia" w:ascii="仿宋_GB2312" w:hAnsi="仿宋_GB2312" w:cs="仿宋_GB2312"/>
                <w:b/>
                <w:bCs/>
                <w:color w:val="000000"/>
                <w:sz w:val="21"/>
                <w:szCs w:val="21"/>
                <w:lang w:bidi="ar"/>
                <w14:ligatures w14:val="standardContextual"/>
              </w:rPr>
              <w:t>已实缴到位</w:t>
            </w:r>
          </w:p>
          <w:p>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规模</w:t>
            </w:r>
            <w:r>
              <w:rPr>
                <w:rFonts w:ascii="仿宋_GB2312" w:hAnsi="仿宋_GB2312" w:cs="仿宋_GB2312"/>
                <w:b/>
                <w:bCs/>
                <w:color w:val="000000"/>
                <w:sz w:val="21"/>
                <w:szCs w:val="21"/>
                <w:lang w:bidi="ar"/>
                <w14:ligatures w14:val="standardContextual"/>
              </w:rPr>
              <w:t>(</w:t>
            </w:r>
            <w:r>
              <w:rPr>
                <w:rFonts w:hint="eastAsia" w:ascii="仿宋_GB2312" w:hAnsi="仿宋_GB2312" w:cs="仿宋_GB2312"/>
                <w:b/>
                <w:bCs/>
                <w:color w:val="000000"/>
                <w:sz w:val="21"/>
                <w:szCs w:val="21"/>
                <w:lang w:bidi="ar"/>
                <w14:ligatures w14:val="standardContextual"/>
              </w:rPr>
              <w:t>亿元</w:t>
            </w:r>
            <w:r>
              <w:rPr>
                <w:rFonts w:ascii="仿宋_GB2312" w:hAnsi="仿宋_GB2312" w:cs="仿宋_GB2312"/>
                <w:b/>
                <w:bCs/>
                <w:color w:val="000000"/>
                <w:sz w:val="21"/>
                <w:szCs w:val="21"/>
                <w:lang w:bidi="ar"/>
                <w14:ligatures w14:val="standardContextual"/>
              </w:rPr>
              <w:t>)</w:t>
            </w:r>
          </w:p>
        </w:tc>
        <w:tc>
          <w:tcPr>
            <w:tcW w:w="296" w:type="pct"/>
            <w:tcBorders>
              <w:tl2br w:val="nil"/>
              <w:tr2bl w:val="nil"/>
            </w:tcBorders>
            <w:shd w:val="clear" w:color="auto" w:fill="auto"/>
            <w:vAlign w:val="center"/>
          </w:tcPr>
          <w:p>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已投资规模</w:t>
            </w:r>
            <w:r>
              <w:rPr>
                <w:rFonts w:hint="eastAsia" w:ascii="仿宋_GB2312" w:hAnsi="仿宋_GB2312" w:cs="仿宋_GB2312"/>
                <w:b/>
                <w:bCs/>
                <w:color w:val="000000"/>
                <w:sz w:val="21"/>
                <w:szCs w:val="21"/>
                <w:lang w:bidi="ar"/>
                <w14:ligatures w14:val="standardContextual"/>
              </w:rPr>
              <w:br w:type="textWrapping"/>
            </w:r>
            <w:r>
              <w:rPr>
                <w:rFonts w:ascii="仿宋_GB2312" w:hAnsi="仿宋_GB2312" w:cs="仿宋_GB2312"/>
                <w:b/>
                <w:bCs/>
                <w:color w:val="000000"/>
                <w:sz w:val="21"/>
                <w:szCs w:val="21"/>
                <w:lang w:bidi="ar"/>
                <w14:ligatures w14:val="standardContextual"/>
              </w:rPr>
              <w:t>(</w:t>
            </w:r>
            <w:r>
              <w:rPr>
                <w:rFonts w:hint="eastAsia" w:ascii="仿宋_GB2312" w:hAnsi="仿宋_GB2312" w:cs="仿宋_GB2312"/>
                <w:b/>
                <w:bCs/>
                <w:color w:val="000000"/>
                <w:sz w:val="21"/>
                <w:szCs w:val="21"/>
                <w:lang w:bidi="ar"/>
                <w14:ligatures w14:val="standardContextual"/>
              </w:rPr>
              <w:t>亿元</w:t>
            </w:r>
            <w:r>
              <w:rPr>
                <w:rFonts w:ascii="仿宋_GB2312" w:hAnsi="仿宋_GB2312" w:cs="仿宋_GB2312"/>
                <w:b/>
                <w:bCs/>
                <w:color w:val="000000"/>
                <w:sz w:val="21"/>
                <w:szCs w:val="21"/>
                <w:lang w:bidi="ar"/>
                <w14:ligatures w14:val="standardContextual"/>
              </w:rPr>
              <w:t>)</w:t>
            </w:r>
          </w:p>
        </w:tc>
        <w:tc>
          <w:tcPr>
            <w:tcW w:w="325" w:type="pct"/>
            <w:tcBorders>
              <w:tl2br w:val="nil"/>
              <w:tr2bl w:val="nil"/>
            </w:tcBorders>
            <w:shd w:val="clear" w:color="auto" w:fill="auto"/>
            <w:vAlign w:val="center"/>
          </w:tcPr>
          <w:p>
            <w:pPr>
              <w:widowControl/>
              <w:spacing w:line="200" w:lineRule="exact"/>
              <w:ind w:firstLine="0" w:firstLineChars="0"/>
              <w:jc w:val="center"/>
              <w:textAlignment w:val="center"/>
              <w:rPr>
                <w:rFonts w:hint="eastAsia" w:ascii="仿宋_GB2312" w:hAnsi="仿宋_GB2312" w:cs="仿宋_GB2312"/>
                <w:b/>
                <w:bCs/>
                <w:color w:val="000000"/>
                <w:sz w:val="21"/>
                <w:szCs w:val="21"/>
                <w:lang w:bidi="ar"/>
                <w14:ligatures w14:val="standardContextual"/>
              </w:rPr>
            </w:pPr>
            <w:r>
              <w:rPr>
                <w:rFonts w:hint="eastAsia" w:ascii="仿宋_GB2312" w:hAnsi="仿宋_GB2312" w:cs="仿宋_GB2312"/>
                <w:b/>
                <w:bCs/>
                <w:color w:val="000000"/>
                <w:sz w:val="21"/>
                <w:szCs w:val="21"/>
                <w:lang w:bidi="ar"/>
                <w14:ligatures w14:val="standardContextual"/>
              </w:rPr>
              <w:t>存续</w:t>
            </w:r>
          </w:p>
          <w:p>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期限</w:t>
            </w:r>
          </w:p>
        </w:tc>
        <w:tc>
          <w:tcPr>
            <w:tcW w:w="265" w:type="pct"/>
            <w:tcBorders>
              <w:tl2br w:val="nil"/>
              <w:tr2bl w:val="nil"/>
            </w:tcBorders>
            <w:shd w:val="clear" w:color="auto" w:fill="auto"/>
            <w:vAlign w:val="center"/>
          </w:tcPr>
          <w:p>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备案类型（VC/PE）</w:t>
            </w:r>
          </w:p>
        </w:tc>
        <w:tc>
          <w:tcPr>
            <w:tcW w:w="254" w:type="pct"/>
            <w:tcBorders>
              <w:tl2br w:val="nil"/>
              <w:tr2bl w:val="nil"/>
            </w:tcBorders>
            <w:shd w:val="clear" w:color="auto" w:fill="auto"/>
            <w:vAlign w:val="center"/>
          </w:tcPr>
          <w:p>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地域范围</w:t>
            </w:r>
          </w:p>
        </w:tc>
        <w:tc>
          <w:tcPr>
            <w:tcW w:w="212" w:type="pct"/>
            <w:tcBorders>
              <w:tl2br w:val="nil"/>
              <w:tr2bl w:val="nil"/>
            </w:tcBorders>
            <w:shd w:val="clear" w:color="auto" w:fill="auto"/>
            <w:vAlign w:val="center"/>
          </w:tcPr>
          <w:p>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投资领域/行业</w:t>
            </w:r>
          </w:p>
        </w:tc>
        <w:tc>
          <w:tcPr>
            <w:tcW w:w="212" w:type="pct"/>
            <w:tcBorders>
              <w:tl2br w:val="nil"/>
              <w:tr2bl w:val="nil"/>
            </w:tcBorders>
            <w:shd w:val="clear" w:color="auto" w:fill="auto"/>
            <w:vAlign w:val="center"/>
          </w:tcPr>
          <w:p>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基金关键人士</w:t>
            </w:r>
          </w:p>
        </w:tc>
        <w:tc>
          <w:tcPr>
            <w:tcW w:w="254" w:type="pct"/>
            <w:tcBorders>
              <w:tl2br w:val="nil"/>
              <w:tr2bl w:val="nil"/>
            </w:tcBorders>
            <w:shd w:val="clear" w:color="auto" w:fill="auto"/>
            <w:vAlign w:val="center"/>
          </w:tcPr>
          <w:p>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已IPO项目数量</w:t>
            </w:r>
          </w:p>
        </w:tc>
        <w:tc>
          <w:tcPr>
            <w:tcW w:w="254" w:type="pct"/>
            <w:tcBorders>
              <w:tl2br w:val="nil"/>
              <w:tr2bl w:val="nil"/>
            </w:tcBorders>
            <w:shd w:val="clear" w:color="auto" w:fill="auto"/>
            <w:vAlign w:val="center"/>
          </w:tcPr>
          <w:p>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已IPO项目简称</w:t>
            </w:r>
          </w:p>
        </w:tc>
        <w:tc>
          <w:tcPr>
            <w:tcW w:w="302" w:type="pct"/>
            <w:tcBorders>
              <w:tl2br w:val="nil"/>
              <w:tr2bl w:val="nil"/>
            </w:tcBorders>
            <w:shd w:val="clear" w:color="auto" w:fill="auto"/>
            <w:vAlign w:val="center"/>
          </w:tcPr>
          <w:p>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已分配收益情况（亿元）</w:t>
            </w:r>
          </w:p>
        </w:tc>
        <w:tc>
          <w:tcPr>
            <w:tcW w:w="377" w:type="pct"/>
            <w:tcBorders>
              <w:tl2br w:val="nil"/>
              <w:tr2bl w:val="nil"/>
            </w:tcBorders>
            <w:shd w:val="clear" w:color="auto" w:fill="auto"/>
            <w:vAlign w:val="center"/>
          </w:tcPr>
          <w:p>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w:t>
            </w:r>
          </w:p>
        </w:tc>
        <w:tc>
          <w:tcPr>
            <w:tcW w:w="196" w:type="pct"/>
            <w:tcBorders>
              <w:tl2br w:val="nil"/>
              <w:tr2bl w:val="nil"/>
            </w:tcBorders>
            <w:shd w:val="clear" w:color="auto" w:fill="auto"/>
            <w:vAlign w:val="center"/>
          </w:tcPr>
          <w:p>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DPI</w:t>
            </w:r>
          </w:p>
        </w:tc>
        <w:tc>
          <w:tcPr>
            <w:tcW w:w="284" w:type="pct"/>
            <w:tcBorders>
              <w:tl2br w:val="nil"/>
              <w:tr2bl w:val="nil"/>
            </w:tcBorders>
            <w:shd w:val="clear" w:color="auto" w:fill="auto"/>
            <w:vAlign w:val="center"/>
          </w:tcPr>
          <w:p>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是否有政府引导基金参与</w:t>
            </w:r>
          </w:p>
        </w:tc>
        <w:tc>
          <w:tcPr>
            <w:tcW w:w="258" w:type="pct"/>
            <w:tcBorders>
              <w:tl2br w:val="nil"/>
              <w:tr2bl w:val="nil"/>
            </w:tcBorders>
            <w:shd w:val="clear" w:color="auto" w:fill="auto"/>
            <w:vAlign w:val="center"/>
          </w:tcPr>
          <w:p>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5" w:type="pct"/>
            <w:tcBorders>
              <w:tl2br w:val="nil"/>
              <w:tr2bl w:val="nil"/>
            </w:tcBorders>
            <w:shd w:val="clear" w:color="auto" w:fill="auto"/>
            <w:vAlign w:val="center"/>
          </w:tcPr>
          <w:p>
            <w:pPr>
              <w:widowControl/>
              <w:spacing w:line="280" w:lineRule="exact"/>
              <w:ind w:firstLine="0" w:firstLineChars="0"/>
              <w:jc w:val="center"/>
              <w:textAlignment w:val="center"/>
              <w:rPr>
                <w:rFonts w:hint="eastAsia" w:ascii="仿宋_GB2312" w:hAnsi="仿宋_GB2312" w:cs="仿宋_GB2312"/>
                <w:i/>
                <w:iCs/>
                <w:color w:val="000000"/>
                <w:kern w:val="2"/>
                <w:sz w:val="21"/>
                <w:szCs w:val="21"/>
                <w14:ligatures w14:val="standardContextual"/>
              </w:rPr>
            </w:pPr>
            <w:r>
              <w:rPr>
                <w:rFonts w:hint="eastAsia" w:ascii="仿宋_GB2312" w:hAnsi="仿宋_GB2312" w:cs="仿宋_GB2312"/>
                <w:i/>
                <w:iCs/>
                <w:color w:val="000000"/>
                <w:spacing w:val="-11"/>
                <w:sz w:val="21"/>
                <w:szCs w:val="21"/>
                <w:lang w:bidi="ar"/>
                <w14:ligatures w14:val="standardContextual"/>
              </w:rPr>
              <w:t>例： A基金</w:t>
            </w:r>
          </w:p>
        </w:tc>
        <w:tc>
          <w:tcPr>
            <w:tcW w:w="253" w:type="pct"/>
            <w:tcBorders>
              <w:tl2br w:val="nil"/>
              <w:tr2bl w:val="nil"/>
            </w:tcBorders>
            <w:shd w:val="clear" w:color="auto" w:fill="auto"/>
            <w:vAlign w:val="center"/>
          </w:tcPr>
          <w:p>
            <w:pPr>
              <w:widowControl/>
              <w:spacing w:line="280" w:lineRule="exact"/>
              <w:ind w:firstLine="0" w:firstLineChars="0"/>
              <w:jc w:val="center"/>
              <w:rPr>
                <w:rFonts w:hint="eastAsia" w:ascii="仿宋_GB2312" w:hAnsi="仿宋_GB2312" w:cs="仿宋_GB2312"/>
                <w:color w:val="000000"/>
                <w:kern w:val="2"/>
                <w:sz w:val="21"/>
                <w:szCs w:val="21"/>
                <w14:ligatures w14:val="standardContextual"/>
              </w:rPr>
            </w:pPr>
          </w:p>
        </w:tc>
        <w:tc>
          <w:tcPr>
            <w:tcW w:w="227"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06"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01"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96"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25" w:type="pct"/>
            <w:tcBorders>
              <w:tl2br w:val="nil"/>
              <w:tr2bl w:val="nil"/>
            </w:tcBorders>
            <w:shd w:val="clear" w:color="auto" w:fill="auto"/>
            <w:vAlign w:val="center"/>
          </w:tcPr>
          <w:p>
            <w:pPr>
              <w:widowControl/>
              <w:spacing w:line="280" w:lineRule="exact"/>
              <w:ind w:firstLine="0" w:firstLineChars="0"/>
              <w:jc w:val="center"/>
              <w:textAlignment w:val="center"/>
              <w:rPr>
                <w:rFonts w:hint="eastAsia" w:ascii="仿宋_GB2312" w:hAnsi="仿宋_GB2312" w:cs="仿宋_GB2312"/>
                <w:i/>
                <w:iCs/>
                <w:color w:val="000000"/>
                <w:kern w:val="2"/>
                <w:sz w:val="21"/>
                <w:szCs w:val="21"/>
                <w14:ligatures w14:val="standardContextual"/>
              </w:rPr>
            </w:pPr>
            <w:r>
              <w:rPr>
                <w:rFonts w:hint="eastAsia" w:ascii="仿宋_GB2312" w:hAnsi="仿宋_GB2312" w:cs="仿宋_GB2312"/>
                <w:i/>
                <w:iCs/>
                <w:color w:val="000000"/>
                <w:sz w:val="21"/>
                <w:szCs w:val="21"/>
                <w:lang w:bidi="ar"/>
                <w14:ligatures w14:val="standardContextual"/>
              </w:rPr>
              <w:t>例：4+4+1</w:t>
            </w:r>
          </w:p>
        </w:tc>
        <w:tc>
          <w:tcPr>
            <w:tcW w:w="265"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12" w:type="pct"/>
            <w:tcBorders>
              <w:tl2br w:val="nil"/>
              <w:tr2bl w:val="nil"/>
            </w:tcBorders>
            <w:shd w:val="clear" w:color="auto" w:fill="auto"/>
            <w:vAlign w:val="center"/>
          </w:tcPr>
          <w:p>
            <w:pPr>
              <w:widowControl/>
              <w:spacing w:line="280" w:lineRule="exact"/>
              <w:ind w:firstLine="0" w:firstLineChars="0"/>
              <w:jc w:val="center"/>
              <w:rPr>
                <w:rFonts w:hint="eastAsia" w:ascii="仿宋_GB2312" w:hAnsi="仿宋_GB2312" w:cs="仿宋_GB2312"/>
                <w:color w:val="000000"/>
                <w:kern w:val="2"/>
                <w:sz w:val="21"/>
                <w:szCs w:val="21"/>
                <w14:ligatures w14:val="standardContextual"/>
              </w:rPr>
            </w:pPr>
          </w:p>
        </w:tc>
        <w:tc>
          <w:tcPr>
            <w:tcW w:w="212"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02"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77"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196"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84"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8"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5"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3"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27"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06"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01"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96"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25"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65"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12"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12"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02"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77"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196"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84"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8"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5"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3"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27"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06"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01"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96"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25"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65"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12"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12"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02"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77"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196"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84"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8"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5" w:type="pct"/>
            <w:tcBorders>
              <w:tl2br w:val="nil"/>
              <w:tr2bl w:val="nil"/>
            </w:tcBorders>
            <w:shd w:val="clear" w:color="auto" w:fill="auto"/>
            <w:vAlign w:val="center"/>
          </w:tcPr>
          <w:p>
            <w:pPr>
              <w:widowControl/>
              <w:spacing w:line="28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合计</w:t>
            </w:r>
          </w:p>
        </w:tc>
        <w:tc>
          <w:tcPr>
            <w:tcW w:w="253"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27"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06" w:type="pct"/>
            <w:tcBorders>
              <w:tl2br w:val="nil"/>
              <w:tr2bl w:val="nil"/>
            </w:tcBorders>
            <w:shd w:val="clear" w:color="auto" w:fill="auto"/>
            <w:noWrap/>
            <w:vAlign w:val="center"/>
          </w:tcPr>
          <w:p>
            <w:pPr>
              <w:widowControl/>
              <w:spacing w:line="280" w:lineRule="exact"/>
              <w:ind w:firstLine="0" w:firstLineChars="0"/>
              <w:jc w:val="right"/>
              <w:textAlignment w:val="center"/>
              <w:rPr>
                <w:rFonts w:hint="eastAsia" w:ascii="仿宋_GB2312" w:hAnsi="仿宋_GB2312" w:cs="仿宋_GB2312"/>
                <w:b/>
                <w:bCs/>
                <w:color w:val="000000"/>
                <w:kern w:val="2"/>
                <w:sz w:val="21"/>
                <w:szCs w:val="21"/>
                <w14:ligatures w14:val="standardContextual"/>
              </w:rPr>
            </w:pPr>
          </w:p>
        </w:tc>
        <w:tc>
          <w:tcPr>
            <w:tcW w:w="301" w:type="pct"/>
            <w:tcBorders>
              <w:tl2br w:val="nil"/>
              <w:tr2bl w:val="nil"/>
            </w:tcBorders>
            <w:shd w:val="clear" w:color="auto" w:fill="auto"/>
            <w:noWrap/>
            <w:vAlign w:val="center"/>
          </w:tcPr>
          <w:p>
            <w:pPr>
              <w:widowControl/>
              <w:spacing w:line="280" w:lineRule="exact"/>
              <w:ind w:firstLine="0" w:firstLineChars="0"/>
              <w:jc w:val="right"/>
              <w:textAlignment w:val="center"/>
              <w:rPr>
                <w:rFonts w:hint="eastAsia" w:ascii="仿宋_GB2312" w:hAnsi="仿宋_GB2312" w:cs="仿宋_GB2312"/>
                <w:b/>
                <w:bCs/>
                <w:color w:val="000000"/>
                <w:kern w:val="2"/>
                <w:sz w:val="21"/>
                <w:szCs w:val="21"/>
                <w14:ligatures w14:val="standardContextual"/>
              </w:rPr>
            </w:pPr>
          </w:p>
        </w:tc>
        <w:tc>
          <w:tcPr>
            <w:tcW w:w="296" w:type="pct"/>
            <w:tcBorders>
              <w:tl2br w:val="nil"/>
              <w:tr2bl w:val="nil"/>
            </w:tcBorders>
            <w:shd w:val="clear" w:color="auto" w:fill="auto"/>
            <w:noWrap/>
            <w:vAlign w:val="center"/>
          </w:tcPr>
          <w:p>
            <w:pPr>
              <w:widowControl/>
              <w:spacing w:line="280" w:lineRule="exact"/>
              <w:ind w:firstLine="0" w:firstLineChars="0"/>
              <w:jc w:val="right"/>
              <w:textAlignment w:val="center"/>
              <w:rPr>
                <w:rFonts w:hint="eastAsia" w:ascii="仿宋_GB2312" w:hAnsi="仿宋_GB2312" w:cs="仿宋_GB2312"/>
                <w:b/>
                <w:bCs/>
                <w:color w:val="000000"/>
                <w:kern w:val="2"/>
                <w:sz w:val="21"/>
                <w:szCs w:val="21"/>
                <w14:ligatures w14:val="standardContextual"/>
              </w:rPr>
            </w:pPr>
          </w:p>
        </w:tc>
        <w:tc>
          <w:tcPr>
            <w:tcW w:w="325" w:type="pct"/>
            <w:tcBorders>
              <w:tl2br w:val="nil"/>
              <w:tr2bl w:val="nil"/>
            </w:tcBorders>
            <w:shd w:val="clear" w:color="auto" w:fill="auto"/>
            <w:noWrap/>
            <w:vAlign w:val="center"/>
          </w:tcPr>
          <w:p>
            <w:pPr>
              <w:widowControl/>
              <w:spacing w:line="280" w:lineRule="exact"/>
              <w:ind w:firstLine="0" w:firstLineChars="0"/>
              <w:jc w:val="right"/>
              <w:rPr>
                <w:rFonts w:hint="eastAsia" w:ascii="仿宋_GB2312" w:hAnsi="仿宋_GB2312" w:cs="仿宋_GB2312"/>
                <w:b/>
                <w:bCs/>
                <w:color w:val="000000"/>
                <w:kern w:val="2"/>
                <w:sz w:val="21"/>
                <w:szCs w:val="21"/>
                <w14:ligatures w14:val="standardContextual"/>
              </w:rPr>
            </w:pPr>
          </w:p>
        </w:tc>
        <w:tc>
          <w:tcPr>
            <w:tcW w:w="265" w:type="pct"/>
            <w:tcBorders>
              <w:tl2br w:val="nil"/>
              <w:tr2bl w:val="nil"/>
            </w:tcBorders>
            <w:shd w:val="clear" w:color="auto" w:fill="auto"/>
            <w:noWrap/>
            <w:vAlign w:val="center"/>
          </w:tcPr>
          <w:p>
            <w:pPr>
              <w:widowControl/>
              <w:spacing w:line="280" w:lineRule="exact"/>
              <w:ind w:firstLine="0" w:firstLineChars="0"/>
              <w:jc w:val="right"/>
              <w:rPr>
                <w:rFonts w:hint="eastAsia" w:ascii="仿宋_GB2312" w:hAnsi="仿宋_GB2312" w:cs="仿宋_GB2312"/>
                <w:b/>
                <w:bCs/>
                <w:color w:val="000000"/>
                <w:kern w:val="2"/>
                <w:sz w:val="21"/>
                <w:szCs w:val="21"/>
                <w14:ligatures w14:val="standardContextual"/>
              </w:rPr>
            </w:pPr>
          </w:p>
        </w:tc>
        <w:tc>
          <w:tcPr>
            <w:tcW w:w="254" w:type="pct"/>
            <w:tcBorders>
              <w:tl2br w:val="nil"/>
              <w:tr2bl w:val="nil"/>
            </w:tcBorders>
            <w:shd w:val="clear" w:color="auto" w:fill="auto"/>
            <w:noWrap/>
            <w:vAlign w:val="center"/>
          </w:tcPr>
          <w:p>
            <w:pPr>
              <w:widowControl/>
              <w:spacing w:line="280" w:lineRule="exact"/>
              <w:ind w:firstLine="0" w:firstLineChars="0"/>
              <w:jc w:val="right"/>
              <w:rPr>
                <w:rFonts w:hint="eastAsia" w:ascii="仿宋_GB2312" w:hAnsi="仿宋_GB2312" w:cs="仿宋_GB2312"/>
                <w:b/>
                <w:bCs/>
                <w:color w:val="000000"/>
                <w:kern w:val="2"/>
                <w:sz w:val="21"/>
                <w:szCs w:val="21"/>
                <w14:ligatures w14:val="standardContextual"/>
              </w:rPr>
            </w:pPr>
          </w:p>
        </w:tc>
        <w:tc>
          <w:tcPr>
            <w:tcW w:w="212" w:type="pct"/>
            <w:tcBorders>
              <w:tl2br w:val="nil"/>
              <w:tr2bl w:val="nil"/>
            </w:tcBorders>
            <w:shd w:val="clear" w:color="auto" w:fill="auto"/>
            <w:noWrap/>
            <w:vAlign w:val="center"/>
          </w:tcPr>
          <w:p>
            <w:pPr>
              <w:widowControl/>
              <w:spacing w:line="280" w:lineRule="exact"/>
              <w:ind w:firstLine="0" w:firstLineChars="0"/>
              <w:jc w:val="right"/>
              <w:rPr>
                <w:rFonts w:hint="eastAsia" w:ascii="仿宋_GB2312" w:hAnsi="仿宋_GB2312" w:cs="仿宋_GB2312"/>
                <w:b/>
                <w:bCs/>
                <w:color w:val="000000"/>
                <w:kern w:val="2"/>
                <w:sz w:val="21"/>
                <w:szCs w:val="21"/>
                <w14:ligatures w14:val="standardContextual"/>
              </w:rPr>
            </w:pPr>
          </w:p>
        </w:tc>
        <w:tc>
          <w:tcPr>
            <w:tcW w:w="212" w:type="pct"/>
            <w:tcBorders>
              <w:tl2br w:val="nil"/>
              <w:tr2bl w:val="nil"/>
            </w:tcBorders>
            <w:shd w:val="clear" w:color="auto" w:fill="auto"/>
            <w:noWrap/>
            <w:vAlign w:val="center"/>
          </w:tcPr>
          <w:p>
            <w:pPr>
              <w:widowControl/>
              <w:spacing w:line="280" w:lineRule="exact"/>
              <w:ind w:firstLine="0" w:firstLineChars="0"/>
              <w:jc w:val="right"/>
              <w:rPr>
                <w:rFonts w:hint="eastAsia" w:ascii="仿宋_GB2312" w:hAnsi="仿宋_GB2312" w:cs="仿宋_GB2312"/>
                <w:b/>
                <w:bCs/>
                <w:color w:val="000000"/>
                <w:kern w:val="2"/>
                <w:sz w:val="21"/>
                <w:szCs w:val="21"/>
                <w14:ligatures w14:val="standardContextual"/>
              </w:rPr>
            </w:pPr>
          </w:p>
        </w:tc>
        <w:tc>
          <w:tcPr>
            <w:tcW w:w="254" w:type="pct"/>
            <w:tcBorders>
              <w:tl2br w:val="nil"/>
              <w:tr2bl w:val="nil"/>
            </w:tcBorders>
            <w:shd w:val="clear" w:color="auto" w:fill="auto"/>
            <w:noWrap/>
            <w:vAlign w:val="center"/>
          </w:tcPr>
          <w:p>
            <w:pPr>
              <w:widowControl/>
              <w:spacing w:line="280" w:lineRule="exact"/>
              <w:ind w:firstLine="0" w:firstLineChars="0"/>
              <w:jc w:val="right"/>
              <w:rPr>
                <w:rFonts w:hint="eastAsia" w:ascii="仿宋_GB2312" w:hAnsi="仿宋_GB2312" w:cs="仿宋_GB2312"/>
                <w:b/>
                <w:bCs/>
                <w:color w:val="000000"/>
                <w:kern w:val="2"/>
                <w:sz w:val="21"/>
                <w:szCs w:val="21"/>
                <w14:ligatures w14:val="standardContextual"/>
              </w:rPr>
            </w:pPr>
          </w:p>
        </w:tc>
        <w:tc>
          <w:tcPr>
            <w:tcW w:w="254" w:type="pct"/>
            <w:tcBorders>
              <w:tl2br w:val="nil"/>
              <w:tr2bl w:val="nil"/>
            </w:tcBorders>
            <w:shd w:val="clear" w:color="auto" w:fill="auto"/>
            <w:noWrap/>
            <w:vAlign w:val="center"/>
          </w:tcPr>
          <w:p>
            <w:pPr>
              <w:widowControl/>
              <w:spacing w:line="280" w:lineRule="exact"/>
              <w:ind w:firstLine="0" w:firstLineChars="0"/>
              <w:jc w:val="right"/>
              <w:rPr>
                <w:rFonts w:hint="eastAsia" w:ascii="仿宋_GB2312" w:hAnsi="仿宋_GB2312" w:cs="仿宋_GB2312"/>
                <w:b/>
                <w:bCs/>
                <w:color w:val="000000"/>
                <w:kern w:val="2"/>
                <w:sz w:val="21"/>
                <w:szCs w:val="21"/>
                <w14:ligatures w14:val="standardContextual"/>
              </w:rPr>
            </w:pPr>
          </w:p>
        </w:tc>
        <w:tc>
          <w:tcPr>
            <w:tcW w:w="302" w:type="pct"/>
            <w:tcBorders>
              <w:tl2br w:val="nil"/>
              <w:tr2bl w:val="nil"/>
            </w:tcBorders>
            <w:shd w:val="clear" w:color="auto" w:fill="auto"/>
            <w:noWrap/>
            <w:vAlign w:val="center"/>
          </w:tcPr>
          <w:p>
            <w:pPr>
              <w:widowControl/>
              <w:spacing w:line="280" w:lineRule="exact"/>
              <w:ind w:firstLine="0" w:firstLineChars="0"/>
              <w:jc w:val="right"/>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 xml:space="preserve">   </w:t>
            </w:r>
          </w:p>
        </w:tc>
        <w:tc>
          <w:tcPr>
            <w:tcW w:w="377" w:type="pct"/>
            <w:tcBorders>
              <w:tl2br w:val="nil"/>
              <w:tr2bl w:val="nil"/>
            </w:tcBorders>
            <w:shd w:val="clear" w:color="auto" w:fill="auto"/>
            <w:noWrap/>
            <w:vAlign w:val="center"/>
          </w:tcPr>
          <w:p>
            <w:pPr>
              <w:widowControl/>
              <w:spacing w:line="280" w:lineRule="exact"/>
              <w:ind w:firstLine="0" w:firstLineChars="0"/>
              <w:jc w:val="right"/>
              <w:rPr>
                <w:rFonts w:hint="eastAsia" w:ascii="仿宋_GB2312" w:hAnsi="仿宋_GB2312" w:cs="仿宋_GB2312"/>
                <w:b/>
                <w:bCs/>
                <w:color w:val="000000"/>
                <w:kern w:val="2"/>
                <w:sz w:val="21"/>
                <w:szCs w:val="21"/>
                <w14:ligatures w14:val="standardContextual"/>
              </w:rPr>
            </w:pPr>
          </w:p>
        </w:tc>
        <w:tc>
          <w:tcPr>
            <w:tcW w:w="196"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84"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8"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18"/>
            <w:tcBorders>
              <w:tl2br w:val="nil"/>
              <w:tr2bl w:val="nil"/>
            </w:tcBorders>
            <w:shd w:val="clear" w:color="auto" w:fill="auto"/>
            <w:vAlign w:val="center"/>
          </w:tcPr>
          <w:p>
            <w:pPr>
              <w:widowControl/>
              <w:spacing w:line="280" w:lineRule="exact"/>
              <w:ind w:firstLine="0" w:firstLineChars="0"/>
              <w:jc w:val="left"/>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（二）管理机构累计管理处于存续期的基金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5" w:type="pct"/>
            <w:tcBorders>
              <w:tl2br w:val="nil"/>
              <w:tr2bl w:val="nil"/>
            </w:tcBorders>
            <w:shd w:val="clear" w:color="auto" w:fill="auto"/>
            <w:vAlign w:val="center"/>
          </w:tcPr>
          <w:p>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基金名称</w:t>
            </w:r>
          </w:p>
        </w:tc>
        <w:tc>
          <w:tcPr>
            <w:tcW w:w="253" w:type="pct"/>
            <w:tcBorders>
              <w:tl2br w:val="nil"/>
              <w:tr2bl w:val="nil"/>
            </w:tcBorders>
            <w:shd w:val="clear" w:color="auto" w:fill="auto"/>
            <w:vAlign w:val="center"/>
          </w:tcPr>
          <w:p>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基协备案编号</w:t>
            </w:r>
          </w:p>
        </w:tc>
        <w:tc>
          <w:tcPr>
            <w:tcW w:w="227" w:type="pct"/>
            <w:tcBorders>
              <w:tl2br w:val="nil"/>
              <w:tr2bl w:val="nil"/>
            </w:tcBorders>
            <w:shd w:val="clear" w:color="auto" w:fill="auto"/>
            <w:vAlign w:val="center"/>
          </w:tcPr>
          <w:p>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设立时间</w:t>
            </w:r>
          </w:p>
        </w:tc>
        <w:tc>
          <w:tcPr>
            <w:tcW w:w="306" w:type="pct"/>
            <w:tcBorders>
              <w:tl2br w:val="nil"/>
              <w:tr2bl w:val="nil"/>
            </w:tcBorders>
            <w:shd w:val="clear" w:color="auto" w:fill="auto"/>
            <w:vAlign w:val="center"/>
          </w:tcPr>
          <w:p>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认缴总规模</w:t>
            </w:r>
            <w:r>
              <w:rPr>
                <w:rFonts w:hint="eastAsia" w:ascii="仿宋_GB2312" w:hAnsi="仿宋_GB2312" w:cs="仿宋_GB2312"/>
                <w:b/>
                <w:bCs/>
                <w:color w:val="000000"/>
                <w:sz w:val="21"/>
                <w:szCs w:val="21"/>
                <w:lang w:bidi="ar"/>
                <w14:ligatures w14:val="standardContextual"/>
              </w:rPr>
              <w:br w:type="textWrapping"/>
            </w:r>
            <w:r>
              <w:rPr>
                <w:rFonts w:ascii="仿宋_GB2312" w:hAnsi="仿宋_GB2312" w:cs="仿宋_GB2312"/>
                <w:b/>
                <w:bCs/>
                <w:color w:val="000000"/>
                <w:sz w:val="21"/>
                <w:szCs w:val="21"/>
                <w:lang w:bidi="ar"/>
                <w14:ligatures w14:val="standardContextual"/>
              </w:rPr>
              <w:t>(</w:t>
            </w:r>
            <w:r>
              <w:rPr>
                <w:rFonts w:hint="eastAsia" w:ascii="仿宋_GB2312" w:hAnsi="仿宋_GB2312" w:cs="仿宋_GB2312"/>
                <w:b/>
                <w:bCs/>
                <w:color w:val="000000"/>
                <w:sz w:val="21"/>
                <w:szCs w:val="21"/>
                <w:lang w:bidi="ar"/>
                <w14:ligatures w14:val="standardContextual"/>
              </w:rPr>
              <w:t>亿元</w:t>
            </w:r>
            <w:r>
              <w:rPr>
                <w:rFonts w:ascii="仿宋_GB2312" w:hAnsi="仿宋_GB2312" w:cs="仿宋_GB2312"/>
                <w:b/>
                <w:bCs/>
                <w:color w:val="000000"/>
                <w:sz w:val="21"/>
                <w:szCs w:val="21"/>
                <w:lang w:bidi="ar"/>
                <w14:ligatures w14:val="standardContextual"/>
              </w:rPr>
              <w:t>)</w:t>
            </w:r>
          </w:p>
        </w:tc>
        <w:tc>
          <w:tcPr>
            <w:tcW w:w="301" w:type="pct"/>
            <w:tcBorders>
              <w:tl2br w:val="nil"/>
              <w:tr2bl w:val="nil"/>
            </w:tcBorders>
            <w:shd w:val="clear" w:color="auto" w:fill="auto"/>
            <w:vAlign w:val="center"/>
          </w:tcPr>
          <w:p>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已实缴到位规模</w:t>
            </w:r>
            <w:r>
              <w:rPr>
                <w:rFonts w:ascii="仿宋_GB2312" w:hAnsi="仿宋_GB2312" w:cs="仿宋_GB2312"/>
                <w:b/>
                <w:bCs/>
                <w:color w:val="000000"/>
                <w:sz w:val="21"/>
                <w:szCs w:val="21"/>
                <w:lang w:bidi="ar"/>
                <w14:ligatures w14:val="standardContextual"/>
              </w:rPr>
              <w:t>(</w:t>
            </w:r>
            <w:r>
              <w:rPr>
                <w:rFonts w:hint="eastAsia" w:ascii="仿宋_GB2312" w:hAnsi="仿宋_GB2312" w:cs="仿宋_GB2312"/>
                <w:b/>
                <w:bCs/>
                <w:color w:val="000000"/>
                <w:sz w:val="21"/>
                <w:szCs w:val="21"/>
                <w:lang w:bidi="ar"/>
                <w14:ligatures w14:val="standardContextual"/>
              </w:rPr>
              <w:t>亿元</w:t>
            </w:r>
            <w:r>
              <w:rPr>
                <w:rFonts w:ascii="仿宋_GB2312" w:hAnsi="仿宋_GB2312" w:cs="仿宋_GB2312"/>
                <w:b/>
                <w:bCs/>
                <w:color w:val="000000"/>
                <w:sz w:val="21"/>
                <w:szCs w:val="21"/>
                <w:lang w:bidi="ar"/>
                <w14:ligatures w14:val="standardContextual"/>
              </w:rPr>
              <w:t>)</w:t>
            </w:r>
          </w:p>
        </w:tc>
        <w:tc>
          <w:tcPr>
            <w:tcW w:w="296" w:type="pct"/>
            <w:tcBorders>
              <w:tl2br w:val="nil"/>
              <w:tr2bl w:val="nil"/>
            </w:tcBorders>
            <w:shd w:val="clear" w:color="auto" w:fill="auto"/>
            <w:vAlign w:val="center"/>
          </w:tcPr>
          <w:p>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已投资规模</w:t>
            </w:r>
            <w:r>
              <w:rPr>
                <w:rFonts w:hint="eastAsia" w:ascii="仿宋_GB2312" w:hAnsi="仿宋_GB2312" w:cs="仿宋_GB2312"/>
                <w:b/>
                <w:bCs/>
                <w:color w:val="000000"/>
                <w:sz w:val="21"/>
                <w:szCs w:val="21"/>
                <w:lang w:bidi="ar"/>
                <w14:ligatures w14:val="standardContextual"/>
              </w:rPr>
              <w:br w:type="textWrapping"/>
            </w:r>
            <w:r>
              <w:rPr>
                <w:rFonts w:ascii="仿宋_GB2312" w:hAnsi="仿宋_GB2312" w:cs="仿宋_GB2312"/>
                <w:b/>
                <w:bCs/>
                <w:color w:val="000000"/>
                <w:sz w:val="21"/>
                <w:szCs w:val="21"/>
                <w:lang w:bidi="ar"/>
                <w14:ligatures w14:val="standardContextual"/>
              </w:rPr>
              <w:t>(</w:t>
            </w:r>
            <w:r>
              <w:rPr>
                <w:rFonts w:hint="eastAsia" w:ascii="仿宋_GB2312" w:hAnsi="仿宋_GB2312" w:cs="仿宋_GB2312"/>
                <w:b/>
                <w:bCs/>
                <w:color w:val="000000"/>
                <w:sz w:val="21"/>
                <w:szCs w:val="21"/>
                <w:lang w:bidi="ar"/>
                <w14:ligatures w14:val="standardContextual"/>
              </w:rPr>
              <w:t>亿元</w:t>
            </w:r>
            <w:r>
              <w:rPr>
                <w:rFonts w:ascii="仿宋_GB2312" w:hAnsi="仿宋_GB2312" w:cs="仿宋_GB2312"/>
                <w:b/>
                <w:bCs/>
                <w:color w:val="000000"/>
                <w:sz w:val="21"/>
                <w:szCs w:val="21"/>
                <w:lang w:bidi="ar"/>
                <w14:ligatures w14:val="standardContextual"/>
              </w:rPr>
              <w:t>)</w:t>
            </w:r>
          </w:p>
        </w:tc>
        <w:tc>
          <w:tcPr>
            <w:tcW w:w="325" w:type="pct"/>
            <w:tcBorders>
              <w:tl2br w:val="nil"/>
              <w:tr2bl w:val="nil"/>
            </w:tcBorders>
            <w:shd w:val="clear" w:color="auto" w:fill="auto"/>
            <w:vAlign w:val="center"/>
          </w:tcPr>
          <w:p>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存续期限</w:t>
            </w:r>
          </w:p>
        </w:tc>
        <w:tc>
          <w:tcPr>
            <w:tcW w:w="265" w:type="pct"/>
            <w:tcBorders>
              <w:tl2br w:val="nil"/>
              <w:tr2bl w:val="nil"/>
            </w:tcBorders>
            <w:shd w:val="clear" w:color="auto" w:fill="auto"/>
            <w:vAlign w:val="center"/>
          </w:tcPr>
          <w:p>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备案类型（VC/PE）</w:t>
            </w:r>
          </w:p>
        </w:tc>
        <w:tc>
          <w:tcPr>
            <w:tcW w:w="254" w:type="pct"/>
            <w:tcBorders>
              <w:tl2br w:val="nil"/>
              <w:tr2bl w:val="nil"/>
            </w:tcBorders>
            <w:shd w:val="clear" w:color="auto" w:fill="auto"/>
            <w:vAlign w:val="center"/>
          </w:tcPr>
          <w:p>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地域范围</w:t>
            </w:r>
          </w:p>
        </w:tc>
        <w:tc>
          <w:tcPr>
            <w:tcW w:w="212" w:type="pct"/>
            <w:tcBorders>
              <w:tl2br w:val="nil"/>
              <w:tr2bl w:val="nil"/>
            </w:tcBorders>
            <w:shd w:val="clear" w:color="auto" w:fill="auto"/>
            <w:vAlign w:val="center"/>
          </w:tcPr>
          <w:p>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投资领域/行业</w:t>
            </w:r>
          </w:p>
        </w:tc>
        <w:tc>
          <w:tcPr>
            <w:tcW w:w="212" w:type="pct"/>
            <w:tcBorders>
              <w:tl2br w:val="nil"/>
              <w:tr2bl w:val="nil"/>
            </w:tcBorders>
            <w:shd w:val="clear" w:color="auto" w:fill="auto"/>
            <w:vAlign w:val="center"/>
          </w:tcPr>
          <w:p>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基金关键人士</w:t>
            </w:r>
          </w:p>
        </w:tc>
        <w:tc>
          <w:tcPr>
            <w:tcW w:w="254" w:type="pct"/>
            <w:tcBorders>
              <w:tl2br w:val="nil"/>
              <w:tr2bl w:val="nil"/>
            </w:tcBorders>
            <w:shd w:val="clear" w:color="auto" w:fill="auto"/>
            <w:vAlign w:val="center"/>
          </w:tcPr>
          <w:p>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已IPO项目数量</w:t>
            </w:r>
          </w:p>
        </w:tc>
        <w:tc>
          <w:tcPr>
            <w:tcW w:w="254" w:type="pct"/>
            <w:tcBorders>
              <w:tl2br w:val="nil"/>
              <w:tr2bl w:val="nil"/>
            </w:tcBorders>
            <w:shd w:val="clear" w:color="auto" w:fill="auto"/>
            <w:vAlign w:val="center"/>
          </w:tcPr>
          <w:p>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已IPO项目简称</w:t>
            </w:r>
          </w:p>
        </w:tc>
        <w:tc>
          <w:tcPr>
            <w:tcW w:w="302" w:type="pct"/>
            <w:tcBorders>
              <w:tl2br w:val="nil"/>
              <w:tr2bl w:val="nil"/>
            </w:tcBorders>
            <w:shd w:val="clear" w:color="auto" w:fill="auto"/>
            <w:vAlign w:val="center"/>
          </w:tcPr>
          <w:p>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已分配收益情况（亿元）</w:t>
            </w:r>
          </w:p>
        </w:tc>
        <w:tc>
          <w:tcPr>
            <w:tcW w:w="377" w:type="pct"/>
            <w:tcBorders>
              <w:tl2br w:val="nil"/>
              <w:tr2bl w:val="nil"/>
            </w:tcBorders>
            <w:shd w:val="clear" w:color="auto" w:fill="auto"/>
            <w:vAlign w:val="center"/>
          </w:tcPr>
          <w:p>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已IPO上市项目持有流通市值（亿元）</w:t>
            </w:r>
          </w:p>
        </w:tc>
        <w:tc>
          <w:tcPr>
            <w:tcW w:w="196" w:type="pct"/>
            <w:tcBorders>
              <w:tl2br w:val="nil"/>
              <w:tr2bl w:val="nil"/>
            </w:tcBorders>
            <w:shd w:val="clear" w:color="auto" w:fill="auto"/>
            <w:vAlign w:val="center"/>
          </w:tcPr>
          <w:p>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DPI</w:t>
            </w:r>
          </w:p>
        </w:tc>
        <w:tc>
          <w:tcPr>
            <w:tcW w:w="284" w:type="pct"/>
            <w:tcBorders>
              <w:tl2br w:val="nil"/>
              <w:tr2bl w:val="nil"/>
            </w:tcBorders>
            <w:shd w:val="clear" w:color="auto" w:fill="auto"/>
            <w:vAlign w:val="center"/>
          </w:tcPr>
          <w:p>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是否有政府引导基金参与</w:t>
            </w:r>
          </w:p>
        </w:tc>
        <w:tc>
          <w:tcPr>
            <w:tcW w:w="258" w:type="pct"/>
            <w:tcBorders>
              <w:tl2br w:val="nil"/>
              <w:tr2bl w:val="nil"/>
            </w:tcBorders>
            <w:shd w:val="clear" w:color="auto" w:fill="auto"/>
            <w:vAlign w:val="center"/>
          </w:tcPr>
          <w:p>
            <w:pPr>
              <w:widowControl/>
              <w:spacing w:line="20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5" w:type="pct"/>
            <w:tcBorders>
              <w:tl2br w:val="nil"/>
              <w:tr2bl w:val="nil"/>
            </w:tcBorders>
            <w:shd w:val="clear" w:color="auto" w:fill="auto"/>
            <w:vAlign w:val="center"/>
          </w:tcPr>
          <w:p>
            <w:pPr>
              <w:widowControl/>
              <w:spacing w:line="280" w:lineRule="exact"/>
              <w:ind w:firstLine="0" w:firstLineChars="0"/>
              <w:jc w:val="center"/>
              <w:textAlignment w:val="center"/>
              <w:rPr>
                <w:rFonts w:hint="eastAsia" w:ascii="仿宋_GB2312" w:hAnsi="仿宋_GB2312" w:cs="仿宋_GB2312"/>
                <w:i/>
                <w:iCs/>
                <w:color w:val="000000"/>
                <w:kern w:val="2"/>
                <w:sz w:val="21"/>
                <w:szCs w:val="21"/>
                <w14:ligatures w14:val="standardContextual"/>
              </w:rPr>
            </w:pPr>
            <w:r>
              <w:rPr>
                <w:rFonts w:hint="eastAsia" w:ascii="仿宋_GB2312" w:hAnsi="仿宋_GB2312" w:cs="仿宋_GB2312"/>
                <w:i/>
                <w:iCs/>
                <w:color w:val="000000"/>
                <w:spacing w:val="-11"/>
                <w:sz w:val="21"/>
                <w:szCs w:val="21"/>
                <w:lang w:bidi="ar"/>
                <w14:ligatures w14:val="standardContextual"/>
              </w:rPr>
              <w:t>例： B基金</w:t>
            </w:r>
          </w:p>
        </w:tc>
        <w:tc>
          <w:tcPr>
            <w:tcW w:w="253" w:type="pct"/>
            <w:tcBorders>
              <w:tl2br w:val="nil"/>
              <w:tr2bl w:val="nil"/>
            </w:tcBorders>
            <w:shd w:val="clear" w:color="auto" w:fill="auto"/>
            <w:vAlign w:val="center"/>
          </w:tcPr>
          <w:p>
            <w:pPr>
              <w:widowControl/>
              <w:spacing w:line="280" w:lineRule="exact"/>
              <w:ind w:firstLine="0" w:firstLineChars="0"/>
              <w:jc w:val="center"/>
              <w:rPr>
                <w:rFonts w:hint="eastAsia" w:ascii="仿宋_GB2312" w:hAnsi="仿宋_GB2312" w:cs="仿宋_GB2312"/>
                <w:color w:val="000000"/>
                <w:kern w:val="2"/>
                <w:sz w:val="21"/>
                <w:szCs w:val="21"/>
                <w14:ligatures w14:val="standardContextual"/>
              </w:rPr>
            </w:pPr>
          </w:p>
        </w:tc>
        <w:tc>
          <w:tcPr>
            <w:tcW w:w="227"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06"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01"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96"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25" w:type="pct"/>
            <w:tcBorders>
              <w:tl2br w:val="nil"/>
              <w:tr2bl w:val="nil"/>
            </w:tcBorders>
            <w:shd w:val="clear" w:color="auto" w:fill="auto"/>
            <w:vAlign w:val="center"/>
          </w:tcPr>
          <w:p>
            <w:pPr>
              <w:widowControl/>
              <w:spacing w:line="280" w:lineRule="exact"/>
              <w:ind w:firstLine="0" w:firstLineChars="0"/>
              <w:jc w:val="center"/>
              <w:textAlignment w:val="center"/>
              <w:rPr>
                <w:rFonts w:hint="eastAsia" w:ascii="仿宋_GB2312" w:hAnsi="仿宋_GB2312" w:cs="仿宋_GB2312"/>
                <w:i/>
                <w:iCs/>
                <w:color w:val="000000"/>
                <w:kern w:val="2"/>
                <w:sz w:val="21"/>
                <w:szCs w:val="21"/>
                <w14:ligatures w14:val="standardContextual"/>
              </w:rPr>
            </w:pPr>
            <w:r>
              <w:rPr>
                <w:rFonts w:hint="eastAsia" w:ascii="仿宋_GB2312" w:hAnsi="仿宋_GB2312" w:cs="仿宋_GB2312"/>
                <w:i/>
                <w:iCs/>
                <w:color w:val="000000"/>
                <w:sz w:val="21"/>
                <w:szCs w:val="21"/>
                <w:lang w:bidi="ar"/>
                <w14:ligatures w14:val="standardContextual"/>
              </w:rPr>
              <w:t>例：4+4</w:t>
            </w:r>
          </w:p>
        </w:tc>
        <w:tc>
          <w:tcPr>
            <w:tcW w:w="265"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12" w:type="pct"/>
            <w:tcBorders>
              <w:tl2br w:val="nil"/>
              <w:tr2bl w:val="nil"/>
            </w:tcBorders>
            <w:shd w:val="clear" w:color="auto" w:fill="auto"/>
            <w:vAlign w:val="center"/>
          </w:tcPr>
          <w:p>
            <w:pPr>
              <w:widowControl/>
              <w:spacing w:line="280" w:lineRule="exact"/>
              <w:ind w:firstLine="0" w:firstLineChars="0"/>
              <w:jc w:val="center"/>
              <w:rPr>
                <w:rFonts w:hint="eastAsia" w:ascii="仿宋_GB2312" w:hAnsi="仿宋_GB2312" w:cs="仿宋_GB2312"/>
                <w:color w:val="000000"/>
                <w:kern w:val="2"/>
                <w:sz w:val="21"/>
                <w:szCs w:val="21"/>
                <w14:ligatures w14:val="standardContextual"/>
              </w:rPr>
            </w:pPr>
          </w:p>
        </w:tc>
        <w:tc>
          <w:tcPr>
            <w:tcW w:w="212"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02"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77"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196"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84"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8"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5"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3"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27"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06"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01"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96"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25"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65"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12"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12"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02"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77"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196"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84"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8"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5"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3"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27"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06"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01"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96"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25"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65"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12"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12"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02"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77"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196"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84"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8"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5" w:type="pct"/>
            <w:tcBorders>
              <w:tl2br w:val="nil"/>
              <w:tr2bl w:val="nil"/>
            </w:tcBorders>
            <w:shd w:val="clear" w:color="auto" w:fill="auto"/>
            <w:vAlign w:val="center"/>
          </w:tcPr>
          <w:p>
            <w:pPr>
              <w:widowControl/>
              <w:spacing w:line="28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合计</w:t>
            </w:r>
          </w:p>
        </w:tc>
        <w:tc>
          <w:tcPr>
            <w:tcW w:w="253"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27"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306" w:type="pct"/>
            <w:tcBorders>
              <w:tl2br w:val="nil"/>
              <w:tr2bl w:val="nil"/>
            </w:tcBorders>
            <w:shd w:val="clear" w:color="auto" w:fill="auto"/>
            <w:noWrap/>
            <w:vAlign w:val="center"/>
          </w:tcPr>
          <w:p>
            <w:pPr>
              <w:widowControl/>
              <w:spacing w:line="280" w:lineRule="exact"/>
              <w:ind w:firstLine="0" w:firstLineChars="0"/>
              <w:jc w:val="right"/>
              <w:textAlignment w:val="center"/>
              <w:rPr>
                <w:rFonts w:hint="eastAsia" w:ascii="仿宋_GB2312" w:hAnsi="仿宋_GB2312" w:cs="仿宋_GB2312"/>
                <w:b/>
                <w:bCs/>
                <w:color w:val="000000"/>
                <w:kern w:val="2"/>
                <w:sz w:val="21"/>
                <w:szCs w:val="21"/>
                <w14:ligatures w14:val="standardContextual"/>
              </w:rPr>
            </w:pPr>
          </w:p>
        </w:tc>
        <w:tc>
          <w:tcPr>
            <w:tcW w:w="301" w:type="pct"/>
            <w:tcBorders>
              <w:tl2br w:val="nil"/>
              <w:tr2bl w:val="nil"/>
            </w:tcBorders>
            <w:shd w:val="clear" w:color="auto" w:fill="auto"/>
            <w:noWrap/>
            <w:vAlign w:val="center"/>
          </w:tcPr>
          <w:p>
            <w:pPr>
              <w:widowControl/>
              <w:spacing w:line="280" w:lineRule="exact"/>
              <w:ind w:firstLine="0" w:firstLineChars="0"/>
              <w:jc w:val="right"/>
              <w:textAlignment w:val="center"/>
              <w:rPr>
                <w:rFonts w:hint="eastAsia" w:ascii="仿宋_GB2312" w:hAnsi="仿宋_GB2312" w:cs="仿宋_GB2312"/>
                <w:b/>
                <w:bCs/>
                <w:color w:val="000000"/>
                <w:kern w:val="2"/>
                <w:sz w:val="21"/>
                <w:szCs w:val="21"/>
                <w14:ligatures w14:val="standardContextual"/>
              </w:rPr>
            </w:pPr>
          </w:p>
        </w:tc>
        <w:tc>
          <w:tcPr>
            <w:tcW w:w="296" w:type="pct"/>
            <w:tcBorders>
              <w:tl2br w:val="nil"/>
              <w:tr2bl w:val="nil"/>
            </w:tcBorders>
            <w:shd w:val="clear" w:color="auto" w:fill="auto"/>
            <w:noWrap/>
            <w:vAlign w:val="center"/>
          </w:tcPr>
          <w:p>
            <w:pPr>
              <w:widowControl/>
              <w:spacing w:line="280" w:lineRule="exact"/>
              <w:ind w:firstLine="0" w:firstLineChars="0"/>
              <w:jc w:val="right"/>
              <w:textAlignment w:val="center"/>
              <w:rPr>
                <w:rFonts w:hint="eastAsia" w:ascii="仿宋_GB2312" w:hAnsi="仿宋_GB2312" w:cs="仿宋_GB2312"/>
                <w:b/>
                <w:bCs/>
                <w:color w:val="000000"/>
                <w:kern w:val="2"/>
                <w:sz w:val="21"/>
                <w:szCs w:val="21"/>
                <w14:ligatures w14:val="standardContextual"/>
              </w:rPr>
            </w:pPr>
          </w:p>
        </w:tc>
        <w:tc>
          <w:tcPr>
            <w:tcW w:w="325" w:type="pct"/>
            <w:tcBorders>
              <w:tl2br w:val="nil"/>
              <w:tr2bl w:val="nil"/>
            </w:tcBorders>
            <w:shd w:val="clear" w:color="auto" w:fill="auto"/>
            <w:noWrap/>
            <w:vAlign w:val="center"/>
          </w:tcPr>
          <w:p>
            <w:pPr>
              <w:widowControl/>
              <w:spacing w:line="280" w:lineRule="exact"/>
              <w:ind w:firstLine="0" w:firstLineChars="0"/>
              <w:jc w:val="right"/>
              <w:rPr>
                <w:rFonts w:hint="eastAsia" w:ascii="仿宋_GB2312" w:hAnsi="仿宋_GB2312" w:cs="仿宋_GB2312"/>
                <w:b/>
                <w:bCs/>
                <w:color w:val="000000"/>
                <w:kern w:val="2"/>
                <w:sz w:val="21"/>
                <w:szCs w:val="21"/>
                <w14:ligatures w14:val="standardContextual"/>
              </w:rPr>
            </w:pPr>
          </w:p>
        </w:tc>
        <w:tc>
          <w:tcPr>
            <w:tcW w:w="265" w:type="pct"/>
            <w:tcBorders>
              <w:tl2br w:val="nil"/>
              <w:tr2bl w:val="nil"/>
            </w:tcBorders>
            <w:shd w:val="clear" w:color="auto" w:fill="auto"/>
            <w:noWrap/>
            <w:vAlign w:val="center"/>
          </w:tcPr>
          <w:p>
            <w:pPr>
              <w:widowControl/>
              <w:spacing w:line="280" w:lineRule="exact"/>
              <w:ind w:firstLine="0" w:firstLineChars="0"/>
              <w:jc w:val="right"/>
              <w:rPr>
                <w:rFonts w:hint="eastAsia" w:ascii="仿宋_GB2312" w:hAnsi="仿宋_GB2312" w:cs="仿宋_GB2312"/>
                <w:b/>
                <w:bCs/>
                <w:color w:val="000000"/>
                <w:kern w:val="2"/>
                <w:sz w:val="21"/>
                <w:szCs w:val="21"/>
                <w14:ligatures w14:val="standardContextual"/>
              </w:rPr>
            </w:pPr>
          </w:p>
        </w:tc>
        <w:tc>
          <w:tcPr>
            <w:tcW w:w="254" w:type="pct"/>
            <w:tcBorders>
              <w:tl2br w:val="nil"/>
              <w:tr2bl w:val="nil"/>
            </w:tcBorders>
            <w:shd w:val="clear" w:color="auto" w:fill="auto"/>
            <w:noWrap/>
            <w:vAlign w:val="center"/>
          </w:tcPr>
          <w:p>
            <w:pPr>
              <w:widowControl/>
              <w:spacing w:line="280" w:lineRule="exact"/>
              <w:ind w:firstLine="0" w:firstLineChars="0"/>
              <w:jc w:val="right"/>
              <w:rPr>
                <w:rFonts w:hint="eastAsia" w:ascii="仿宋_GB2312" w:hAnsi="仿宋_GB2312" w:cs="仿宋_GB2312"/>
                <w:b/>
                <w:bCs/>
                <w:color w:val="000000"/>
                <w:kern w:val="2"/>
                <w:sz w:val="21"/>
                <w:szCs w:val="21"/>
                <w14:ligatures w14:val="standardContextual"/>
              </w:rPr>
            </w:pPr>
          </w:p>
        </w:tc>
        <w:tc>
          <w:tcPr>
            <w:tcW w:w="212" w:type="pct"/>
            <w:tcBorders>
              <w:tl2br w:val="nil"/>
              <w:tr2bl w:val="nil"/>
            </w:tcBorders>
            <w:shd w:val="clear" w:color="auto" w:fill="auto"/>
            <w:noWrap/>
            <w:vAlign w:val="center"/>
          </w:tcPr>
          <w:p>
            <w:pPr>
              <w:widowControl/>
              <w:spacing w:line="280" w:lineRule="exact"/>
              <w:ind w:firstLine="0" w:firstLineChars="0"/>
              <w:jc w:val="right"/>
              <w:rPr>
                <w:rFonts w:hint="eastAsia" w:ascii="仿宋_GB2312" w:hAnsi="仿宋_GB2312" w:cs="仿宋_GB2312"/>
                <w:b/>
                <w:bCs/>
                <w:color w:val="000000"/>
                <w:kern w:val="2"/>
                <w:sz w:val="21"/>
                <w:szCs w:val="21"/>
                <w14:ligatures w14:val="standardContextual"/>
              </w:rPr>
            </w:pPr>
          </w:p>
        </w:tc>
        <w:tc>
          <w:tcPr>
            <w:tcW w:w="212" w:type="pct"/>
            <w:tcBorders>
              <w:tl2br w:val="nil"/>
              <w:tr2bl w:val="nil"/>
            </w:tcBorders>
            <w:shd w:val="clear" w:color="auto" w:fill="auto"/>
            <w:noWrap/>
            <w:vAlign w:val="center"/>
          </w:tcPr>
          <w:p>
            <w:pPr>
              <w:widowControl/>
              <w:spacing w:line="280" w:lineRule="exact"/>
              <w:ind w:firstLine="0" w:firstLineChars="0"/>
              <w:jc w:val="right"/>
              <w:rPr>
                <w:rFonts w:hint="eastAsia" w:ascii="仿宋_GB2312" w:hAnsi="仿宋_GB2312" w:cs="仿宋_GB2312"/>
                <w:b/>
                <w:bCs/>
                <w:color w:val="000000"/>
                <w:kern w:val="2"/>
                <w:sz w:val="21"/>
                <w:szCs w:val="21"/>
                <w14:ligatures w14:val="standardContextual"/>
              </w:rPr>
            </w:pPr>
          </w:p>
        </w:tc>
        <w:tc>
          <w:tcPr>
            <w:tcW w:w="254" w:type="pct"/>
            <w:tcBorders>
              <w:tl2br w:val="nil"/>
              <w:tr2bl w:val="nil"/>
            </w:tcBorders>
            <w:shd w:val="clear" w:color="auto" w:fill="auto"/>
            <w:noWrap/>
            <w:vAlign w:val="center"/>
          </w:tcPr>
          <w:p>
            <w:pPr>
              <w:widowControl/>
              <w:spacing w:line="280" w:lineRule="exact"/>
              <w:ind w:firstLine="0" w:firstLineChars="0"/>
              <w:jc w:val="right"/>
              <w:rPr>
                <w:rFonts w:hint="eastAsia" w:ascii="仿宋_GB2312" w:hAnsi="仿宋_GB2312" w:cs="仿宋_GB2312"/>
                <w:b/>
                <w:bCs/>
                <w:color w:val="000000"/>
                <w:kern w:val="2"/>
                <w:sz w:val="21"/>
                <w:szCs w:val="21"/>
                <w14:ligatures w14:val="standardContextual"/>
              </w:rPr>
            </w:pPr>
          </w:p>
        </w:tc>
        <w:tc>
          <w:tcPr>
            <w:tcW w:w="254" w:type="pct"/>
            <w:tcBorders>
              <w:tl2br w:val="nil"/>
              <w:tr2bl w:val="nil"/>
            </w:tcBorders>
            <w:shd w:val="clear" w:color="auto" w:fill="auto"/>
            <w:noWrap/>
            <w:vAlign w:val="center"/>
          </w:tcPr>
          <w:p>
            <w:pPr>
              <w:widowControl/>
              <w:spacing w:line="280" w:lineRule="exact"/>
              <w:ind w:firstLine="0" w:firstLineChars="0"/>
              <w:jc w:val="right"/>
              <w:rPr>
                <w:rFonts w:hint="eastAsia" w:ascii="仿宋_GB2312" w:hAnsi="仿宋_GB2312" w:cs="仿宋_GB2312"/>
                <w:b/>
                <w:bCs/>
                <w:color w:val="000000"/>
                <w:kern w:val="2"/>
                <w:sz w:val="21"/>
                <w:szCs w:val="21"/>
                <w14:ligatures w14:val="standardContextual"/>
              </w:rPr>
            </w:pPr>
          </w:p>
        </w:tc>
        <w:tc>
          <w:tcPr>
            <w:tcW w:w="302" w:type="pct"/>
            <w:tcBorders>
              <w:tl2br w:val="nil"/>
              <w:tr2bl w:val="nil"/>
            </w:tcBorders>
            <w:shd w:val="clear" w:color="auto" w:fill="auto"/>
            <w:noWrap/>
            <w:vAlign w:val="center"/>
          </w:tcPr>
          <w:p>
            <w:pPr>
              <w:widowControl/>
              <w:spacing w:line="280" w:lineRule="exact"/>
              <w:ind w:firstLine="0" w:firstLineChars="0"/>
              <w:jc w:val="right"/>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 xml:space="preserve">    </w:t>
            </w:r>
          </w:p>
        </w:tc>
        <w:tc>
          <w:tcPr>
            <w:tcW w:w="377" w:type="pct"/>
            <w:tcBorders>
              <w:tl2br w:val="nil"/>
              <w:tr2bl w:val="nil"/>
            </w:tcBorders>
            <w:shd w:val="clear" w:color="auto" w:fill="auto"/>
            <w:noWrap/>
            <w:vAlign w:val="center"/>
          </w:tcPr>
          <w:p>
            <w:pPr>
              <w:widowControl/>
              <w:spacing w:line="280" w:lineRule="exact"/>
              <w:ind w:firstLine="0" w:firstLineChars="0"/>
              <w:jc w:val="right"/>
              <w:rPr>
                <w:rFonts w:hint="eastAsia" w:ascii="仿宋_GB2312" w:hAnsi="仿宋_GB2312" w:cs="仿宋_GB2312"/>
                <w:b/>
                <w:bCs/>
                <w:color w:val="000000"/>
                <w:kern w:val="2"/>
                <w:sz w:val="21"/>
                <w:szCs w:val="21"/>
                <w14:ligatures w14:val="standardContextual"/>
              </w:rPr>
            </w:pPr>
          </w:p>
        </w:tc>
        <w:tc>
          <w:tcPr>
            <w:tcW w:w="196"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84"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c>
          <w:tcPr>
            <w:tcW w:w="258" w:type="pct"/>
            <w:tcBorders>
              <w:tl2br w:val="nil"/>
              <w:tr2bl w:val="nil"/>
            </w:tcBorders>
            <w:shd w:val="clear" w:color="auto" w:fill="auto"/>
            <w:vAlign w:val="center"/>
          </w:tcPr>
          <w:p>
            <w:pPr>
              <w:widowControl/>
              <w:spacing w:line="280" w:lineRule="exact"/>
              <w:ind w:firstLine="0" w:firstLineChars="0"/>
              <w:rPr>
                <w:rFonts w:hint="eastAsia" w:ascii="仿宋_GB2312" w:hAnsi="仿宋_GB2312" w:cs="仿宋_GB2312"/>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18"/>
            <w:tcBorders>
              <w:tl2br w:val="nil"/>
              <w:tr2bl w:val="nil"/>
            </w:tcBorders>
            <w:shd w:val="clear" w:color="auto" w:fill="auto"/>
            <w:vAlign w:val="center"/>
          </w:tcPr>
          <w:p>
            <w:pPr>
              <w:widowControl/>
              <w:spacing w:line="280" w:lineRule="exact"/>
              <w:ind w:firstLine="0" w:firstLineChars="0"/>
              <w:jc w:val="left"/>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注：处于存续期的基金，持有的项目IPO流通市值视同已分配收益，市值计算时点以遴选公告发出日为准。</w:t>
            </w:r>
          </w:p>
        </w:tc>
      </w:tr>
    </w:tbl>
    <w:p>
      <w:pPr>
        <w:spacing w:line="240" w:lineRule="auto"/>
        <w:ind w:firstLine="0" w:firstLineChars="0"/>
        <w:rPr>
          <w:rFonts w:hint="eastAsia" w:ascii="等线" w:hAnsi="等线" w:eastAsia="等线"/>
          <w:kern w:val="2"/>
          <w:sz w:val="21"/>
          <w:szCs w:val="22"/>
          <w14:ligatures w14:val="standardContextual"/>
        </w:rPr>
      </w:pPr>
      <w:r>
        <w:rPr>
          <w:rFonts w:ascii="等线" w:hAnsi="等线" w:eastAsia="等线"/>
          <w:kern w:val="2"/>
          <w:sz w:val="21"/>
          <w:szCs w:val="22"/>
          <w14:ligatures w14:val="standardContextual"/>
        </w:rPr>
        <w:br w:type="page"/>
      </w:r>
    </w:p>
    <w:tbl>
      <w:tblPr>
        <w:tblStyle w:val="12"/>
        <w:tblW w:w="536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4"/>
        <w:gridCol w:w="565"/>
        <w:gridCol w:w="656"/>
        <w:gridCol w:w="775"/>
        <w:gridCol w:w="867"/>
        <w:gridCol w:w="931"/>
        <w:gridCol w:w="745"/>
        <w:gridCol w:w="696"/>
        <w:gridCol w:w="1163"/>
        <w:gridCol w:w="684"/>
        <w:gridCol w:w="818"/>
        <w:gridCol w:w="809"/>
        <w:gridCol w:w="726"/>
        <w:gridCol w:w="696"/>
        <w:gridCol w:w="800"/>
        <w:gridCol w:w="873"/>
        <w:gridCol w:w="580"/>
        <w:gridCol w:w="1093"/>
        <w:gridCol w:w="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19"/>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r>
              <w:rPr>
                <w:rFonts w:ascii="仿宋_GB2312" w:hAnsi="仿宋_GB2312" w:cs="仿宋_GB2312"/>
                <w:b/>
                <w:bCs/>
                <w:color w:val="000000"/>
                <w:kern w:val="2"/>
                <w:sz w:val="20"/>
                <w:szCs w:val="21"/>
                <w:lang w:bidi="ar"/>
                <w14:ligatures w14:val="standardContextual"/>
              </w:rPr>
              <w:t>二、</w:t>
            </w:r>
            <w:r>
              <w:rPr>
                <w:rFonts w:hint="eastAsia" w:ascii="仿宋_GB2312" w:hAnsi="仿宋_GB2312" w:cs="仿宋_GB2312"/>
                <w:b/>
                <w:bCs/>
                <w:color w:val="000000"/>
                <w:kern w:val="2"/>
                <w:sz w:val="20"/>
                <w:szCs w:val="21"/>
                <w:lang w:bidi="ar"/>
                <w14:ligatures w14:val="standardContextual"/>
              </w:rPr>
              <w:t>投资团队</w:t>
            </w:r>
            <w:r>
              <w:rPr>
                <w:rFonts w:ascii="仿宋_GB2312" w:hAnsi="仿宋_GB2312" w:cs="仿宋_GB2312"/>
                <w:b/>
                <w:bCs/>
                <w:color w:val="000000"/>
                <w:kern w:val="2"/>
                <w:sz w:val="20"/>
                <w:szCs w:val="21"/>
                <w:lang w:bidi="ar"/>
                <w14:ligatures w14:val="standardContextual"/>
              </w:rPr>
              <w:t>核心成员累计管理基金及效益情况表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19"/>
            <w:tcBorders>
              <w:tl2br w:val="nil"/>
              <w:tr2bl w:val="nil"/>
            </w:tcBorders>
            <w:shd w:val="clear" w:color="auto" w:fill="auto"/>
            <w:vAlign w:val="center"/>
          </w:tcPr>
          <w:p>
            <w:pPr>
              <w:widowControl/>
              <w:spacing w:line="240" w:lineRule="auto"/>
              <w:ind w:firstLine="0" w:firstLineChars="0"/>
              <w:jc w:val="left"/>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（一）核心成员累计管理已清算的基金情况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7" w:type="pct"/>
            <w:tcBorders>
              <w:tl2br w:val="nil"/>
              <w:tr2bl w:val="nil"/>
            </w:tcBorders>
            <w:shd w:val="clear" w:color="auto" w:fill="auto"/>
            <w:vAlign w:val="center"/>
          </w:tcPr>
          <w:p>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核心成员姓名</w:t>
            </w:r>
          </w:p>
        </w:tc>
        <w:tc>
          <w:tcPr>
            <w:tcW w:w="185" w:type="pct"/>
            <w:tcBorders>
              <w:tl2br w:val="nil"/>
              <w:tr2bl w:val="nil"/>
            </w:tcBorders>
            <w:shd w:val="clear" w:color="auto" w:fill="auto"/>
            <w:vAlign w:val="center"/>
          </w:tcPr>
          <w:p>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基金名称</w:t>
            </w:r>
          </w:p>
        </w:tc>
        <w:tc>
          <w:tcPr>
            <w:tcW w:w="215" w:type="pct"/>
            <w:tcBorders>
              <w:tl2br w:val="nil"/>
              <w:tr2bl w:val="nil"/>
            </w:tcBorders>
            <w:shd w:val="clear" w:color="auto" w:fill="auto"/>
            <w:vAlign w:val="center"/>
          </w:tcPr>
          <w:p>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基协备案编号</w:t>
            </w:r>
          </w:p>
        </w:tc>
        <w:tc>
          <w:tcPr>
            <w:tcW w:w="254" w:type="pct"/>
            <w:tcBorders>
              <w:tl2br w:val="nil"/>
              <w:tr2bl w:val="nil"/>
            </w:tcBorders>
            <w:shd w:val="clear" w:color="auto" w:fill="auto"/>
            <w:vAlign w:val="center"/>
          </w:tcPr>
          <w:p>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设立时间</w:t>
            </w:r>
          </w:p>
        </w:tc>
        <w:tc>
          <w:tcPr>
            <w:tcW w:w="284" w:type="pct"/>
            <w:tcBorders>
              <w:tl2br w:val="nil"/>
              <w:tr2bl w:val="nil"/>
            </w:tcBorders>
            <w:shd w:val="clear" w:color="auto" w:fill="auto"/>
            <w:vAlign w:val="center"/>
          </w:tcPr>
          <w:p>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认缴总规模</w:t>
            </w:r>
            <w:r>
              <w:rPr>
                <w:rFonts w:hint="eastAsia" w:ascii="仿宋_GB2312" w:hAnsi="仿宋_GB2312" w:cs="仿宋_GB2312"/>
                <w:b/>
                <w:bCs/>
                <w:color w:val="000000"/>
                <w:sz w:val="21"/>
                <w:szCs w:val="21"/>
                <w:lang w:bidi="ar"/>
                <w14:ligatures w14:val="standardContextual"/>
              </w:rPr>
              <w:br w:type="textWrapping"/>
            </w:r>
            <w:r>
              <w:rPr>
                <w:rFonts w:hint="eastAsia" w:ascii="仿宋_GB2312" w:hAnsi="仿宋_GB2312" w:cs="仿宋_GB2312"/>
                <w:b/>
                <w:bCs/>
                <w:color w:val="000000"/>
                <w:sz w:val="21"/>
                <w:szCs w:val="21"/>
                <w:lang w:bidi="ar"/>
                <w14:ligatures w14:val="standardContextual"/>
              </w:rPr>
              <w:t>（亿元）</w:t>
            </w:r>
          </w:p>
        </w:tc>
        <w:tc>
          <w:tcPr>
            <w:tcW w:w="305" w:type="pct"/>
            <w:tcBorders>
              <w:tl2br w:val="nil"/>
              <w:tr2bl w:val="nil"/>
            </w:tcBorders>
            <w:shd w:val="clear" w:color="auto" w:fill="auto"/>
            <w:vAlign w:val="center"/>
          </w:tcPr>
          <w:p>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已实缴到位规模（亿元）</w:t>
            </w:r>
          </w:p>
        </w:tc>
        <w:tc>
          <w:tcPr>
            <w:tcW w:w="244" w:type="pct"/>
            <w:tcBorders>
              <w:tl2br w:val="nil"/>
              <w:tr2bl w:val="nil"/>
            </w:tcBorders>
            <w:shd w:val="clear" w:color="auto" w:fill="auto"/>
            <w:vAlign w:val="center"/>
          </w:tcPr>
          <w:p>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已投资规模</w:t>
            </w:r>
            <w:r>
              <w:rPr>
                <w:rFonts w:hint="eastAsia" w:ascii="仿宋_GB2312" w:hAnsi="仿宋_GB2312" w:cs="仿宋_GB2312"/>
                <w:b/>
                <w:bCs/>
                <w:color w:val="000000"/>
                <w:sz w:val="21"/>
                <w:szCs w:val="21"/>
                <w:lang w:bidi="ar"/>
                <w14:ligatures w14:val="standardContextual"/>
              </w:rPr>
              <w:br w:type="textWrapping"/>
            </w:r>
            <w:r>
              <w:rPr>
                <w:rFonts w:hint="eastAsia" w:ascii="仿宋_GB2312" w:hAnsi="仿宋_GB2312" w:cs="仿宋_GB2312"/>
                <w:b/>
                <w:bCs/>
                <w:color w:val="000000"/>
                <w:sz w:val="21"/>
                <w:szCs w:val="21"/>
                <w:lang w:bidi="ar"/>
                <w14:ligatures w14:val="standardContextual"/>
              </w:rPr>
              <w:t>（亿元）</w:t>
            </w:r>
          </w:p>
        </w:tc>
        <w:tc>
          <w:tcPr>
            <w:tcW w:w="228" w:type="pct"/>
            <w:tcBorders>
              <w:tl2br w:val="nil"/>
              <w:tr2bl w:val="nil"/>
            </w:tcBorders>
            <w:shd w:val="clear" w:color="auto" w:fill="auto"/>
            <w:vAlign w:val="center"/>
          </w:tcPr>
          <w:p>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存续期限</w:t>
            </w:r>
          </w:p>
        </w:tc>
        <w:tc>
          <w:tcPr>
            <w:tcW w:w="381" w:type="pct"/>
            <w:tcBorders>
              <w:tl2br w:val="nil"/>
              <w:tr2bl w:val="nil"/>
            </w:tcBorders>
            <w:shd w:val="clear" w:color="auto" w:fill="auto"/>
            <w:vAlign w:val="center"/>
          </w:tcPr>
          <w:p>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备案类型（VC/PE）</w:t>
            </w:r>
          </w:p>
        </w:tc>
        <w:tc>
          <w:tcPr>
            <w:tcW w:w="224" w:type="pct"/>
            <w:tcBorders>
              <w:tl2br w:val="nil"/>
              <w:tr2bl w:val="nil"/>
            </w:tcBorders>
            <w:shd w:val="clear" w:color="auto" w:fill="auto"/>
            <w:vAlign w:val="center"/>
          </w:tcPr>
          <w:p>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地域范围</w:t>
            </w:r>
          </w:p>
        </w:tc>
        <w:tc>
          <w:tcPr>
            <w:tcW w:w="268" w:type="pct"/>
            <w:tcBorders>
              <w:tl2br w:val="nil"/>
              <w:tr2bl w:val="nil"/>
            </w:tcBorders>
            <w:shd w:val="clear" w:color="auto" w:fill="auto"/>
            <w:vAlign w:val="center"/>
          </w:tcPr>
          <w:p>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投资领域/行业</w:t>
            </w:r>
          </w:p>
        </w:tc>
        <w:tc>
          <w:tcPr>
            <w:tcW w:w="265" w:type="pct"/>
            <w:tcBorders>
              <w:tl2br w:val="nil"/>
              <w:tr2bl w:val="nil"/>
            </w:tcBorders>
            <w:shd w:val="clear" w:color="auto" w:fill="auto"/>
            <w:vAlign w:val="center"/>
          </w:tcPr>
          <w:p>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基金关键人士</w:t>
            </w:r>
          </w:p>
        </w:tc>
        <w:tc>
          <w:tcPr>
            <w:tcW w:w="238" w:type="pct"/>
            <w:tcBorders>
              <w:tl2br w:val="nil"/>
              <w:tr2bl w:val="nil"/>
            </w:tcBorders>
            <w:shd w:val="clear" w:color="auto" w:fill="auto"/>
            <w:vAlign w:val="center"/>
          </w:tcPr>
          <w:p>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已IPO项目数量</w:t>
            </w:r>
          </w:p>
        </w:tc>
        <w:tc>
          <w:tcPr>
            <w:tcW w:w="228" w:type="pct"/>
            <w:tcBorders>
              <w:tl2br w:val="nil"/>
              <w:tr2bl w:val="nil"/>
            </w:tcBorders>
            <w:shd w:val="clear" w:color="auto" w:fill="auto"/>
            <w:vAlign w:val="center"/>
          </w:tcPr>
          <w:p>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已IPO项目简称</w:t>
            </w:r>
          </w:p>
        </w:tc>
        <w:tc>
          <w:tcPr>
            <w:tcW w:w="262" w:type="pct"/>
            <w:tcBorders>
              <w:tl2br w:val="nil"/>
              <w:tr2bl w:val="nil"/>
            </w:tcBorders>
            <w:shd w:val="clear" w:color="auto" w:fill="auto"/>
            <w:vAlign w:val="center"/>
          </w:tcPr>
          <w:p>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已分配收益情况（亿元）</w:t>
            </w:r>
          </w:p>
        </w:tc>
        <w:tc>
          <w:tcPr>
            <w:tcW w:w="286" w:type="pct"/>
            <w:tcBorders>
              <w:tl2br w:val="nil"/>
              <w:tr2bl w:val="nil"/>
            </w:tcBorders>
            <w:shd w:val="clear" w:color="auto" w:fill="auto"/>
            <w:vAlign w:val="center"/>
          </w:tcPr>
          <w:p>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w:t>
            </w:r>
          </w:p>
        </w:tc>
        <w:tc>
          <w:tcPr>
            <w:tcW w:w="190" w:type="pct"/>
            <w:tcBorders>
              <w:tl2br w:val="nil"/>
              <w:tr2bl w:val="nil"/>
            </w:tcBorders>
            <w:shd w:val="clear" w:color="auto" w:fill="auto"/>
            <w:vAlign w:val="center"/>
          </w:tcPr>
          <w:p>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DPI</w:t>
            </w:r>
          </w:p>
        </w:tc>
        <w:tc>
          <w:tcPr>
            <w:tcW w:w="352" w:type="pct"/>
            <w:tcBorders>
              <w:tl2br w:val="nil"/>
              <w:tr2bl w:val="nil"/>
            </w:tcBorders>
            <w:shd w:val="clear" w:color="auto" w:fill="auto"/>
            <w:vAlign w:val="center"/>
          </w:tcPr>
          <w:p>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是否有政府引导基金参与</w:t>
            </w:r>
          </w:p>
        </w:tc>
        <w:tc>
          <w:tcPr>
            <w:tcW w:w="307" w:type="pct"/>
            <w:tcBorders>
              <w:tl2br w:val="nil"/>
              <w:tr2bl w:val="nil"/>
            </w:tcBorders>
            <w:shd w:val="clear" w:color="auto" w:fill="auto"/>
            <w:vAlign w:val="center"/>
          </w:tcPr>
          <w:p>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证明人及联系电话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77"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185" w:type="pct"/>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i/>
                <w:iCs/>
                <w:color w:val="000000"/>
                <w:kern w:val="2"/>
                <w:sz w:val="21"/>
                <w:szCs w:val="21"/>
                <w14:ligatures w14:val="standardContextual"/>
              </w:rPr>
            </w:pPr>
          </w:p>
        </w:tc>
        <w:tc>
          <w:tcPr>
            <w:tcW w:w="215" w:type="pct"/>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84"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05"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44"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28"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81"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24"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68" w:type="pct"/>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265"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38"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28"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62"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86"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190"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52"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07"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77"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185" w:type="pct"/>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i/>
                <w:iCs/>
                <w:color w:val="000000"/>
                <w:kern w:val="2"/>
                <w:sz w:val="21"/>
                <w:szCs w:val="21"/>
                <w14:ligatures w14:val="standardContextual"/>
              </w:rPr>
            </w:pPr>
          </w:p>
        </w:tc>
        <w:tc>
          <w:tcPr>
            <w:tcW w:w="215" w:type="pct"/>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84"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05"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44"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28"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81"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24"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68" w:type="pct"/>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265"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38"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28"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62"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86"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190"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52"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07"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77"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合计</w:t>
            </w:r>
          </w:p>
        </w:tc>
        <w:tc>
          <w:tcPr>
            <w:tcW w:w="1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15"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84" w:type="pct"/>
            <w:tcBorders>
              <w:tl2br w:val="nil"/>
              <w:tr2bl w:val="nil"/>
            </w:tcBorders>
            <w:shd w:val="clear" w:color="auto" w:fill="auto"/>
            <w:noWrap/>
            <w:vAlign w:val="center"/>
          </w:tcPr>
          <w:p>
            <w:pPr>
              <w:widowControl/>
              <w:spacing w:line="240" w:lineRule="auto"/>
              <w:ind w:firstLine="0" w:firstLineChars="0"/>
              <w:jc w:val="right"/>
              <w:textAlignment w:val="center"/>
              <w:rPr>
                <w:rFonts w:hint="eastAsia" w:ascii="仿宋_GB2312" w:hAnsi="仿宋_GB2312" w:cs="仿宋_GB2312"/>
                <w:color w:val="000000"/>
                <w:kern w:val="2"/>
                <w:sz w:val="21"/>
                <w:szCs w:val="21"/>
                <w14:ligatures w14:val="standardContextual"/>
              </w:rPr>
            </w:pPr>
          </w:p>
        </w:tc>
        <w:tc>
          <w:tcPr>
            <w:tcW w:w="305" w:type="pct"/>
            <w:tcBorders>
              <w:tl2br w:val="nil"/>
              <w:tr2bl w:val="nil"/>
            </w:tcBorders>
            <w:shd w:val="clear" w:color="auto" w:fill="auto"/>
            <w:noWrap/>
            <w:vAlign w:val="center"/>
          </w:tcPr>
          <w:p>
            <w:pPr>
              <w:widowControl/>
              <w:spacing w:line="240" w:lineRule="auto"/>
              <w:ind w:firstLine="0" w:firstLineChars="0"/>
              <w:jc w:val="right"/>
              <w:textAlignment w:val="center"/>
              <w:rPr>
                <w:rFonts w:hint="eastAsia" w:ascii="仿宋_GB2312" w:hAnsi="仿宋_GB2312" w:cs="仿宋_GB2312"/>
                <w:color w:val="000000"/>
                <w:kern w:val="2"/>
                <w:sz w:val="21"/>
                <w:szCs w:val="21"/>
                <w14:ligatures w14:val="standardContextual"/>
              </w:rPr>
            </w:pPr>
          </w:p>
        </w:tc>
        <w:tc>
          <w:tcPr>
            <w:tcW w:w="244" w:type="pct"/>
            <w:tcBorders>
              <w:tl2br w:val="nil"/>
              <w:tr2bl w:val="nil"/>
            </w:tcBorders>
            <w:shd w:val="clear" w:color="auto" w:fill="auto"/>
            <w:noWrap/>
            <w:vAlign w:val="center"/>
          </w:tcPr>
          <w:p>
            <w:pPr>
              <w:widowControl/>
              <w:spacing w:line="240" w:lineRule="auto"/>
              <w:ind w:firstLine="0" w:firstLineChars="0"/>
              <w:jc w:val="right"/>
              <w:textAlignment w:val="center"/>
              <w:rPr>
                <w:rFonts w:hint="eastAsia" w:ascii="仿宋_GB2312" w:hAnsi="仿宋_GB2312" w:cs="仿宋_GB2312"/>
                <w:color w:val="000000"/>
                <w:kern w:val="2"/>
                <w:sz w:val="21"/>
                <w:szCs w:val="21"/>
                <w14:ligatures w14:val="standardContextual"/>
              </w:rPr>
            </w:pPr>
          </w:p>
        </w:tc>
        <w:tc>
          <w:tcPr>
            <w:tcW w:w="228"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381"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4"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68"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65"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38"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8"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62" w:type="pct"/>
            <w:tcBorders>
              <w:tl2br w:val="nil"/>
              <w:tr2bl w:val="nil"/>
            </w:tcBorders>
            <w:shd w:val="clear" w:color="auto" w:fill="auto"/>
            <w:noWrap/>
            <w:vAlign w:val="center"/>
          </w:tcPr>
          <w:p>
            <w:pPr>
              <w:widowControl/>
              <w:spacing w:line="240" w:lineRule="auto"/>
              <w:ind w:firstLine="0" w:firstLineChars="0"/>
              <w:jc w:val="right"/>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 xml:space="preserve">    </w:t>
            </w:r>
          </w:p>
        </w:tc>
        <w:tc>
          <w:tcPr>
            <w:tcW w:w="286"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190"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52"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07"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19"/>
            <w:tcBorders>
              <w:tl2br w:val="nil"/>
              <w:tr2bl w:val="nil"/>
            </w:tcBorders>
            <w:shd w:val="clear" w:color="auto" w:fill="auto"/>
            <w:vAlign w:val="center"/>
          </w:tcPr>
          <w:p>
            <w:pPr>
              <w:widowControl/>
              <w:spacing w:line="240" w:lineRule="auto"/>
              <w:ind w:firstLine="0" w:firstLineChars="0"/>
              <w:jc w:val="left"/>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（二）核心成员累计管理处于存续期的基金情况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7" w:type="pct"/>
            <w:tcBorders>
              <w:tl2br w:val="nil"/>
              <w:tr2bl w:val="nil"/>
            </w:tcBorders>
            <w:shd w:val="clear" w:color="auto" w:fill="auto"/>
            <w:vAlign w:val="center"/>
          </w:tcPr>
          <w:p>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核心成员姓名</w:t>
            </w:r>
          </w:p>
        </w:tc>
        <w:tc>
          <w:tcPr>
            <w:tcW w:w="185" w:type="pct"/>
            <w:tcBorders>
              <w:tl2br w:val="nil"/>
              <w:tr2bl w:val="nil"/>
            </w:tcBorders>
            <w:shd w:val="clear" w:color="auto" w:fill="auto"/>
            <w:vAlign w:val="center"/>
          </w:tcPr>
          <w:p>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基金名称</w:t>
            </w:r>
          </w:p>
        </w:tc>
        <w:tc>
          <w:tcPr>
            <w:tcW w:w="215" w:type="pct"/>
            <w:tcBorders>
              <w:tl2br w:val="nil"/>
              <w:tr2bl w:val="nil"/>
            </w:tcBorders>
            <w:shd w:val="clear" w:color="auto" w:fill="auto"/>
            <w:vAlign w:val="center"/>
          </w:tcPr>
          <w:p>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基协备案编号</w:t>
            </w:r>
          </w:p>
        </w:tc>
        <w:tc>
          <w:tcPr>
            <w:tcW w:w="254" w:type="pct"/>
            <w:tcBorders>
              <w:tl2br w:val="nil"/>
              <w:tr2bl w:val="nil"/>
            </w:tcBorders>
            <w:shd w:val="clear" w:color="auto" w:fill="auto"/>
            <w:vAlign w:val="center"/>
          </w:tcPr>
          <w:p>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设立时间</w:t>
            </w:r>
          </w:p>
        </w:tc>
        <w:tc>
          <w:tcPr>
            <w:tcW w:w="284" w:type="pct"/>
            <w:tcBorders>
              <w:tl2br w:val="nil"/>
              <w:tr2bl w:val="nil"/>
            </w:tcBorders>
            <w:shd w:val="clear" w:color="auto" w:fill="auto"/>
            <w:vAlign w:val="center"/>
          </w:tcPr>
          <w:p>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认缴总规模</w:t>
            </w:r>
            <w:r>
              <w:rPr>
                <w:rFonts w:hint="eastAsia" w:ascii="仿宋_GB2312" w:hAnsi="仿宋_GB2312" w:cs="仿宋_GB2312"/>
                <w:b/>
                <w:bCs/>
                <w:color w:val="000000"/>
                <w:sz w:val="21"/>
                <w:szCs w:val="21"/>
                <w:lang w:bidi="ar"/>
                <w14:ligatures w14:val="standardContextual"/>
              </w:rPr>
              <w:br w:type="textWrapping"/>
            </w:r>
            <w:r>
              <w:rPr>
                <w:rFonts w:hint="eastAsia" w:ascii="仿宋_GB2312" w:hAnsi="仿宋_GB2312" w:cs="仿宋_GB2312"/>
                <w:b/>
                <w:bCs/>
                <w:color w:val="000000"/>
                <w:sz w:val="21"/>
                <w:szCs w:val="21"/>
                <w:lang w:bidi="ar"/>
                <w14:ligatures w14:val="standardContextual"/>
              </w:rPr>
              <w:t>（亿元）</w:t>
            </w:r>
          </w:p>
        </w:tc>
        <w:tc>
          <w:tcPr>
            <w:tcW w:w="305" w:type="pct"/>
            <w:tcBorders>
              <w:tl2br w:val="nil"/>
              <w:tr2bl w:val="nil"/>
            </w:tcBorders>
            <w:shd w:val="clear" w:color="auto" w:fill="auto"/>
            <w:vAlign w:val="center"/>
          </w:tcPr>
          <w:p>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已实缴到位规模（亿元）</w:t>
            </w:r>
          </w:p>
        </w:tc>
        <w:tc>
          <w:tcPr>
            <w:tcW w:w="244" w:type="pct"/>
            <w:tcBorders>
              <w:tl2br w:val="nil"/>
              <w:tr2bl w:val="nil"/>
            </w:tcBorders>
            <w:shd w:val="clear" w:color="auto" w:fill="auto"/>
            <w:vAlign w:val="center"/>
          </w:tcPr>
          <w:p>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已投资规模</w:t>
            </w:r>
            <w:r>
              <w:rPr>
                <w:rFonts w:hint="eastAsia" w:ascii="仿宋_GB2312" w:hAnsi="仿宋_GB2312" w:cs="仿宋_GB2312"/>
                <w:b/>
                <w:bCs/>
                <w:color w:val="000000"/>
                <w:sz w:val="21"/>
                <w:szCs w:val="21"/>
                <w:lang w:bidi="ar"/>
                <w14:ligatures w14:val="standardContextual"/>
              </w:rPr>
              <w:br w:type="textWrapping"/>
            </w:r>
            <w:r>
              <w:rPr>
                <w:rFonts w:hint="eastAsia" w:ascii="仿宋_GB2312" w:hAnsi="仿宋_GB2312" w:cs="仿宋_GB2312"/>
                <w:b/>
                <w:bCs/>
                <w:color w:val="000000"/>
                <w:sz w:val="21"/>
                <w:szCs w:val="21"/>
                <w:lang w:bidi="ar"/>
                <w14:ligatures w14:val="standardContextual"/>
              </w:rPr>
              <w:t>（亿元）</w:t>
            </w:r>
          </w:p>
        </w:tc>
        <w:tc>
          <w:tcPr>
            <w:tcW w:w="228" w:type="pct"/>
            <w:tcBorders>
              <w:tl2br w:val="nil"/>
              <w:tr2bl w:val="nil"/>
            </w:tcBorders>
            <w:shd w:val="clear" w:color="auto" w:fill="auto"/>
            <w:vAlign w:val="center"/>
          </w:tcPr>
          <w:p>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存续期限</w:t>
            </w:r>
          </w:p>
        </w:tc>
        <w:tc>
          <w:tcPr>
            <w:tcW w:w="381" w:type="pct"/>
            <w:tcBorders>
              <w:tl2br w:val="nil"/>
              <w:tr2bl w:val="nil"/>
            </w:tcBorders>
            <w:shd w:val="clear" w:color="auto" w:fill="auto"/>
            <w:vAlign w:val="center"/>
          </w:tcPr>
          <w:p>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备案类型（VC/PE）</w:t>
            </w:r>
          </w:p>
        </w:tc>
        <w:tc>
          <w:tcPr>
            <w:tcW w:w="224" w:type="pct"/>
            <w:tcBorders>
              <w:tl2br w:val="nil"/>
              <w:tr2bl w:val="nil"/>
            </w:tcBorders>
            <w:shd w:val="clear" w:color="auto" w:fill="auto"/>
            <w:vAlign w:val="center"/>
          </w:tcPr>
          <w:p>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地域范围</w:t>
            </w:r>
          </w:p>
        </w:tc>
        <w:tc>
          <w:tcPr>
            <w:tcW w:w="268" w:type="pct"/>
            <w:tcBorders>
              <w:tl2br w:val="nil"/>
              <w:tr2bl w:val="nil"/>
            </w:tcBorders>
            <w:shd w:val="clear" w:color="auto" w:fill="auto"/>
            <w:vAlign w:val="center"/>
          </w:tcPr>
          <w:p>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投资领域/行业</w:t>
            </w:r>
          </w:p>
        </w:tc>
        <w:tc>
          <w:tcPr>
            <w:tcW w:w="265" w:type="pct"/>
            <w:tcBorders>
              <w:tl2br w:val="nil"/>
              <w:tr2bl w:val="nil"/>
            </w:tcBorders>
            <w:shd w:val="clear" w:color="auto" w:fill="auto"/>
            <w:vAlign w:val="center"/>
          </w:tcPr>
          <w:p>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基金关键人士</w:t>
            </w:r>
          </w:p>
        </w:tc>
        <w:tc>
          <w:tcPr>
            <w:tcW w:w="238" w:type="pct"/>
            <w:tcBorders>
              <w:tl2br w:val="nil"/>
              <w:tr2bl w:val="nil"/>
            </w:tcBorders>
            <w:shd w:val="clear" w:color="auto" w:fill="auto"/>
            <w:vAlign w:val="center"/>
          </w:tcPr>
          <w:p>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已IPO项目数量</w:t>
            </w:r>
          </w:p>
        </w:tc>
        <w:tc>
          <w:tcPr>
            <w:tcW w:w="228" w:type="pct"/>
            <w:tcBorders>
              <w:tl2br w:val="nil"/>
              <w:tr2bl w:val="nil"/>
            </w:tcBorders>
            <w:shd w:val="clear" w:color="auto" w:fill="auto"/>
            <w:vAlign w:val="center"/>
          </w:tcPr>
          <w:p>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已IPO项目简称</w:t>
            </w:r>
          </w:p>
        </w:tc>
        <w:tc>
          <w:tcPr>
            <w:tcW w:w="262" w:type="pct"/>
            <w:tcBorders>
              <w:tl2br w:val="nil"/>
              <w:tr2bl w:val="nil"/>
            </w:tcBorders>
            <w:shd w:val="clear" w:color="auto" w:fill="auto"/>
            <w:vAlign w:val="center"/>
          </w:tcPr>
          <w:p>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已分配收益情况（亿元）</w:t>
            </w:r>
          </w:p>
        </w:tc>
        <w:tc>
          <w:tcPr>
            <w:tcW w:w="286" w:type="pct"/>
            <w:tcBorders>
              <w:tl2br w:val="nil"/>
              <w:tr2bl w:val="nil"/>
            </w:tcBorders>
            <w:shd w:val="clear" w:color="auto" w:fill="auto"/>
            <w:vAlign w:val="center"/>
          </w:tcPr>
          <w:p>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已IPO上市项目持有流通市值（亿元）</w:t>
            </w:r>
          </w:p>
        </w:tc>
        <w:tc>
          <w:tcPr>
            <w:tcW w:w="190" w:type="pct"/>
            <w:tcBorders>
              <w:tl2br w:val="nil"/>
              <w:tr2bl w:val="nil"/>
            </w:tcBorders>
            <w:shd w:val="clear" w:color="auto" w:fill="auto"/>
            <w:vAlign w:val="center"/>
          </w:tcPr>
          <w:p>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DPI</w:t>
            </w:r>
          </w:p>
        </w:tc>
        <w:tc>
          <w:tcPr>
            <w:tcW w:w="352" w:type="pct"/>
            <w:tcBorders>
              <w:tl2br w:val="nil"/>
              <w:tr2bl w:val="nil"/>
            </w:tcBorders>
            <w:shd w:val="clear" w:color="auto" w:fill="auto"/>
            <w:vAlign w:val="center"/>
          </w:tcPr>
          <w:p>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是否有政府引导基金参与</w:t>
            </w:r>
          </w:p>
        </w:tc>
        <w:tc>
          <w:tcPr>
            <w:tcW w:w="307" w:type="pct"/>
            <w:tcBorders>
              <w:tl2br w:val="nil"/>
              <w:tr2bl w:val="nil"/>
            </w:tcBorders>
            <w:shd w:val="clear" w:color="auto" w:fill="auto"/>
            <w:vAlign w:val="center"/>
          </w:tcPr>
          <w:p>
            <w:pPr>
              <w:widowControl/>
              <w:spacing w:line="240" w:lineRule="exact"/>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证明人及联系电话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77"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185" w:type="pct"/>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i/>
                <w:iCs/>
                <w:color w:val="000000"/>
                <w:kern w:val="2"/>
                <w:sz w:val="21"/>
                <w:szCs w:val="21"/>
                <w14:ligatures w14:val="standardContextual"/>
              </w:rPr>
            </w:pPr>
          </w:p>
        </w:tc>
        <w:tc>
          <w:tcPr>
            <w:tcW w:w="215" w:type="pct"/>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84"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05"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44"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28"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81"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24"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68" w:type="pct"/>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265"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38"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28"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62"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86"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190"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52"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07"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77"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185"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15"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84"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05"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44"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28"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81"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24"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68"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65"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38"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28"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62"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86"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190"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52"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07"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77"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合计</w:t>
            </w:r>
          </w:p>
        </w:tc>
        <w:tc>
          <w:tcPr>
            <w:tcW w:w="1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15"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54"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284" w:type="pct"/>
            <w:tcBorders>
              <w:tl2br w:val="nil"/>
              <w:tr2bl w:val="nil"/>
            </w:tcBorders>
            <w:shd w:val="clear" w:color="auto" w:fill="auto"/>
            <w:noWrap/>
            <w:vAlign w:val="center"/>
          </w:tcPr>
          <w:p>
            <w:pPr>
              <w:widowControl/>
              <w:spacing w:line="240" w:lineRule="auto"/>
              <w:ind w:firstLine="0" w:firstLineChars="0"/>
              <w:jc w:val="right"/>
              <w:textAlignment w:val="center"/>
              <w:rPr>
                <w:rFonts w:hint="eastAsia" w:ascii="仿宋_GB2312" w:hAnsi="仿宋_GB2312" w:cs="仿宋_GB2312"/>
                <w:color w:val="000000"/>
                <w:kern w:val="2"/>
                <w:sz w:val="21"/>
                <w:szCs w:val="21"/>
                <w14:ligatures w14:val="standardContextual"/>
              </w:rPr>
            </w:pPr>
          </w:p>
        </w:tc>
        <w:tc>
          <w:tcPr>
            <w:tcW w:w="305" w:type="pct"/>
            <w:tcBorders>
              <w:tl2br w:val="nil"/>
              <w:tr2bl w:val="nil"/>
            </w:tcBorders>
            <w:shd w:val="clear" w:color="auto" w:fill="auto"/>
            <w:noWrap/>
            <w:vAlign w:val="center"/>
          </w:tcPr>
          <w:p>
            <w:pPr>
              <w:widowControl/>
              <w:spacing w:line="240" w:lineRule="auto"/>
              <w:ind w:firstLine="0" w:firstLineChars="0"/>
              <w:jc w:val="right"/>
              <w:textAlignment w:val="center"/>
              <w:rPr>
                <w:rFonts w:hint="eastAsia" w:ascii="仿宋_GB2312" w:hAnsi="仿宋_GB2312" w:cs="仿宋_GB2312"/>
                <w:color w:val="000000"/>
                <w:kern w:val="2"/>
                <w:sz w:val="21"/>
                <w:szCs w:val="21"/>
                <w14:ligatures w14:val="standardContextual"/>
              </w:rPr>
            </w:pPr>
          </w:p>
        </w:tc>
        <w:tc>
          <w:tcPr>
            <w:tcW w:w="244" w:type="pct"/>
            <w:tcBorders>
              <w:tl2br w:val="nil"/>
              <w:tr2bl w:val="nil"/>
            </w:tcBorders>
            <w:shd w:val="clear" w:color="auto" w:fill="auto"/>
            <w:noWrap/>
            <w:vAlign w:val="center"/>
          </w:tcPr>
          <w:p>
            <w:pPr>
              <w:widowControl/>
              <w:spacing w:line="240" w:lineRule="auto"/>
              <w:ind w:firstLine="0" w:firstLineChars="0"/>
              <w:jc w:val="right"/>
              <w:textAlignment w:val="center"/>
              <w:rPr>
                <w:rFonts w:hint="eastAsia" w:ascii="仿宋_GB2312" w:hAnsi="仿宋_GB2312" w:cs="仿宋_GB2312"/>
                <w:color w:val="000000"/>
                <w:kern w:val="2"/>
                <w:sz w:val="21"/>
                <w:szCs w:val="21"/>
                <w14:ligatures w14:val="standardContextual"/>
              </w:rPr>
            </w:pPr>
          </w:p>
        </w:tc>
        <w:tc>
          <w:tcPr>
            <w:tcW w:w="228"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381"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4"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68"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65"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38"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8"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62" w:type="pct"/>
            <w:tcBorders>
              <w:tl2br w:val="nil"/>
              <w:tr2bl w:val="nil"/>
            </w:tcBorders>
            <w:shd w:val="clear" w:color="auto" w:fill="auto"/>
            <w:noWrap/>
            <w:vAlign w:val="center"/>
          </w:tcPr>
          <w:p>
            <w:pPr>
              <w:widowControl/>
              <w:spacing w:line="240" w:lineRule="auto"/>
              <w:ind w:firstLine="0" w:firstLineChars="0"/>
              <w:jc w:val="right"/>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 xml:space="preserve">    </w:t>
            </w:r>
          </w:p>
        </w:tc>
        <w:tc>
          <w:tcPr>
            <w:tcW w:w="286"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190"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52"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07"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92" w:type="pct"/>
            <w:gridSpan w:val="18"/>
            <w:tcBorders>
              <w:tl2br w:val="nil"/>
              <w:tr2bl w:val="nil"/>
            </w:tcBorders>
            <w:shd w:val="clear" w:color="auto" w:fill="auto"/>
            <w:vAlign w:val="center"/>
          </w:tcPr>
          <w:p>
            <w:pPr>
              <w:widowControl/>
              <w:spacing w:line="240" w:lineRule="auto"/>
              <w:ind w:firstLine="0" w:firstLineChars="0"/>
              <w:jc w:val="left"/>
              <w:textAlignment w:val="center"/>
              <w:rPr>
                <w:rFonts w:hint="eastAsia" w:ascii="仿宋_GB2312" w:hAnsi="仿宋_GB2312" w:eastAsia="仿宋_GB2312" w:cs="仿宋_GB2312"/>
                <w:b/>
                <w:bCs/>
                <w:color w:val="000000"/>
                <w:kern w:val="2"/>
                <w:sz w:val="21"/>
                <w:szCs w:val="21"/>
                <w:lang w:eastAsia="zh-CN"/>
                <w14:ligatures w14:val="standardContextual"/>
              </w:rPr>
            </w:pPr>
            <w:r>
              <w:rPr>
                <w:rFonts w:hint="eastAsia" w:ascii="仿宋_GB2312" w:hAnsi="仿宋_GB2312" w:cs="仿宋_GB2312"/>
                <w:b/>
                <w:bCs/>
                <w:color w:val="000000"/>
                <w:sz w:val="21"/>
                <w:szCs w:val="21"/>
                <w:lang w:bidi="ar"/>
                <w14:ligatures w14:val="standardContextual"/>
              </w:rPr>
              <w:t>注：处于存续期的基金，持有的项目IPO流通市值视同已分配收益，市值计算时点以遴选公告发出日为准</w:t>
            </w:r>
            <w:r>
              <w:rPr>
                <w:rFonts w:hint="eastAsia" w:ascii="仿宋_GB2312" w:hAnsi="仿宋_GB2312" w:cs="仿宋_GB2312"/>
                <w:b/>
                <w:bCs/>
                <w:color w:val="000000"/>
                <w:sz w:val="21"/>
                <w:szCs w:val="21"/>
                <w:lang w:eastAsia="zh-CN" w:bidi="ar"/>
                <w14:ligatures w14:val="standardContextual"/>
              </w:rPr>
              <w:t>。</w:t>
            </w:r>
          </w:p>
        </w:tc>
        <w:tc>
          <w:tcPr>
            <w:tcW w:w="307"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r>
    </w:tbl>
    <w:p>
      <w:pPr>
        <w:widowControl/>
        <w:spacing w:line="240" w:lineRule="auto"/>
        <w:ind w:firstLine="421" w:firstLineChars="0"/>
        <w:jc w:val="left"/>
        <w:textAlignment w:val="center"/>
        <w:rPr>
          <w:rFonts w:hint="eastAsia" w:ascii="仿宋_GB2312" w:hAnsi="仿宋_GB2312" w:cs="仿宋_GB2312"/>
          <w:b/>
          <w:bCs/>
          <w:color w:val="000000"/>
          <w:sz w:val="21"/>
          <w:szCs w:val="21"/>
          <w:lang w:bidi="ar"/>
          <w14:ligatures w14:val="standardContextual"/>
        </w:rPr>
      </w:pPr>
      <w:r>
        <w:rPr>
          <w:rFonts w:hint="eastAsia" w:ascii="仿宋_GB2312" w:hAnsi="仿宋_GB2312" w:cs="仿宋_GB2312"/>
          <w:b/>
          <w:bCs/>
          <w:color w:val="000000"/>
          <w:sz w:val="21"/>
          <w:szCs w:val="21"/>
          <w:lang w:bidi="ar"/>
          <w14:ligatures w14:val="standardContextual"/>
        </w:rPr>
        <w:t>注：数据截止时间为2024年</w:t>
      </w:r>
      <w:r>
        <w:rPr>
          <w:rFonts w:hint="eastAsia" w:ascii="仿宋_GB2312" w:hAnsi="仿宋_GB2312" w:cs="仿宋_GB2312"/>
          <w:b/>
          <w:bCs/>
          <w:color w:val="000000"/>
          <w:sz w:val="21"/>
          <w:szCs w:val="21"/>
          <w:lang w:val="en-US" w:eastAsia="zh-CN" w:bidi="ar"/>
          <w14:ligatures w14:val="standardContextual"/>
        </w:rPr>
        <w:t>12</w:t>
      </w:r>
      <w:r>
        <w:rPr>
          <w:rFonts w:hint="eastAsia" w:ascii="仿宋_GB2312" w:hAnsi="仿宋_GB2312" w:cs="仿宋_GB2312"/>
          <w:b/>
          <w:bCs/>
          <w:color w:val="000000"/>
          <w:sz w:val="21"/>
          <w:szCs w:val="21"/>
          <w:lang w:bidi="ar"/>
          <w14:ligatures w14:val="standardContextual"/>
        </w:rPr>
        <w:t>月3</w:t>
      </w:r>
      <w:r>
        <w:rPr>
          <w:rFonts w:hint="eastAsia" w:ascii="仿宋_GB2312" w:hAnsi="仿宋_GB2312" w:cs="仿宋_GB2312"/>
          <w:b/>
          <w:bCs/>
          <w:color w:val="000000"/>
          <w:sz w:val="21"/>
          <w:szCs w:val="21"/>
          <w:lang w:val="en-US" w:eastAsia="zh-CN" w:bidi="ar"/>
          <w14:ligatures w14:val="standardContextual"/>
        </w:rPr>
        <w:t>1</w:t>
      </w:r>
      <w:r>
        <w:rPr>
          <w:rFonts w:hint="eastAsia" w:ascii="仿宋_GB2312" w:hAnsi="仿宋_GB2312" w:cs="仿宋_GB2312"/>
          <w:b/>
          <w:bCs/>
          <w:color w:val="000000"/>
          <w:sz w:val="21"/>
          <w:szCs w:val="21"/>
          <w:lang w:bidi="ar"/>
          <w14:ligatures w14:val="standardContextual"/>
        </w:rPr>
        <w:t>日。</w:t>
      </w:r>
    </w:p>
    <w:p>
      <w:pPr>
        <w:widowControl/>
        <w:spacing w:line="240" w:lineRule="auto"/>
        <w:ind w:firstLine="0" w:firstLineChars="0"/>
        <w:jc w:val="left"/>
        <w:textAlignment w:val="center"/>
        <w:rPr>
          <w:rFonts w:hint="eastAsia" w:ascii="仿宋_GB2312" w:hAnsi="仿宋_GB2312" w:cs="仿宋_GB2312"/>
          <w:b/>
          <w:bCs/>
          <w:color w:val="000000"/>
          <w:sz w:val="21"/>
          <w:szCs w:val="21"/>
          <w:lang w:bidi="ar"/>
          <w14:ligatures w14:val="standardContextual"/>
        </w:rPr>
      </w:pPr>
      <w:r>
        <w:rPr>
          <w:rFonts w:ascii="等线" w:hAnsi="等线" w:eastAsia="等线"/>
          <w:kern w:val="2"/>
          <w:sz w:val="21"/>
          <w:szCs w:val="22"/>
          <w14:ligatures w14:val="standardContextual"/>
        </w:rPr>
        <w:br w:type="page"/>
      </w:r>
      <w:r>
        <w:rPr>
          <w:rFonts w:hint="eastAsia" w:ascii="黑体" w:hAnsi="黑体" w:eastAsia="黑体" w:cs="黑体"/>
          <w:color w:val="000000"/>
          <w:szCs w:val="32"/>
          <w:lang w:bidi="ar"/>
          <w14:ligatures w14:val="standardContextual"/>
        </w:rPr>
        <w:t>附表6-3</w:t>
      </w:r>
    </w:p>
    <w:p>
      <w:pPr>
        <w:widowControl/>
        <w:spacing w:line="240" w:lineRule="auto"/>
        <w:ind w:firstLine="0" w:firstLineChars="0"/>
        <w:jc w:val="center"/>
        <w:textAlignment w:val="center"/>
        <w:rPr>
          <w:rFonts w:hint="eastAsia" w:ascii="方正小标宋_GBK" w:hAnsi="方正小标宋_GBK" w:eastAsia="方正小标宋_GBK" w:cs="方正小标宋_GBK"/>
          <w:color w:val="000000"/>
          <w:kern w:val="2"/>
          <w:sz w:val="36"/>
          <w:szCs w:val="36"/>
          <w14:ligatures w14:val="standardContextual"/>
        </w:rPr>
      </w:pPr>
      <w:r>
        <w:rPr>
          <w:rFonts w:hint="eastAsia" w:ascii="方正小标宋_GBK" w:hAnsi="方正小标宋_GBK" w:eastAsia="方正小标宋_GBK" w:cs="方正小标宋_GBK"/>
          <w:color w:val="000000"/>
          <w:sz w:val="36"/>
          <w:szCs w:val="36"/>
          <w:lang w:bidi="ar"/>
          <w14:ligatures w14:val="standardContextual"/>
        </w:rPr>
        <w:t>管理机构/投资团队核心成员累计投资年化收益率（IRR）为10%以上的项目情况表</w:t>
      </w:r>
    </w:p>
    <w:tbl>
      <w:tblPr>
        <w:tblStyle w:val="12"/>
        <w:tblW w:w="54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690"/>
        <w:gridCol w:w="942"/>
        <w:gridCol w:w="697"/>
        <w:gridCol w:w="833"/>
        <w:gridCol w:w="701"/>
        <w:gridCol w:w="701"/>
        <w:gridCol w:w="955"/>
        <w:gridCol w:w="701"/>
        <w:gridCol w:w="701"/>
        <w:gridCol w:w="701"/>
        <w:gridCol w:w="1067"/>
        <w:gridCol w:w="853"/>
        <w:gridCol w:w="701"/>
        <w:gridCol w:w="701"/>
        <w:gridCol w:w="701"/>
        <w:gridCol w:w="918"/>
        <w:gridCol w:w="642"/>
        <w:gridCol w:w="958"/>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序号</w:t>
            </w:r>
          </w:p>
        </w:tc>
        <w:tc>
          <w:tcPr>
            <w:tcW w:w="223"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项目名称</w:t>
            </w:r>
          </w:p>
        </w:tc>
        <w:tc>
          <w:tcPr>
            <w:tcW w:w="304"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项目所属的基金名称</w:t>
            </w:r>
          </w:p>
        </w:tc>
        <w:tc>
          <w:tcPr>
            <w:tcW w:w="22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核心成员</w:t>
            </w:r>
          </w:p>
        </w:tc>
        <w:tc>
          <w:tcPr>
            <w:tcW w:w="269"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项目所处行业</w:t>
            </w:r>
          </w:p>
        </w:tc>
        <w:tc>
          <w:tcPr>
            <w:tcW w:w="226"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投资时点</w:t>
            </w:r>
          </w:p>
        </w:tc>
        <w:tc>
          <w:tcPr>
            <w:tcW w:w="226"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投资轮次</w:t>
            </w:r>
          </w:p>
        </w:tc>
        <w:tc>
          <w:tcPr>
            <w:tcW w:w="308"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color w:val="000000"/>
                <w:sz w:val="21"/>
                <w:szCs w:val="21"/>
                <w:lang w:bidi="ar"/>
                <w14:ligatures w14:val="standardContextual"/>
              </w:rPr>
            </w:pPr>
            <w:r>
              <w:rPr>
                <w:rFonts w:hint="eastAsia" w:ascii="仿宋_GB2312" w:hAnsi="仿宋_GB2312" w:cs="仿宋_GB2312"/>
                <w:b/>
                <w:bCs/>
                <w:color w:val="000000"/>
                <w:sz w:val="21"/>
                <w:szCs w:val="21"/>
                <w:lang w:bidi="ar"/>
                <w14:ligatures w14:val="standardContextual"/>
              </w:rPr>
              <w:t>投资</w:t>
            </w:r>
          </w:p>
          <w:p>
            <w:pPr>
              <w:widowControl/>
              <w:spacing w:line="240" w:lineRule="auto"/>
              <w:ind w:firstLine="0" w:firstLineChars="0"/>
              <w:jc w:val="center"/>
              <w:textAlignment w:val="center"/>
              <w:rPr>
                <w:rFonts w:hint="eastAsia" w:ascii="仿宋_GB2312" w:hAnsi="仿宋_GB2312" w:cs="仿宋_GB2312"/>
                <w:b/>
                <w:bCs/>
                <w:color w:val="000000"/>
                <w:sz w:val="21"/>
                <w:szCs w:val="21"/>
                <w:lang w:bidi="ar"/>
                <w14:ligatures w14:val="standardContextual"/>
              </w:rPr>
            </w:pPr>
            <w:r>
              <w:rPr>
                <w:rFonts w:hint="eastAsia" w:ascii="仿宋_GB2312" w:hAnsi="仿宋_GB2312" w:cs="仿宋_GB2312"/>
                <w:b/>
                <w:bCs/>
                <w:color w:val="000000"/>
                <w:sz w:val="21"/>
                <w:szCs w:val="21"/>
                <w:lang w:bidi="ar"/>
                <w14:ligatures w14:val="standardContextual"/>
              </w:rPr>
              <w:t>金额</w:t>
            </w:r>
          </w:p>
          <w:p>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ascii="仿宋_GB2312" w:hAnsi="仿宋_GB2312" w:cs="仿宋_GB2312"/>
                <w:b/>
                <w:bCs/>
                <w:color w:val="000000"/>
                <w:sz w:val="21"/>
                <w:szCs w:val="21"/>
                <w:lang w:bidi="ar"/>
                <w14:ligatures w14:val="standardContextual"/>
              </w:rPr>
              <w:t>(</w:t>
            </w:r>
            <w:r>
              <w:rPr>
                <w:rFonts w:hint="eastAsia" w:ascii="仿宋_GB2312" w:hAnsi="仿宋_GB2312" w:cs="仿宋_GB2312"/>
                <w:b/>
                <w:bCs/>
                <w:color w:val="000000"/>
                <w:sz w:val="21"/>
                <w:szCs w:val="21"/>
                <w:lang w:bidi="ar"/>
                <w14:ligatures w14:val="standardContextual"/>
              </w:rPr>
              <w:t>万元</w:t>
            </w:r>
            <w:r>
              <w:rPr>
                <w:rFonts w:ascii="仿宋_GB2312" w:hAnsi="仿宋_GB2312" w:cs="仿宋_GB2312"/>
                <w:b/>
                <w:bCs/>
                <w:color w:val="000000"/>
                <w:sz w:val="21"/>
                <w:szCs w:val="21"/>
                <w:lang w:bidi="ar"/>
                <w14:ligatures w14:val="standardContextual"/>
              </w:rPr>
              <w:t>)</w:t>
            </w:r>
          </w:p>
        </w:tc>
        <w:tc>
          <w:tcPr>
            <w:tcW w:w="226"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占股比例</w:t>
            </w:r>
          </w:p>
        </w:tc>
        <w:tc>
          <w:tcPr>
            <w:tcW w:w="226"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是否领投</w:t>
            </w:r>
          </w:p>
        </w:tc>
        <w:tc>
          <w:tcPr>
            <w:tcW w:w="226"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项目当前融资轮次</w:t>
            </w:r>
          </w:p>
        </w:tc>
        <w:tc>
          <w:tcPr>
            <w:tcW w:w="344"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现持有部分最新估值（万元）</w:t>
            </w:r>
          </w:p>
        </w:tc>
        <w:tc>
          <w:tcPr>
            <w:tcW w:w="27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color w:val="000000"/>
                <w:sz w:val="21"/>
                <w:szCs w:val="21"/>
                <w:lang w:bidi="ar"/>
                <w14:ligatures w14:val="standardContextual"/>
              </w:rPr>
            </w:pPr>
            <w:r>
              <w:rPr>
                <w:rFonts w:hint="eastAsia" w:ascii="仿宋_GB2312" w:hAnsi="仿宋_GB2312" w:cs="仿宋_GB2312"/>
                <w:b/>
                <w:bCs/>
                <w:color w:val="000000"/>
                <w:sz w:val="21"/>
                <w:szCs w:val="21"/>
                <w:lang w:bidi="ar"/>
                <w14:ligatures w14:val="standardContextual"/>
              </w:rPr>
              <w:t>项目公司联系人及</w:t>
            </w:r>
          </w:p>
          <w:p>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电话</w:t>
            </w:r>
          </w:p>
        </w:tc>
        <w:tc>
          <w:tcPr>
            <w:tcW w:w="226"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退出进展</w:t>
            </w:r>
          </w:p>
        </w:tc>
        <w:tc>
          <w:tcPr>
            <w:tcW w:w="226"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退出时间</w:t>
            </w:r>
          </w:p>
        </w:tc>
        <w:tc>
          <w:tcPr>
            <w:tcW w:w="226"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退出方式</w:t>
            </w:r>
          </w:p>
        </w:tc>
        <w:tc>
          <w:tcPr>
            <w:tcW w:w="296"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已回收金额</w:t>
            </w:r>
            <w:r>
              <w:rPr>
                <w:rFonts w:ascii="仿宋_GB2312" w:hAnsi="仿宋_GB2312" w:cs="仿宋_GB2312"/>
                <w:b/>
                <w:bCs/>
                <w:color w:val="000000"/>
                <w:sz w:val="21"/>
                <w:szCs w:val="21"/>
                <w:lang w:bidi="ar"/>
                <w14:ligatures w14:val="standardContextual"/>
              </w:rPr>
              <w:t>(</w:t>
            </w:r>
            <w:r>
              <w:rPr>
                <w:rFonts w:hint="eastAsia" w:ascii="仿宋_GB2312" w:hAnsi="仿宋_GB2312" w:cs="仿宋_GB2312"/>
                <w:b/>
                <w:bCs/>
                <w:color w:val="000000"/>
                <w:sz w:val="21"/>
                <w:szCs w:val="21"/>
                <w:lang w:bidi="ar"/>
                <w14:ligatures w14:val="standardContextual"/>
              </w:rPr>
              <w:t>万元</w:t>
            </w:r>
            <w:r>
              <w:rPr>
                <w:rFonts w:ascii="仿宋_GB2312" w:hAnsi="仿宋_GB2312" w:cs="仿宋_GB2312"/>
                <w:b/>
                <w:bCs/>
                <w:color w:val="000000"/>
                <w:sz w:val="21"/>
                <w:szCs w:val="21"/>
                <w:lang w:bidi="ar"/>
                <w14:ligatures w14:val="standardContextual"/>
              </w:rPr>
              <w:t>)</w:t>
            </w:r>
          </w:p>
        </w:tc>
        <w:tc>
          <w:tcPr>
            <w:tcW w:w="207"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退出项目回报倍数</w:t>
            </w:r>
          </w:p>
        </w:tc>
        <w:tc>
          <w:tcPr>
            <w:tcW w:w="309"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年化收益率</w:t>
            </w:r>
            <w:r>
              <w:rPr>
                <w:rFonts w:hint="eastAsia" w:ascii="仿宋_GB2312" w:hAnsi="仿宋_GB2312" w:cs="仿宋_GB2312"/>
                <w:b/>
                <w:bCs/>
                <w:color w:val="000000"/>
                <w:sz w:val="21"/>
                <w:szCs w:val="21"/>
                <w:lang w:bidi="ar"/>
                <w14:ligatures w14:val="standardContextual"/>
              </w:rPr>
              <w:br w:type="textWrapping"/>
            </w:r>
            <w:r>
              <w:rPr>
                <w:rFonts w:hint="eastAsia" w:ascii="仿宋_GB2312" w:hAnsi="仿宋_GB2312" w:cs="仿宋_GB2312"/>
                <w:b/>
                <w:bCs/>
                <w:color w:val="000000"/>
                <w:sz w:val="21"/>
                <w:szCs w:val="21"/>
                <w:lang w:bidi="ar"/>
                <w14:ligatures w14:val="standardContextual"/>
              </w:rPr>
              <w:t>（IRR）</w:t>
            </w:r>
          </w:p>
        </w:tc>
        <w:tc>
          <w:tcPr>
            <w:tcW w:w="216"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1</w:t>
            </w:r>
          </w:p>
        </w:tc>
        <w:tc>
          <w:tcPr>
            <w:tcW w:w="223"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4"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5"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69"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8"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44"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75"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96"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07"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309"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1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2</w:t>
            </w:r>
          </w:p>
        </w:tc>
        <w:tc>
          <w:tcPr>
            <w:tcW w:w="223"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4"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5"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69"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8"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44"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75"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96"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07"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309"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1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3</w:t>
            </w:r>
          </w:p>
        </w:tc>
        <w:tc>
          <w:tcPr>
            <w:tcW w:w="223"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4"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5"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69"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8"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44"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75"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96"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07"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309"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1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4</w:t>
            </w:r>
          </w:p>
        </w:tc>
        <w:tc>
          <w:tcPr>
            <w:tcW w:w="223"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4"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5"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69"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8"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44"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75"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96"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07"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309"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1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5</w:t>
            </w:r>
          </w:p>
        </w:tc>
        <w:tc>
          <w:tcPr>
            <w:tcW w:w="223"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4"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5"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69"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8"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44"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75"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96"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07"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309"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1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6</w:t>
            </w:r>
          </w:p>
        </w:tc>
        <w:tc>
          <w:tcPr>
            <w:tcW w:w="223"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4"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5"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69"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8"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44"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75"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96"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07"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309"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1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7</w:t>
            </w:r>
          </w:p>
        </w:tc>
        <w:tc>
          <w:tcPr>
            <w:tcW w:w="223"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4"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5"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69"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8"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44"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75"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96"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07"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309"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1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8</w:t>
            </w:r>
          </w:p>
        </w:tc>
        <w:tc>
          <w:tcPr>
            <w:tcW w:w="223"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4"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5"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69"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8"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44"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75"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96"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07"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309"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1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9</w:t>
            </w:r>
          </w:p>
        </w:tc>
        <w:tc>
          <w:tcPr>
            <w:tcW w:w="223"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4"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5"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69"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8"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44"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75"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96"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07"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309"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1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10</w:t>
            </w:r>
          </w:p>
        </w:tc>
        <w:tc>
          <w:tcPr>
            <w:tcW w:w="223"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4"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5"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69"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8"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44"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75"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96"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07"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309"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1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11</w:t>
            </w:r>
          </w:p>
        </w:tc>
        <w:tc>
          <w:tcPr>
            <w:tcW w:w="223"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4"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5"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69"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8"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44"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75"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96"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07"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309"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1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w:t>
            </w:r>
          </w:p>
        </w:tc>
        <w:tc>
          <w:tcPr>
            <w:tcW w:w="223"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4"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5"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69"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8"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44"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75"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96"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07"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309"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1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N</w:t>
            </w:r>
          </w:p>
        </w:tc>
        <w:tc>
          <w:tcPr>
            <w:tcW w:w="223"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4"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5"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69"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8"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44"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75"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96"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07"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309"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1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223"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4"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5"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69"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8"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44"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75"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96"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07"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309"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1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223"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4"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5"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69"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08"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344"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75"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96"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07"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309"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1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pPr>
              <w:widowControl/>
              <w:spacing w:line="240" w:lineRule="auto"/>
              <w:ind w:firstLine="0" w:firstLineChars="0"/>
              <w:jc w:val="left"/>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合计</w:t>
            </w:r>
          </w:p>
        </w:tc>
        <w:tc>
          <w:tcPr>
            <w:tcW w:w="223"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b/>
                <w:bCs/>
                <w:color w:val="000000"/>
                <w:kern w:val="2"/>
                <w:sz w:val="21"/>
                <w:szCs w:val="21"/>
                <w14:ligatures w14:val="standardContextual"/>
              </w:rPr>
            </w:pPr>
          </w:p>
        </w:tc>
        <w:tc>
          <w:tcPr>
            <w:tcW w:w="304"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b/>
                <w:bCs/>
                <w:color w:val="000000"/>
                <w:kern w:val="2"/>
                <w:sz w:val="21"/>
                <w:szCs w:val="21"/>
                <w14:ligatures w14:val="standardContextual"/>
              </w:rPr>
            </w:pPr>
          </w:p>
        </w:tc>
        <w:tc>
          <w:tcPr>
            <w:tcW w:w="22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b/>
                <w:bCs/>
                <w:color w:val="000000"/>
                <w:kern w:val="2"/>
                <w:sz w:val="21"/>
                <w:szCs w:val="21"/>
                <w14:ligatures w14:val="standardContextual"/>
              </w:rPr>
            </w:pPr>
          </w:p>
        </w:tc>
        <w:tc>
          <w:tcPr>
            <w:tcW w:w="269"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b/>
                <w:bCs/>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b/>
                <w:bCs/>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b/>
                <w:bCs/>
                <w:color w:val="000000"/>
                <w:kern w:val="2"/>
                <w:sz w:val="21"/>
                <w:szCs w:val="21"/>
                <w14:ligatures w14:val="standardContextual"/>
              </w:rPr>
            </w:pPr>
          </w:p>
        </w:tc>
        <w:tc>
          <w:tcPr>
            <w:tcW w:w="308" w:type="pct"/>
            <w:tcBorders>
              <w:tl2br w:val="nil"/>
              <w:tr2bl w:val="nil"/>
            </w:tcBorders>
            <w:shd w:val="clear" w:color="auto" w:fill="auto"/>
            <w:noWrap/>
            <w:vAlign w:val="center"/>
          </w:tcPr>
          <w:p>
            <w:pPr>
              <w:widowControl/>
              <w:spacing w:line="240" w:lineRule="auto"/>
              <w:ind w:firstLine="0" w:firstLineChars="0"/>
              <w:jc w:val="right"/>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 xml:space="preserve">    </w:t>
            </w:r>
          </w:p>
        </w:tc>
        <w:tc>
          <w:tcPr>
            <w:tcW w:w="226"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b/>
                <w:bCs/>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b/>
                <w:bCs/>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b/>
                <w:bCs/>
                <w:color w:val="000000"/>
                <w:kern w:val="2"/>
                <w:sz w:val="21"/>
                <w:szCs w:val="21"/>
                <w14:ligatures w14:val="standardContextual"/>
              </w:rPr>
            </w:pPr>
          </w:p>
        </w:tc>
        <w:tc>
          <w:tcPr>
            <w:tcW w:w="344"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b/>
                <w:bCs/>
                <w:color w:val="000000"/>
                <w:kern w:val="2"/>
                <w:sz w:val="21"/>
                <w:szCs w:val="21"/>
                <w14:ligatures w14:val="standardContextual"/>
              </w:rPr>
            </w:pPr>
          </w:p>
        </w:tc>
        <w:tc>
          <w:tcPr>
            <w:tcW w:w="275"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b/>
                <w:bCs/>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b/>
                <w:bCs/>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b/>
                <w:bCs/>
                <w:color w:val="000000"/>
                <w:kern w:val="2"/>
                <w:sz w:val="21"/>
                <w:szCs w:val="21"/>
                <w14:ligatures w14:val="standardContextual"/>
              </w:rPr>
            </w:pPr>
          </w:p>
        </w:tc>
        <w:tc>
          <w:tcPr>
            <w:tcW w:w="296"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07"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309" w:type="pct"/>
            <w:tcBorders>
              <w:tl2br w:val="nil"/>
              <w:tr2bl w:val="nil"/>
            </w:tcBorders>
            <w:shd w:val="clear" w:color="auto" w:fill="auto"/>
            <w:noWrap/>
            <w:vAlign w:val="center"/>
          </w:tcPr>
          <w:p>
            <w:pPr>
              <w:spacing w:line="240" w:lineRule="auto"/>
              <w:ind w:firstLine="0" w:firstLineChars="0"/>
              <w:jc w:val="right"/>
              <w:rPr>
                <w:rFonts w:hint="eastAsia" w:ascii="仿宋_GB2312" w:hAnsi="仿宋_GB2312" w:cs="仿宋_GB2312"/>
                <w:color w:val="000000"/>
                <w:kern w:val="2"/>
                <w:sz w:val="21"/>
                <w:szCs w:val="21"/>
                <w14:ligatures w14:val="standardContextual"/>
              </w:rPr>
            </w:pPr>
          </w:p>
        </w:tc>
        <w:tc>
          <w:tcPr>
            <w:tcW w:w="216" w:type="pct"/>
            <w:tcBorders>
              <w:tl2br w:val="nil"/>
              <w:tr2bl w:val="nil"/>
            </w:tcBorders>
            <w:shd w:val="clear" w:color="auto" w:fill="auto"/>
            <w:noWrap/>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bl>
    <w:p>
      <w:pPr>
        <w:widowControl/>
        <w:spacing w:line="240" w:lineRule="auto"/>
        <w:ind w:firstLine="0" w:firstLineChars="0"/>
        <w:jc w:val="left"/>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注：1、同一项目多轮投资应保持项目名称一致，分多条填报，不合并单元格；多轮投资项目有退出的，退出收益按该轮投资对应收益分别填写；</w:t>
      </w:r>
    </w:p>
    <w:p>
      <w:pPr>
        <w:widowControl/>
        <w:spacing w:line="240" w:lineRule="auto"/>
        <w:ind w:firstLine="0" w:firstLineChars="0"/>
        <w:jc w:val="left"/>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 xml:space="preserve">    2、项目所属的基金名称应与附表6-2基金产品对应，未在中基协备案的自有资金投资除外，须单独说明；</w:t>
      </w:r>
    </w:p>
    <w:p>
      <w:pPr>
        <w:widowControl/>
        <w:spacing w:line="240" w:lineRule="auto"/>
        <w:ind w:firstLine="0" w:firstLineChars="0"/>
        <w:jc w:val="left"/>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 xml:space="preserve">    3、对于已退出的项目应列明退出时间、退出方式和退出收益，并计算整体退出回报和平均收益情况、其他需要说明的情况等;</w:t>
      </w:r>
    </w:p>
    <w:p>
      <w:pPr>
        <w:widowControl/>
        <w:spacing w:line="240" w:lineRule="auto"/>
        <w:ind w:firstLine="421" w:firstLineChars="0"/>
        <w:jc w:val="left"/>
        <w:textAlignment w:val="center"/>
        <w:rPr>
          <w:rFonts w:hint="eastAsia" w:ascii="仿宋_GB2312" w:hAnsi="仿宋_GB2312" w:cs="仿宋_GB2312"/>
          <w:b/>
          <w:bCs/>
          <w:color w:val="000000"/>
          <w:sz w:val="21"/>
          <w:szCs w:val="21"/>
          <w:lang w:bidi="ar"/>
          <w14:ligatures w14:val="standardContextual"/>
        </w:rPr>
      </w:pPr>
      <w:r>
        <w:rPr>
          <w:rFonts w:hint="eastAsia" w:ascii="仿宋_GB2312" w:hAnsi="仿宋_GB2312" w:cs="仿宋_GB2312"/>
          <w:b/>
          <w:bCs/>
          <w:color w:val="000000"/>
          <w:sz w:val="21"/>
          <w:szCs w:val="21"/>
          <w:lang w:bidi="ar"/>
          <w14:ligatures w14:val="standardContextual"/>
        </w:rPr>
        <w:t>4、退出收益的计算方法：（1）全部退出时，退出收益=已收回的金额；（2）部分退出时，退出收益（投资收益）=已收回的金额+剩余股权对应的价值（IPO市值或市场法估值）；（3）其他情况不填写退出收益；</w:t>
      </w:r>
    </w:p>
    <w:p>
      <w:pPr>
        <w:widowControl/>
        <w:spacing w:line="240" w:lineRule="auto"/>
        <w:ind w:firstLine="421" w:firstLineChars="0"/>
        <w:jc w:val="left"/>
        <w:textAlignment w:val="center"/>
        <w:rPr>
          <w:rFonts w:hint="eastAsia" w:ascii="仿宋_GB2312" w:hAnsi="仿宋_GB2312" w:cs="仿宋_GB2312"/>
          <w:b/>
          <w:bCs/>
          <w:color w:val="000000"/>
          <w:sz w:val="21"/>
          <w:szCs w:val="21"/>
          <w:lang w:bidi="ar"/>
          <w14:ligatures w14:val="standardContextual"/>
        </w:rPr>
      </w:pPr>
      <w:r>
        <w:rPr>
          <w:rFonts w:hint="eastAsia" w:ascii="仿宋_GB2312" w:hAnsi="仿宋_GB2312" w:cs="仿宋_GB2312"/>
          <w:b/>
          <w:bCs/>
          <w:color w:val="000000"/>
          <w:sz w:val="21"/>
          <w:szCs w:val="21"/>
          <w:lang w:bidi="ar"/>
          <w14:ligatures w14:val="standardContextual"/>
        </w:rPr>
        <w:t>5、数据截止时间为2024年</w:t>
      </w:r>
      <w:r>
        <w:rPr>
          <w:rFonts w:hint="eastAsia" w:ascii="仿宋_GB2312" w:hAnsi="仿宋_GB2312" w:cs="仿宋_GB2312"/>
          <w:b/>
          <w:bCs/>
          <w:color w:val="000000"/>
          <w:sz w:val="21"/>
          <w:szCs w:val="21"/>
          <w:lang w:val="en-US" w:eastAsia="zh-CN" w:bidi="ar"/>
          <w14:ligatures w14:val="standardContextual"/>
        </w:rPr>
        <w:t>12</w:t>
      </w:r>
      <w:r>
        <w:rPr>
          <w:rFonts w:hint="eastAsia" w:ascii="仿宋_GB2312" w:hAnsi="仿宋_GB2312" w:cs="仿宋_GB2312"/>
          <w:b/>
          <w:bCs/>
          <w:color w:val="000000"/>
          <w:sz w:val="21"/>
          <w:szCs w:val="21"/>
          <w:lang w:bidi="ar"/>
          <w14:ligatures w14:val="standardContextual"/>
        </w:rPr>
        <w:t>月3</w:t>
      </w:r>
      <w:r>
        <w:rPr>
          <w:rFonts w:hint="eastAsia" w:ascii="仿宋_GB2312" w:hAnsi="仿宋_GB2312" w:cs="仿宋_GB2312"/>
          <w:b/>
          <w:bCs/>
          <w:color w:val="000000"/>
          <w:sz w:val="21"/>
          <w:szCs w:val="21"/>
          <w:lang w:val="en-US" w:eastAsia="zh-CN" w:bidi="ar"/>
          <w14:ligatures w14:val="standardContextual"/>
        </w:rPr>
        <w:t>1</w:t>
      </w:r>
      <w:r>
        <w:rPr>
          <w:rFonts w:hint="eastAsia" w:ascii="仿宋_GB2312" w:hAnsi="仿宋_GB2312" w:cs="仿宋_GB2312"/>
          <w:b/>
          <w:bCs/>
          <w:color w:val="000000"/>
          <w:sz w:val="21"/>
          <w:szCs w:val="21"/>
          <w:lang w:bidi="ar"/>
          <w14:ligatures w14:val="standardContextual"/>
        </w:rPr>
        <w:t>日。</w:t>
      </w:r>
    </w:p>
    <w:p>
      <w:pPr>
        <w:widowControl/>
        <w:spacing w:line="240" w:lineRule="auto"/>
        <w:ind w:firstLine="0" w:firstLineChars="0"/>
        <w:jc w:val="left"/>
        <w:textAlignment w:val="center"/>
        <w:rPr>
          <w:rFonts w:hint="eastAsia" w:ascii="仿宋_GB2312" w:hAnsi="仿宋_GB2312" w:cs="仿宋_GB2312"/>
          <w:color w:val="000000"/>
          <w:sz w:val="24"/>
          <w:lang w:bidi="ar"/>
          <w14:ligatures w14:val="standardContextual"/>
        </w:rPr>
      </w:pPr>
      <w:r>
        <w:rPr>
          <w:rFonts w:hint="eastAsia" w:ascii="仿宋_GB2312" w:hAnsi="仿宋_GB2312" w:cs="仿宋_GB2312"/>
          <w:b/>
          <w:bCs/>
          <w:color w:val="000000"/>
          <w:sz w:val="21"/>
          <w:szCs w:val="21"/>
          <w:lang w:bidi="ar"/>
          <w14:ligatures w14:val="standardContextual"/>
        </w:rPr>
        <w:br w:type="page"/>
      </w:r>
      <w:r>
        <w:rPr>
          <w:rFonts w:hint="eastAsia" w:ascii="黑体" w:hAnsi="黑体" w:eastAsia="黑体" w:cs="黑体"/>
          <w:color w:val="000000"/>
          <w:szCs w:val="32"/>
          <w:lang w:bidi="ar"/>
          <w14:ligatures w14:val="standardContextual"/>
        </w:rPr>
        <w:t>附表6-4.1</w:t>
      </w:r>
    </w:p>
    <w:p>
      <w:pPr>
        <w:widowControl/>
        <w:spacing w:line="240" w:lineRule="auto"/>
        <w:ind w:firstLine="0" w:firstLineChars="0"/>
        <w:jc w:val="center"/>
        <w:textAlignment w:val="center"/>
        <w:rPr>
          <w:rFonts w:hint="eastAsia" w:ascii="方正小标宋_GBK" w:hAnsi="方正小标宋_GBK" w:eastAsia="方正小标宋_GBK" w:cs="方正小标宋_GBK"/>
          <w:color w:val="000000"/>
          <w:kern w:val="2"/>
          <w:sz w:val="36"/>
          <w:szCs w:val="36"/>
          <w14:ligatures w14:val="standardContextual"/>
        </w:rPr>
      </w:pPr>
      <w:r>
        <w:rPr>
          <w:rFonts w:hint="eastAsia" w:ascii="方正小标宋_GBK" w:hAnsi="方正小标宋_GBK" w:eastAsia="方正小标宋_GBK" w:cs="方正小标宋_GBK"/>
          <w:color w:val="000000"/>
          <w:sz w:val="36"/>
          <w:szCs w:val="36"/>
          <w:lang w:bidi="ar"/>
          <w14:ligatures w14:val="standardContextual"/>
        </w:rPr>
        <w:t>人员构成基本情况</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5000" w:type="pct"/>
            <w:vMerge w:val="restart"/>
            <w:tcBorders>
              <w:tl2br w:val="nil"/>
              <w:tr2bl w:val="nil"/>
            </w:tcBorders>
            <w:shd w:val="clear" w:color="auto" w:fill="auto"/>
            <w:vAlign w:val="center"/>
          </w:tcPr>
          <w:p>
            <w:pPr>
              <w:widowControl/>
              <w:spacing w:line="240" w:lineRule="auto"/>
              <w:ind w:firstLine="0" w:firstLineChars="0"/>
              <w:jc w:val="left"/>
              <w:textAlignment w:val="center"/>
              <w:rPr>
                <w:rFonts w:hint="eastAsia" w:ascii="仿宋_GB2312" w:hAnsi="仿宋_GB2312" w:cs="仿宋_GB2312"/>
                <w:color w:val="000000"/>
                <w:kern w:val="2"/>
                <w:sz w:val="24"/>
                <w14:ligatures w14:val="standardContextual"/>
              </w:rPr>
            </w:pPr>
            <w:r>
              <w:rPr>
                <w:rFonts w:hint="eastAsia" w:ascii="仿宋_GB2312" w:hAnsi="仿宋_GB2312" w:cs="仿宋_GB2312"/>
                <w:color w:val="000000"/>
                <w:sz w:val="24"/>
                <w:lang w:bidi="ar"/>
                <w14:ligatures w14:val="standardContextual"/>
              </w:rPr>
              <w:t>XX公司拥有XX名具有股权投资和相关经验的专业人员，其中前台投资人员XX人，中、后台支持团队XX人。公司拥有XX名具备5年以上投资相关从业经验人士，XX名具备8年以上投资相关从业经验的高管；公司硕士以上学历XX人，博士以上学历XX人；公司有XX人拥有法律职业资格证书，XX人拥有注册会计师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5000" w:type="pct"/>
            <w:vMerge w:val="continue"/>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4"/>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5000" w:type="pct"/>
            <w:vMerge w:val="continue"/>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4"/>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5000" w:type="pct"/>
            <w:vMerge w:val="continue"/>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4"/>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5000" w:type="pct"/>
            <w:vMerge w:val="continue"/>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4"/>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5000" w:type="pct"/>
            <w:vMerge w:val="continue"/>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4"/>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5000" w:type="pct"/>
            <w:vMerge w:val="continue"/>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4"/>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5000" w:type="pct"/>
            <w:vMerge w:val="continue"/>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4"/>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5000" w:type="pct"/>
            <w:vMerge w:val="continue"/>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4"/>
                <w14:ligatures w14:val="standardContextual"/>
              </w:rPr>
            </w:pPr>
          </w:p>
        </w:tc>
      </w:tr>
    </w:tbl>
    <w:p>
      <w:pPr>
        <w:widowControl/>
        <w:spacing w:line="240" w:lineRule="auto"/>
        <w:ind w:firstLine="0" w:firstLineChars="0"/>
        <w:jc w:val="left"/>
        <w:textAlignment w:val="center"/>
        <w:rPr>
          <w:rFonts w:hint="eastAsia" w:ascii="仿宋_GB2312" w:hAnsi="仿宋_GB2312" w:cs="仿宋_GB2312"/>
          <w:b/>
          <w:bCs/>
          <w:color w:val="000000"/>
          <w:kern w:val="2"/>
          <w:sz w:val="21"/>
          <w:szCs w:val="21"/>
          <w14:ligatures w14:val="standardContextual"/>
        </w:rPr>
      </w:pPr>
    </w:p>
    <w:p>
      <w:pPr>
        <w:widowControl/>
        <w:spacing w:line="240" w:lineRule="auto"/>
        <w:ind w:firstLine="0" w:firstLineChars="0"/>
        <w:jc w:val="left"/>
        <w:textAlignment w:val="center"/>
        <w:rPr>
          <w:rFonts w:hint="eastAsia" w:ascii="仿宋_GB2312" w:hAnsi="仿宋_GB2312" w:cs="仿宋_GB2312"/>
          <w:color w:val="000000"/>
          <w:sz w:val="21"/>
          <w:szCs w:val="21"/>
          <w:lang w:bidi="ar"/>
          <w14:ligatures w14:val="standardContextual"/>
        </w:rPr>
      </w:pPr>
      <w:r>
        <w:rPr>
          <w:rFonts w:ascii="等线" w:hAnsi="等线" w:eastAsia="等线"/>
          <w:kern w:val="2"/>
          <w:sz w:val="21"/>
          <w:szCs w:val="22"/>
          <w14:ligatures w14:val="standardContextual"/>
        </w:rPr>
        <w:br w:type="page"/>
      </w:r>
      <w:r>
        <w:rPr>
          <w:rFonts w:hint="eastAsia" w:ascii="黑体" w:hAnsi="黑体" w:eastAsia="黑体" w:cs="黑体"/>
          <w:color w:val="000000"/>
          <w:szCs w:val="32"/>
          <w:lang w:bidi="ar"/>
          <w14:ligatures w14:val="standardContextual"/>
        </w:rPr>
        <w:t>附表6-4.2</w:t>
      </w:r>
    </w:p>
    <w:p>
      <w:pPr>
        <w:widowControl/>
        <w:spacing w:line="240" w:lineRule="auto"/>
        <w:ind w:firstLine="0" w:firstLineChars="0"/>
        <w:jc w:val="center"/>
        <w:textAlignment w:val="center"/>
        <w:rPr>
          <w:rFonts w:hint="eastAsia" w:ascii="方正小标宋_GBK" w:hAnsi="方正小标宋_GBK" w:eastAsia="方正小标宋_GBK" w:cs="方正小标宋_GBK"/>
          <w:color w:val="000000"/>
          <w:kern w:val="2"/>
          <w:sz w:val="36"/>
          <w:szCs w:val="36"/>
          <w14:ligatures w14:val="standardContextual"/>
        </w:rPr>
      </w:pPr>
      <w:r>
        <w:rPr>
          <w:rFonts w:hint="eastAsia" w:ascii="方正小标宋_GBK" w:hAnsi="方正小标宋_GBK" w:eastAsia="方正小标宋_GBK" w:cs="方正小标宋_GBK"/>
          <w:color w:val="000000"/>
          <w:sz w:val="36"/>
          <w:szCs w:val="36"/>
          <w:lang w:bidi="ar"/>
          <w14:ligatures w14:val="standardContextual"/>
        </w:rPr>
        <w:t>配备管理团队人员履历表（全体）</w:t>
      </w:r>
    </w:p>
    <w:tbl>
      <w:tblPr>
        <w:tblStyle w:val="12"/>
        <w:tblW w:w="514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2"/>
        <w:gridCol w:w="963"/>
        <w:gridCol w:w="1885"/>
        <w:gridCol w:w="1109"/>
        <w:gridCol w:w="2954"/>
        <w:gridCol w:w="2954"/>
        <w:gridCol w:w="2585"/>
        <w:gridCol w:w="1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48"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序号</w:t>
            </w:r>
          </w:p>
        </w:tc>
        <w:tc>
          <w:tcPr>
            <w:tcW w:w="329"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姓名</w:t>
            </w:r>
          </w:p>
        </w:tc>
        <w:tc>
          <w:tcPr>
            <w:tcW w:w="644"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拟任本基金职务</w:t>
            </w:r>
          </w:p>
        </w:tc>
        <w:tc>
          <w:tcPr>
            <w:tcW w:w="379"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原职务</w:t>
            </w:r>
          </w:p>
        </w:tc>
        <w:tc>
          <w:tcPr>
            <w:tcW w:w="1009"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教育背景</w:t>
            </w:r>
          </w:p>
        </w:tc>
        <w:tc>
          <w:tcPr>
            <w:tcW w:w="1009"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工作履历</w:t>
            </w:r>
          </w:p>
        </w:tc>
        <w:tc>
          <w:tcPr>
            <w:tcW w:w="883"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投资经历</w:t>
            </w:r>
          </w:p>
        </w:tc>
        <w:tc>
          <w:tcPr>
            <w:tcW w:w="59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color w:val="000000"/>
                <w:kern w:val="2"/>
                <w:sz w:val="21"/>
                <w:szCs w:val="21"/>
                <w14:ligatures w14:val="standardContextual"/>
              </w:rPr>
            </w:pPr>
            <w:r>
              <w:rPr>
                <w:rFonts w:hint="eastAsia" w:ascii="仿宋_GB2312" w:hAnsi="仿宋_GB2312" w:cs="仿宋_GB2312"/>
                <w:b/>
                <w:bCs/>
                <w:color w:val="000000"/>
                <w:sz w:val="21"/>
                <w:szCs w:val="21"/>
                <w:lang w:bidi="ar"/>
                <w14:ligatures w14:val="standardContextual"/>
              </w:rPr>
              <w:t>其他兼职（如有）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148"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1</w:t>
            </w:r>
          </w:p>
        </w:tc>
        <w:tc>
          <w:tcPr>
            <w:tcW w:w="329"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644"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79"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1009"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1009"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883"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595"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148"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2</w:t>
            </w:r>
          </w:p>
        </w:tc>
        <w:tc>
          <w:tcPr>
            <w:tcW w:w="329"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644"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79"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1009"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1009"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883"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595"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148"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3</w:t>
            </w:r>
          </w:p>
        </w:tc>
        <w:tc>
          <w:tcPr>
            <w:tcW w:w="329"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644"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79"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1009"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1009"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883"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595"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148"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4</w:t>
            </w:r>
          </w:p>
        </w:tc>
        <w:tc>
          <w:tcPr>
            <w:tcW w:w="329"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644"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79"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1009"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1009"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883"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595"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148"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w:t>
            </w:r>
          </w:p>
        </w:tc>
        <w:tc>
          <w:tcPr>
            <w:tcW w:w="329"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644"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79"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1009"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1009"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883"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595"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48" w:type="pct"/>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329"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644"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color w:val="000000"/>
                <w:kern w:val="2"/>
                <w:sz w:val="21"/>
                <w:szCs w:val="21"/>
                <w14:ligatures w14:val="standardContextual"/>
              </w:rPr>
            </w:pPr>
          </w:p>
        </w:tc>
        <w:tc>
          <w:tcPr>
            <w:tcW w:w="379"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1009"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1009"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883"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c>
          <w:tcPr>
            <w:tcW w:w="595"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color w:val="000000"/>
                <w:kern w:val="2"/>
                <w:sz w:val="21"/>
                <w:szCs w:val="21"/>
                <w14:ligatures w14:val="standardContextual"/>
              </w:rPr>
            </w:pPr>
          </w:p>
        </w:tc>
      </w:tr>
    </w:tbl>
    <w:p>
      <w:pPr>
        <w:widowControl/>
        <w:spacing w:line="240" w:lineRule="auto"/>
        <w:ind w:firstLine="0" w:firstLineChars="0"/>
        <w:jc w:val="center"/>
        <w:textAlignment w:val="center"/>
        <w:rPr>
          <w:rFonts w:hint="eastAsia" w:ascii="仿宋_GB2312" w:hAnsi="仿宋_GB2312" w:cs="仿宋_GB2312"/>
          <w:color w:val="000000"/>
          <w:sz w:val="21"/>
          <w:szCs w:val="21"/>
          <w:lang w:bidi="ar"/>
          <w14:ligatures w14:val="standardContextual"/>
        </w:rPr>
      </w:pPr>
    </w:p>
    <w:p>
      <w:pPr>
        <w:widowControl/>
        <w:spacing w:line="240" w:lineRule="auto"/>
        <w:ind w:firstLine="0" w:firstLineChars="0"/>
        <w:jc w:val="center"/>
        <w:textAlignment w:val="center"/>
        <w:rPr>
          <w:rFonts w:hint="eastAsia" w:ascii="仿宋_GB2312" w:hAnsi="仿宋_GB2312" w:cs="仿宋_GB2312"/>
          <w:color w:val="000000"/>
          <w:sz w:val="21"/>
          <w:szCs w:val="21"/>
          <w:lang w:bidi="ar"/>
          <w14:ligatures w14:val="standardContextual"/>
        </w:rPr>
      </w:pPr>
    </w:p>
    <w:p>
      <w:pPr>
        <w:widowControl/>
        <w:spacing w:line="240" w:lineRule="auto"/>
        <w:ind w:firstLine="0" w:firstLineChars="0"/>
        <w:jc w:val="left"/>
        <w:textAlignment w:val="center"/>
        <w:rPr>
          <w:rFonts w:hint="eastAsia" w:ascii="仿宋_GB2312" w:hAnsi="仿宋_GB2312" w:cs="仿宋_GB2312"/>
          <w:color w:val="000000"/>
          <w:sz w:val="21"/>
          <w:szCs w:val="21"/>
          <w:lang w:bidi="ar"/>
          <w14:ligatures w14:val="standardContextual"/>
        </w:rPr>
      </w:pPr>
      <w:r>
        <w:rPr>
          <w:rFonts w:hint="eastAsia" w:ascii="仿宋_GB2312" w:hAnsi="仿宋_GB2312" w:cs="仿宋_GB2312"/>
          <w:color w:val="000000"/>
          <w:sz w:val="21"/>
          <w:szCs w:val="21"/>
          <w:lang w:bidi="ar"/>
          <w14:ligatures w14:val="standardContextual"/>
        </w:rPr>
        <w:t xml:space="preserve">申请人：        （公章）  </w:t>
      </w:r>
    </w:p>
    <w:p>
      <w:pPr>
        <w:widowControl/>
        <w:spacing w:line="240" w:lineRule="auto"/>
        <w:ind w:firstLine="0" w:firstLineChars="0"/>
        <w:jc w:val="left"/>
        <w:textAlignment w:val="center"/>
        <w:rPr>
          <w:rFonts w:hint="eastAsia" w:ascii="仿宋_GB2312" w:hAnsi="仿宋_GB2312" w:cs="仿宋_GB2312"/>
          <w:color w:val="000000"/>
          <w:sz w:val="21"/>
          <w:szCs w:val="21"/>
          <w:lang w:bidi="ar"/>
          <w14:ligatures w14:val="standardContextual"/>
        </w:rPr>
      </w:pPr>
    </w:p>
    <w:p>
      <w:pPr>
        <w:widowControl/>
        <w:spacing w:line="240" w:lineRule="auto"/>
        <w:ind w:firstLine="0" w:firstLineChars="0"/>
        <w:jc w:val="left"/>
        <w:textAlignment w:val="center"/>
        <w:rPr>
          <w:rFonts w:hint="eastAsia" w:ascii="仿宋_GB2312" w:hAnsi="仿宋_GB2312" w:cs="仿宋_GB2312"/>
          <w:color w:val="000000"/>
          <w:sz w:val="21"/>
          <w:szCs w:val="21"/>
          <w:lang w:bidi="ar"/>
          <w14:ligatures w14:val="standardContextual"/>
        </w:rPr>
      </w:pPr>
      <w:r>
        <w:rPr>
          <w:rFonts w:hint="eastAsia" w:ascii="仿宋_GB2312" w:hAnsi="仿宋_GB2312" w:cs="仿宋_GB2312"/>
          <w:color w:val="000000"/>
          <w:sz w:val="21"/>
          <w:szCs w:val="21"/>
          <w:lang w:bidi="ar"/>
          <w14:ligatures w14:val="standardContextual"/>
        </w:rPr>
        <w:t>法定代表人（或执行事务合伙人委派代表）或其授权委托代理人：  （签字）</w:t>
      </w:r>
    </w:p>
    <w:p>
      <w:pPr>
        <w:widowControl/>
        <w:spacing w:line="240" w:lineRule="auto"/>
        <w:ind w:firstLine="0" w:firstLineChars="0"/>
        <w:jc w:val="left"/>
        <w:textAlignment w:val="center"/>
        <w:rPr>
          <w:rFonts w:hint="eastAsia" w:ascii="仿宋_GB2312" w:hAnsi="仿宋_GB2312" w:cs="仿宋_GB2312"/>
          <w:color w:val="000000"/>
          <w:sz w:val="21"/>
          <w:szCs w:val="21"/>
          <w:lang w:bidi="ar"/>
          <w14:ligatures w14:val="standardContextual"/>
        </w:rPr>
      </w:pPr>
    </w:p>
    <w:p>
      <w:pPr>
        <w:widowControl/>
        <w:spacing w:line="240" w:lineRule="auto"/>
        <w:ind w:firstLine="0" w:firstLineChars="0"/>
        <w:jc w:val="left"/>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 xml:space="preserve">日期：     年   月   日 </w:t>
      </w:r>
    </w:p>
    <w:p>
      <w:pPr>
        <w:widowControl/>
        <w:spacing w:line="240" w:lineRule="auto"/>
        <w:ind w:firstLine="0" w:firstLineChars="0"/>
        <w:jc w:val="left"/>
        <w:textAlignment w:val="center"/>
        <w:rPr>
          <w:rFonts w:hint="eastAsia" w:ascii="仿宋_GB2312" w:hAnsi="仿宋_GB2312" w:cs="仿宋_GB2312"/>
          <w:color w:val="000000"/>
          <w:sz w:val="21"/>
          <w:szCs w:val="21"/>
          <w:lang w:bidi="ar"/>
          <w14:ligatures w14:val="standardContextual"/>
        </w:rPr>
      </w:pPr>
      <w:r>
        <w:rPr>
          <w:rFonts w:ascii="等线" w:hAnsi="等线" w:eastAsia="等线"/>
          <w:kern w:val="2"/>
          <w:sz w:val="21"/>
          <w:szCs w:val="22"/>
          <w14:ligatures w14:val="standardContextual"/>
        </w:rPr>
        <w:br w:type="page"/>
      </w:r>
      <w:r>
        <w:rPr>
          <w:rFonts w:hint="eastAsia" w:ascii="黑体" w:hAnsi="黑体" w:eastAsia="黑体" w:cs="黑体"/>
          <w:color w:val="000000"/>
          <w:szCs w:val="32"/>
          <w:lang w:bidi="ar"/>
          <w14:ligatures w14:val="standardContextual"/>
        </w:rPr>
        <w:t>附表6-4.3</w:t>
      </w:r>
    </w:p>
    <w:p>
      <w:pPr>
        <w:widowControl/>
        <w:spacing w:line="240" w:lineRule="auto"/>
        <w:ind w:firstLine="0" w:firstLineChars="0"/>
        <w:jc w:val="center"/>
        <w:textAlignment w:val="center"/>
        <w:rPr>
          <w:rFonts w:hint="eastAsia" w:ascii="方正小标宋_GBK" w:hAnsi="方正小标宋_GBK" w:eastAsia="方正小标宋_GBK" w:cs="方正小标宋_GBK"/>
          <w:color w:val="000000"/>
          <w:kern w:val="2"/>
          <w:sz w:val="36"/>
          <w:szCs w:val="36"/>
          <w14:ligatures w14:val="standardContextual"/>
        </w:rPr>
      </w:pPr>
      <w:r>
        <w:rPr>
          <w:rFonts w:hint="eastAsia" w:ascii="方正小标宋_GBK" w:hAnsi="方正小标宋_GBK" w:eastAsia="方正小标宋_GBK" w:cs="方正小标宋_GBK"/>
          <w:color w:val="000000"/>
          <w:sz w:val="36"/>
          <w:szCs w:val="36"/>
          <w:lang w:bidi="ar"/>
          <w14:ligatures w14:val="standardContextual"/>
        </w:rPr>
        <w:t>配备管理团队人员履历表（个人）</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86"/>
        <w:gridCol w:w="1789"/>
        <w:gridCol w:w="1351"/>
        <w:gridCol w:w="1954"/>
        <w:gridCol w:w="964"/>
        <w:gridCol w:w="958"/>
        <w:gridCol w:w="1160"/>
        <w:gridCol w:w="1152"/>
        <w:gridCol w:w="677"/>
        <w:gridCol w:w="24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628"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姓名</w:t>
            </w:r>
          </w:p>
        </w:tc>
        <w:tc>
          <w:tcPr>
            <w:tcW w:w="628" w:type="pct"/>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47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国籍</w:t>
            </w:r>
          </w:p>
        </w:tc>
        <w:tc>
          <w:tcPr>
            <w:tcW w:w="1363" w:type="pct"/>
            <w:gridSpan w:val="3"/>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813" w:type="pct"/>
            <w:gridSpan w:val="2"/>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现职务</w:t>
            </w:r>
          </w:p>
        </w:tc>
        <w:tc>
          <w:tcPr>
            <w:tcW w:w="1089" w:type="pct"/>
            <w:gridSpan w:val="2"/>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628"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性别</w:t>
            </w:r>
          </w:p>
        </w:tc>
        <w:tc>
          <w:tcPr>
            <w:tcW w:w="628" w:type="pct"/>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47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出生年月</w:t>
            </w:r>
          </w:p>
        </w:tc>
        <w:tc>
          <w:tcPr>
            <w:tcW w:w="1363" w:type="pct"/>
            <w:gridSpan w:val="3"/>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813" w:type="pct"/>
            <w:gridSpan w:val="2"/>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拟任本基金的职务</w:t>
            </w:r>
          </w:p>
        </w:tc>
        <w:tc>
          <w:tcPr>
            <w:tcW w:w="1089" w:type="pct"/>
            <w:gridSpan w:val="2"/>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5000" w:type="pct"/>
            <w:gridSpan w:val="10"/>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职业经历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628"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起</w:t>
            </w:r>
          </w:p>
        </w:tc>
        <w:tc>
          <w:tcPr>
            <w:tcW w:w="628"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止</w:t>
            </w:r>
          </w:p>
        </w:tc>
        <w:tc>
          <w:tcPr>
            <w:tcW w:w="1162" w:type="pct"/>
            <w:gridSpan w:val="2"/>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公司/单位</w:t>
            </w:r>
          </w:p>
        </w:tc>
        <w:tc>
          <w:tcPr>
            <w:tcW w:w="676" w:type="pct"/>
            <w:gridSpan w:val="2"/>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职位</w:t>
            </w:r>
          </w:p>
        </w:tc>
        <w:tc>
          <w:tcPr>
            <w:tcW w:w="1903" w:type="pct"/>
            <w:gridSpan w:val="4"/>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职能描述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628" w:type="pct"/>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628" w:type="pct"/>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1162" w:type="pct"/>
            <w:gridSpan w:val="2"/>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676" w:type="pct"/>
            <w:gridSpan w:val="2"/>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1903" w:type="pct"/>
            <w:gridSpan w:val="4"/>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5000" w:type="pct"/>
            <w:gridSpan w:val="10"/>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教育背景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628"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起</w:t>
            </w:r>
          </w:p>
        </w:tc>
        <w:tc>
          <w:tcPr>
            <w:tcW w:w="628"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止</w:t>
            </w:r>
          </w:p>
        </w:tc>
        <w:tc>
          <w:tcPr>
            <w:tcW w:w="1838" w:type="pct"/>
            <w:gridSpan w:val="4"/>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学校</w:t>
            </w:r>
          </w:p>
        </w:tc>
        <w:tc>
          <w:tcPr>
            <w:tcW w:w="1051" w:type="pct"/>
            <w:gridSpan w:val="3"/>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学历</w:t>
            </w:r>
          </w:p>
        </w:tc>
        <w:tc>
          <w:tcPr>
            <w:tcW w:w="851"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628" w:type="pct"/>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628" w:type="pct"/>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1838" w:type="pct"/>
            <w:gridSpan w:val="4"/>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1051" w:type="pct"/>
            <w:gridSpan w:val="3"/>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851" w:type="pct"/>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5000" w:type="pct"/>
            <w:gridSpan w:val="10"/>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主要投资经历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257" w:type="pct"/>
            <w:gridSpan w:val="2"/>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企业名</w:t>
            </w:r>
          </w:p>
        </w:tc>
        <w:tc>
          <w:tcPr>
            <w:tcW w:w="1838" w:type="pct"/>
            <w:gridSpan w:val="4"/>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投资时间</w:t>
            </w:r>
          </w:p>
        </w:tc>
        <w:tc>
          <w:tcPr>
            <w:tcW w:w="1903" w:type="pct"/>
            <w:gridSpan w:val="4"/>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退出时间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257" w:type="pct"/>
            <w:gridSpan w:val="2"/>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1838" w:type="pct"/>
            <w:gridSpan w:val="4"/>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1903" w:type="pct"/>
            <w:gridSpan w:val="4"/>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5000" w:type="pct"/>
            <w:gridSpan w:val="10"/>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其他兼职情况（如有）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2758" w:type="pct"/>
            <w:gridSpan w:val="5"/>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公司/单位名</w:t>
            </w:r>
          </w:p>
        </w:tc>
        <w:tc>
          <w:tcPr>
            <w:tcW w:w="745" w:type="pct"/>
            <w:gridSpan w:val="2"/>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职务</w:t>
            </w:r>
          </w:p>
        </w:tc>
        <w:tc>
          <w:tcPr>
            <w:tcW w:w="1496" w:type="pct"/>
            <w:gridSpan w:val="3"/>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起始日期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2758" w:type="pct"/>
            <w:gridSpan w:val="5"/>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745" w:type="pct"/>
            <w:gridSpan w:val="2"/>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1496" w:type="pct"/>
            <w:gridSpan w:val="3"/>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2758" w:type="pct"/>
            <w:gridSpan w:val="5"/>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745" w:type="pct"/>
            <w:gridSpan w:val="2"/>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c>
          <w:tcPr>
            <w:tcW w:w="1496" w:type="pct"/>
            <w:gridSpan w:val="3"/>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5000" w:type="pct"/>
            <w:gridSpan w:val="10"/>
            <w:tcBorders>
              <w:tl2br w:val="nil"/>
              <w:tr2bl w:val="nil"/>
            </w:tcBorders>
            <w:shd w:val="clear" w:color="auto" w:fill="auto"/>
            <w:vAlign w:val="center"/>
          </w:tcPr>
          <w:p>
            <w:pPr>
              <w:widowControl/>
              <w:spacing w:line="240" w:lineRule="auto"/>
              <w:ind w:firstLine="0" w:firstLineChars="0"/>
              <w:textAlignment w:val="center"/>
              <w:rPr>
                <w:rFonts w:hint="eastAsia" w:ascii="仿宋_GB2312" w:hAnsi="仿宋_GB2312" w:cs="仿宋_GB2312"/>
                <w:color w:val="000000"/>
                <w:kern w:val="2"/>
                <w:sz w:val="21"/>
                <w:szCs w:val="21"/>
                <w14:ligatures w14:val="standardContextual"/>
              </w:rPr>
            </w:pPr>
            <w:r>
              <w:rPr>
                <w:rFonts w:hint="eastAsia" w:ascii="仿宋_GB2312" w:hAnsi="仿宋_GB2312" w:cs="仿宋_GB2312"/>
                <w:color w:val="000000"/>
                <w:sz w:val="21"/>
                <w:szCs w:val="21"/>
                <w:lang w:bidi="ar"/>
                <w14:ligatures w14:val="standardContextual"/>
              </w:rPr>
              <w:t>注：本表后应附相关人员的身份证、职称证、学历证、从业资格证书、劳动合同加盖申请人公章的复印件或扫描件。</w:t>
            </w:r>
          </w:p>
        </w:tc>
      </w:tr>
    </w:tbl>
    <w:p>
      <w:pPr>
        <w:widowControl/>
        <w:spacing w:line="240" w:lineRule="auto"/>
        <w:ind w:firstLine="0" w:firstLineChars="0"/>
        <w:jc w:val="left"/>
        <w:textAlignment w:val="center"/>
        <w:rPr>
          <w:rFonts w:hint="eastAsia" w:ascii="仿宋_GB2312" w:hAnsi="仿宋_GB2312" w:cs="仿宋_GB2312"/>
          <w:sz w:val="21"/>
          <w:szCs w:val="21"/>
          <w:lang w:bidi="ar"/>
          <w14:ligatures w14:val="standardContextual"/>
        </w:rPr>
      </w:pPr>
      <w:r>
        <w:rPr>
          <w:rFonts w:ascii="等线" w:hAnsi="等线" w:eastAsia="等线"/>
          <w:kern w:val="2"/>
          <w:sz w:val="21"/>
          <w:szCs w:val="22"/>
          <w14:ligatures w14:val="standardContextual"/>
        </w:rPr>
        <w:br w:type="page"/>
      </w:r>
      <w:r>
        <w:rPr>
          <w:rFonts w:hint="eastAsia" w:ascii="黑体" w:hAnsi="黑体" w:eastAsia="黑体" w:cs="黑体"/>
          <w:szCs w:val="32"/>
          <w:lang w:bidi="ar"/>
          <w14:ligatures w14:val="standardContextual"/>
        </w:rPr>
        <w:t>附表6-5</w:t>
      </w:r>
    </w:p>
    <w:p>
      <w:pPr>
        <w:widowControl/>
        <w:spacing w:line="240" w:lineRule="auto"/>
        <w:ind w:firstLine="0" w:firstLineChars="0"/>
        <w:jc w:val="center"/>
        <w:textAlignment w:val="center"/>
        <w:rPr>
          <w:rFonts w:hint="eastAsia" w:ascii="方正小标宋_GBK" w:hAnsi="方正小标宋_GBK" w:eastAsia="方正小标宋_GBK" w:cs="方正小标宋_GBK"/>
          <w:kern w:val="2"/>
          <w:sz w:val="36"/>
          <w:szCs w:val="36"/>
          <w14:ligatures w14:val="standardContextual"/>
        </w:rPr>
      </w:pPr>
      <w:r>
        <w:rPr>
          <w:rFonts w:hint="eastAsia" w:ascii="方正小标宋_GBK" w:hAnsi="方正小标宋_GBK" w:eastAsia="方正小标宋_GBK" w:cs="方正小标宋_GBK"/>
          <w:sz w:val="36"/>
          <w:szCs w:val="36"/>
          <w:lang w:bidi="ar"/>
          <w14:ligatures w14:val="standardContextual"/>
        </w:rPr>
        <w:t>核心成员基本情况表</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0"/>
        <w:gridCol w:w="919"/>
        <w:gridCol w:w="648"/>
        <w:gridCol w:w="1718"/>
        <w:gridCol w:w="8296"/>
        <w:gridCol w:w="19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6"/>
            <w:tcBorders>
              <w:tl2br w:val="nil"/>
              <w:tr2bl w:val="nil"/>
            </w:tcBorders>
            <w:shd w:val="clear" w:color="auto" w:fill="auto"/>
            <w:vAlign w:val="center"/>
          </w:tcPr>
          <w:p>
            <w:pPr>
              <w:widowControl/>
              <w:spacing w:line="240" w:lineRule="auto"/>
              <w:ind w:firstLine="0" w:firstLineChars="0"/>
              <w:jc w:val="left"/>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一、核心成员基本信息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序号</w:t>
            </w:r>
          </w:p>
        </w:tc>
        <w:tc>
          <w:tcPr>
            <w:tcW w:w="323"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姓名</w:t>
            </w:r>
          </w:p>
        </w:tc>
        <w:tc>
          <w:tcPr>
            <w:tcW w:w="831" w:type="pct"/>
            <w:gridSpan w:val="2"/>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所在机构担任职务</w:t>
            </w:r>
          </w:p>
        </w:tc>
        <w:tc>
          <w:tcPr>
            <w:tcW w:w="2917"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职责说明</w:t>
            </w:r>
          </w:p>
        </w:tc>
        <w:tc>
          <w:tcPr>
            <w:tcW w:w="701"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sz w:val="21"/>
                <w:szCs w:val="21"/>
                <w:lang w:bidi="ar"/>
                <w14:ligatures w14:val="standardContextual"/>
              </w:rPr>
            </w:pPr>
            <w:r>
              <w:rPr>
                <w:rFonts w:hint="eastAsia" w:ascii="仿宋_GB2312" w:hAnsi="仿宋_GB2312" w:cs="仿宋_GB2312"/>
                <w:sz w:val="21"/>
                <w:szCs w:val="21"/>
                <w:lang w:bidi="ar"/>
                <w14:ligatures w14:val="standardContextual"/>
              </w:rPr>
              <w:t>是否专职</w:t>
            </w:r>
          </w:p>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（仅限关键人士）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5" w:type="pct"/>
            <w:tcBorders>
              <w:tl2br w:val="nil"/>
              <w:tr2bl w:val="nil"/>
            </w:tcBorders>
            <w:shd w:val="clear" w:color="auto" w:fill="auto"/>
            <w:noWrap/>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1</w:t>
            </w:r>
          </w:p>
        </w:tc>
        <w:tc>
          <w:tcPr>
            <w:tcW w:w="323" w:type="pct"/>
            <w:tcBorders>
              <w:tl2br w:val="nil"/>
              <w:tr2bl w:val="nil"/>
            </w:tcBorders>
            <w:shd w:val="clear" w:color="auto" w:fill="auto"/>
            <w:noWrap/>
            <w:vAlign w:val="center"/>
          </w:tcPr>
          <w:p>
            <w:pPr>
              <w:spacing w:line="240" w:lineRule="auto"/>
              <w:ind w:firstLine="0" w:firstLineChars="0"/>
              <w:jc w:val="center"/>
              <w:rPr>
                <w:rFonts w:hint="eastAsia" w:ascii="仿宋_GB2312" w:hAnsi="仿宋_GB2312" w:cs="仿宋_GB2312"/>
                <w:kern w:val="2"/>
                <w:sz w:val="21"/>
                <w:szCs w:val="21"/>
                <w14:ligatures w14:val="standardContextual"/>
              </w:rPr>
            </w:pPr>
          </w:p>
        </w:tc>
        <w:tc>
          <w:tcPr>
            <w:tcW w:w="831" w:type="pct"/>
            <w:gridSpan w:val="2"/>
            <w:tcBorders>
              <w:tl2br w:val="nil"/>
              <w:tr2bl w:val="nil"/>
            </w:tcBorders>
            <w:shd w:val="clear" w:color="auto" w:fill="auto"/>
            <w:noWrap/>
            <w:vAlign w:val="center"/>
          </w:tcPr>
          <w:p>
            <w:pPr>
              <w:spacing w:line="240" w:lineRule="auto"/>
              <w:ind w:firstLine="0" w:firstLineChars="0"/>
              <w:jc w:val="center"/>
              <w:rPr>
                <w:rFonts w:hint="eastAsia" w:ascii="仿宋_GB2312" w:hAnsi="仿宋_GB2312" w:cs="仿宋_GB2312"/>
                <w:kern w:val="2"/>
                <w:sz w:val="21"/>
                <w:szCs w:val="21"/>
                <w14:ligatures w14:val="standardContextual"/>
              </w:rPr>
            </w:pPr>
          </w:p>
        </w:tc>
        <w:tc>
          <w:tcPr>
            <w:tcW w:w="2917" w:type="pct"/>
            <w:tcBorders>
              <w:tl2br w:val="nil"/>
              <w:tr2bl w:val="nil"/>
            </w:tcBorders>
            <w:shd w:val="clear" w:color="auto" w:fill="auto"/>
            <w:noWrap/>
            <w:vAlign w:val="center"/>
          </w:tcPr>
          <w:p>
            <w:pPr>
              <w:spacing w:line="240" w:lineRule="auto"/>
              <w:ind w:firstLine="0" w:firstLineChars="0"/>
              <w:jc w:val="center"/>
              <w:rPr>
                <w:rFonts w:hint="eastAsia" w:ascii="仿宋_GB2312" w:hAnsi="仿宋_GB2312" w:cs="仿宋_GB2312"/>
                <w:kern w:val="2"/>
                <w:sz w:val="21"/>
                <w:szCs w:val="21"/>
                <w14:ligatures w14:val="standardContextual"/>
              </w:rPr>
            </w:pPr>
          </w:p>
        </w:tc>
        <w:tc>
          <w:tcPr>
            <w:tcW w:w="701" w:type="pct"/>
            <w:tcBorders>
              <w:tl2br w:val="nil"/>
              <w:tr2bl w:val="nil"/>
            </w:tcBorders>
            <w:shd w:val="clear" w:color="auto" w:fill="auto"/>
            <w:noWrap/>
            <w:vAlign w:val="center"/>
          </w:tcPr>
          <w:p>
            <w:pPr>
              <w:spacing w:line="240" w:lineRule="auto"/>
              <w:ind w:firstLine="0" w:firstLineChars="0"/>
              <w:jc w:val="center"/>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5" w:type="pct"/>
            <w:tcBorders>
              <w:tl2br w:val="nil"/>
              <w:tr2bl w:val="nil"/>
            </w:tcBorders>
            <w:shd w:val="clear" w:color="auto" w:fill="auto"/>
            <w:noWrap/>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w:t>
            </w:r>
          </w:p>
        </w:tc>
        <w:tc>
          <w:tcPr>
            <w:tcW w:w="323" w:type="pct"/>
            <w:tcBorders>
              <w:tl2br w:val="nil"/>
              <w:tr2bl w:val="nil"/>
            </w:tcBorders>
            <w:shd w:val="clear" w:color="auto" w:fill="auto"/>
            <w:noWrap/>
            <w:vAlign w:val="center"/>
          </w:tcPr>
          <w:p>
            <w:pPr>
              <w:spacing w:line="240" w:lineRule="auto"/>
              <w:ind w:firstLine="0" w:firstLineChars="0"/>
              <w:jc w:val="center"/>
              <w:rPr>
                <w:rFonts w:hint="eastAsia" w:ascii="仿宋_GB2312" w:hAnsi="仿宋_GB2312" w:cs="仿宋_GB2312"/>
                <w:kern w:val="2"/>
                <w:sz w:val="21"/>
                <w:szCs w:val="21"/>
                <w14:ligatures w14:val="standardContextual"/>
              </w:rPr>
            </w:pPr>
          </w:p>
        </w:tc>
        <w:tc>
          <w:tcPr>
            <w:tcW w:w="831" w:type="pct"/>
            <w:gridSpan w:val="2"/>
            <w:tcBorders>
              <w:tl2br w:val="nil"/>
              <w:tr2bl w:val="nil"/>
            </w:tcBorders>
            <w:shd w:val="clear" w:color="auto" w:fill="auto"/>
            <w:noWrap/>
            <w:vAlign w:val="center"/>
          </w:tcPr>
          <w:p>
            <w:pPr>
              <w:spacing w:line="240" w:lineRule="auto"/>
              <w:ind w:firstLine="0" w:firstLineChars="0"/>
              <w:jc w:val="center"/>
              <w:rPr>
                <w:rFonts w:hint="eastAsia" w:ascii="仿宋_GB2312" w:hAnsi="仿宋_GB2312" w:cs="仿宋_GB2312"/>
                <w:kern w:val="2"/>
                <w:sz w:val="21"/>
                <w:szCs w:val="21"/>
                <w14:ligatures w14:val="standardContextual"/>
              </w:rPr>
            </w:pPr>
          </w:p>
        </w:tc>
        <w:tc>
          <w:tcPr>
            <w:tcW w:w="2917" w:type="pct"/>
            <w:tcBorders>
              <w:tl2br w:val="nil"/>
              <w:tr2bl w:val="nil"/>
            </w:tcBorders>
            <w:shd w:val="clear" w:color="auto" w:fill="auto"/>
            <w:noWrap/>
            <w:vAlign w:val="center"/>
          </w:tcPr>
          <w:p>
            <w:pPr>
              <w:spacing w:line="240" w:lineRule="auto"/>
              <w:ind w:firstLine="0" w:firstLineChars="0"/>
              <w:jc w:val="center"/>
              <w:rPr>
                <w:rFonts w:hint="eastAsia" w:ascii="仿宋_GB2312" w:hAnsi="仿宋_GB2312" w:cs="仿宋_GB2312"/>
                <w:kern w:val="2"/>
                <w:sz w:val="21"/>
                <w:szCs w:val="21"/>
                <w14:ligatures w14:val="standardContextual"/>
              </w:rPr>
            </w:pPr>
          </w:p>
        </w:tc>
        <w:tc>
          <w:tcPr>
            <w:tcW w:w="701" w:type="pct"/>
            <w:tcBorders>
              <w:tl2br w:val="nil"/>
              <w:tr2bl w:val="nil"/>
            </w:tcBorders>
            <w:shd w:val="clear" w:color="auto" w:fill="auto"/>
            <w:noWrap/>
            <w:vAlign w:val="center"/>
          </w:tcPr>
          <w:p>
            <w:pPr>
              <w:spacing w:line="240" w:lineRule="auto"/>
              <w:ind w:firstLine="0" w:firstLineChars="0"/>
              <w:jc w:val="center"/>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6"/>
            <w:tcBorders>
              <w:tl2br w:val="nil"/>
              <w:tr2bl w:val="nil"/>
            </w:tcBorders>
            <w:shd w:val="clear" w:color="auto" w:fill="auto"/>
            <w:vAlign w:val="center"/>
          </w:tcPr>
          <w:p>
            <w:pPr>
              <w:widowControl/>
              <w:spacing w:line="240" w:lineRule="auto"/>
              <w:ind w:firstLine="0" w:firstLineChars="0"/>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二、核心成员合作共事经历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6" w:type="pct"/>
            <w:gridSpan w:val="3"/>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共事人员</w:t>
            </w:r>
          </w:p>
        </w:tc>
        <w:tc>
          <w:tcPr>
            <w:tcW w:w="604"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共事时间</w:t>
            </w:r>
          </w:p>
        </w:tc>
        <w:tc>
          <w:tcPr>
            <w:tcW w:w="3619" w:type="pct"/>
            <w:gridSpan w:val="2"/>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共事经历说明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6" w:type="pct"/>
            <w:gridSpan w:val="3"/>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kern w:val="2"/>
                <w:sz w:val="21"/>
                <w:szCs w:val="21"/>
                <w14:ligatures w14:val="standardContextual"/>
              </w:rPr>
            </w:pPr>
          </w:p>
        </w:tc>
        <w:tc>
          <w:tcPr>
            <w:tcW w:w="604" w:type="pct"/>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kern w:val="2"/>
                <w:sz w:val="21"/>
                <w:szCs w:val="21"/>
                <w14:ligatures w14:val="standardContextual"/>
              </w:rPr>
            </w:pPr>
          </w:p>
        </w:tc>
        <w:tc>
          <w:tcPr>
            <w:tcW w:w="3619" w:type="pct"/>
            <w:gridSpan w:val="2"/>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6" w:type="pct"/>
            <w:gridSpan w:val="3"/>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kern w:val="2"/>
                <w:sz w:val="21"/>
                <w:szCs w:val="21"/>
                <w14:ligatures w14:val="standardContextual"/>
              </w:rPr>
            </w:pPr>
          </w:p>
        </w:tc>
        <w:tc>
          <w:tcPr>
            <w:tcW w:w="604" w:type="pct"/>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kern w:val="2"/>
                <w:sz w:val="21"/>
                <w:szCs w:val="21"/>
                <w14:ligatures w14:val="standardContextual"/>
              </w:rPr>
            </w:pPr>
          </w:p>
        </w:tc>
        <w:tc>
          <w:tcPr>
            <w:tcW w:w="3619" w:type="pct"/>
            <w:gridSpan w:val="2"/>
            <w:tcBorders>
              <w:tl2br w:val="nil"/>
              <w:tr2bl w:val="nil"/>
            </w:tcBorders>
            <w:shd w:val="clear" w:color="auto" w:fill="auto"/>
            <w:vAlign w:val="center"/>
          </w:tcPr>
          <w:p>
            <w:pPr>
              <w:spacing w:line="240" w:lineRule="auto"/>
              <w:ind w:firstLine="0" w:firstLineChars="0"/>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6"/>
            <w:tcBorders>
              <w:tl2br w:val="nil"/>
              <w:tr2bl w:val="nil"/>
            </w:tcBorders>
            <w:shd w:val="clear" w:color="auto" w:fill="auto"/>
            <w:vAlign w:val="center"/>
          </w:tcPr>
          <w:p>
            <w:pPr>
              <w:widowControl/>
              <w:spacing w:line="240" w:lineRule="auto"/>
              <w:ind w:firstLine="0" w:firstLineChars="0"/>
              <w:jc w:val="left"/>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注：多个核心成员管理的同一支基金应在核心成员姓名处合并填写</w:t>
            </w:r>
          </w:p>
        </w:tc>
      </w:tr>
    </w:tbl>
    <w:p>
      <w:pPr>
        <w:widowControl/>
        <w:spacing w:line="240" w:lineRule="auto"/>
        <w:ind w:firstLine="0" w:firstLineChars="0"/>
        <w:jc w:val="left"/>
        <w:textAlignment w:val="center"/>
        <w:rPr>
          <w:rFonts w:hint="eastAsia" w:ascii="仿宋_GB2312" w:hAnsi="仿宋_GB2312" w:cs="仿宋_GB2312"/>
          <w:b/>
          <w:bCs/>
          <w:sz w:val="21"/>
          <w:szCs w:val="21"/>
          <w:lang w:bidi="ar"/>
          <w14:ligatures w14:val="standardContextual"/>
        </w:rPr>
      </w:pPr>
      <w:r>
        <w:rPr>
          <w:rFonts w:ascii="等线" w:hAnsi="等线" w:eastAsia="等线"/>
          <w:kern w:val="2"/>
          <w:sz w:val="21"/>
          <w:szCs w:val="22"/>
          <w14:ligatures w14:val="standardContextual"/>
        </w:rPr>
        <w:br w:type="page"/>
      </w:r>
      <w:r>
        <w:rPr>
          <w:rFonts w:hint="eastAsia" w:ascii="黑体" w:hAnsi="黑体" w:eastAsia="黑体" w:cs="黑体"/>
          <w:szCs w:val="32"/>
          <w:lang w:bidi="ar"/>
          <w14:ligatures w14:val="standardContextual"/>
        </w:rPr>
        <w:t>附表6-6</w:t>
      </w:r>
    </w:p>
    <w:p>
      <w:pPr>
        <w:widowControl/>
        <w:spacing w:line="240" w:lineRule="auto"/>
        <w:ind w:firstLine="0" w:firstLineChars="0"/>
        <w:jc w:val="center"/>
        <w:textAlignment w:val="center"/>
        <w:rPr>
          <w:rFonts w:hint="eastAsia" w:ascii="方正小标宋_GBK" w:hAnsi="方正小标宋_GBK" w:eastAsia="方正小标宋_GBK" w:cs="方正小标宋_GBK"/>
          <w:kern w:val="2"/>
          <w:sz w:val="36"/>
          <w:szCs w:val="36"/>
          <w14:ligatures w14:val="standardContextual"/>
        </w:rPr>
      </w:pPr>
      <w:r>
        <w:rPr>
          <w:rFonts w:hint="eastAsia" w:ascii="方正小标宋_GBK" w:hAnsi="方正小标宋_GBK" w:eastAsia="方正小标宋_GBK" w:cs="方正小标宋_GBK"/>
          <w:sz w:val="36"/>
          <w:szCs w:val="36"/>
          <w:lang w:bidi="ar"/>
          <w14:ligatures w14:val="standardContextual"/>
        </w:rPr>
        <w:t>子基金运作方案概要简表</w:t>
      </w:r>
    </w:p>
    <w:tbl>
      <w:tblPr>
        <w:tblStyle w:val="12"/>
        <w:tblW w:w="512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1"/>
        <w:gridCol w:w="2662"/>
        <w:gridCol w:w="242"/>
        <w:gridCol w:w="1825"/>
        <w:gridCol w:w="1219"/>
        <w:gridCol w:w="1959"/>
        <w:gridCol w:w="2067"/>
        <w:gridCol w:w="1417"/>
        <w:gridCol w:w="24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00" w:type="pct"/>
            <w:gridSpan w:val="9"/>
            <w:tcBorders>
              <w:tl2br w:val="nil"/>
              <w:tr2bl w:val="nil"/>
            </w:tcBorders>
            <w:shd w:val="clear" w:color="auto" w:fill="auto"/>
            <w:vAlign w:val="center"/>
          </w:tcPr>
          <w:p>
            <w:pPr>
              <w:widowControl/>
              <w:spacing w:line="240" w:lineRule="auto"/>
              <w:ind w:firstLine="0" w:firstLineChars="0"/>
              <w:jc w:val="left"/>
              <w:textAlignment w:val="center"/>
              <w:rPr>
                <w:b/>
                <w:bCs/>
                <w:kern w:val="2"/>
                <w:sz w:val="21"/>
                <w:szCs w:val="21"/>
                <w14:ligatures w14:val="standardContextual"/>
              </w:rPr>
            </w:pPr>
            <w:r>
              <w:rPr>
                <w:b/>
                <w:bCs/>
                <w:sz w:val="21"/>
                <w:szCs w:val="21"/>
                <w:lang w:bidi="ar"/>
                <w14:ligatures w14:val="standardContextual"/>
              </w:rPr>
              <w:t>一、拟设子基金基本情况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名称</w:t>
            </w:r>
          </w:p>
        </w:tc>
        <w:tc>
          <w:tcPr>
            <w:tcW w:w="1127" w:type="pct"/>
            <w:gridSpan w:val="3"/>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c>
          <w:tcPr>
            <w:tcW w:w="1381"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拟交割时间</w:t>
            </w:r>
          </w:p>
        </w:tc>
        <w:tc>
          <w:tcPr>
            <w:tcW w:w="1319" w:type="pct"/>
            <w:gridSpan w:val="2"/>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拟设立规模（亿元）</w:t>
            </w:r>
          </w:p>
        </w:tc>
        <w:tc>
          <w:tcPr>
            <w:tcW w:w="1127" w:type="pct"/>
            <w:gridSpan w:val="3"/>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c>
          <w:tcPr>
            <w:tcW w:w="1381"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组织形式</w:t>
            </w:r>
          </w:p>
        </w:tc>
        <w:tc>
          <w:tcPr>
            <w:tcW w:w="1319" w:type="pct"/>
            <w:gridSpan w:val="2"/>
            <w:tcBorders>
              <w:tl2br w:val="nil"/>
              <w:tr2bl w:val="nil"/>
            </w:tcBorders>
            <w:shd w:val="clear" w:color="auto" w:fill="auto"/>
            <w:vAlign w:val="center"/>
          </w:tcPr>
          <w:p>
            <w:pPr>
              <w:widowControl/>
              <w:spacing w:line="240" w:lineRule="auto"/>
              <w:ind w:firstLine="0" w:firstLineChars="0"/>
              <w:jc w:val="center"/>
              <w:textAlignment w:val="center"/>
              <w:rPr>
                <w:i/>
                <w:iCs/>
                <w:kern w:val="2"/>
                <w:sz w:val="21"/>
                <w:szCs w:val="21"/>
                <w14:ligatures w14:val="standardContextual"/>
              </w:rPr>
            </w:pPr>
            <w:r>
              <w:rPr>
                <w:i/>
                <w:iCs/>
                <w:sz w:val="21"/>
                <w:szCs w:val="21"/>
                <w:lang w:bidi="ar"/>
                <w14:ligatures w14:val="standardContextual"/>
              </w:rPr>
              <w:t>合伙制或公司制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（拟）注册地点</w:t>
            </w:r>
          </w:p>
        </w:tc>
        <w:tc>
          <w:tcPr>
            <w:tcW w:w="1127" w:type="pct"/>
            <w:gridSpan w:val="3"/>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c>
          <w:tcPr>
            <w:tcW w:w="1381"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基金存续期限</w:t>
            </w:r>
          </w:p>
        </w:tc>
        <w:tc>
          <w:tcPr>
            <w:tcW w:w="1319" w:type="pct"/>
            <w:gridSpan w:val="2"/>
            <w:tcBorders>
              <w:tl2br w:val="nil"/>
              <w:tr2bl w:val="nil"/>
            </w:tcBorders>
            <w:shd w:val="clear" w:color="auto" w:fill="auto"/>
            <w:vAlign w:val="center"/>
          </w:tcPr>
          <w:p>
            <w:pPr>
              <w:widowControl/>
              <w:spacing w:line="240" w:lineRule="auto"/>
              <w:ind w:firstLine="0" w:firstLineChars="0"/>
              <w:jc w:val="center"/>
              <w:textAlignment w:val="center"/>
              <w:rPr>
                <w:i/>
                <w:iCs/>
                <w:kern w:val="2"/>
                <w:sz w:val="21"/>
                <w:szCs w:val="21"/>
                <w14:ligatures w14:val="standardContextual"/>
              </w:rPr>
            </w:pPr>
            <w:r>
              <w:rPr>
                <w:i/>
                <w:iCs/>
                <w:sz w:val="21"/>
                <w:szCs w:val="21"/>
                <w:lang w:bidi="ar"/>
                <w14:ligatures w14:val="standardContextual"/>
              </w:rPr>
              <w:t>___年，投资期___年，退出期___年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管理费</w:t>
            </w:r>
          </w:p>
        </w:tc>
        <w:tc>
          <w:tcPr>
            <w:tcW w:w="1127" w:type="pct"/>
            <w:gridSpan w:val="3"/>
            <w:tcBorders>
              <w:tl2br w:val="nil"/>
              <w:tr2bl w:val="nil"/>
            </w:tcBorders>
            <w:shd w:val="clear" w:color="auto" w:fill="auto"/>
            <w:vAlign w:val="center"/>
          </w:tcPr>
          <w:p>
            <w:pPr>
              <w:widowControl/>
              <w:spacing w:line="240" w:lineRule="auto"/>
              <w:ind w:firstLine="0" w:firstLineChars="0"/>
              <w:jc w:val="center"/>
              <w:textAlignment w:val="center"/>
              <w:rPr>
                <w:i/>
                <w:iCs/>
                <w:kern w:val="2"/>
                <w:sz w:val="21"/>
                <w:szCs w:val="21"/>
                <w14:ligatures w14:val="standardContextual"/>
              </w:rPr>
            </w:pPr>
            <w:r>
              <w:rPr>
                <w:i/>
                <w:iCs/>
                <w:sz w:val="21"/>
                <w:szCs w:val="21"/>
                <w:lang w:bidi="ar"/>
                <w14:ligatures w14:val="standardContextual"/>
              </w:rPr>
              <w:t>包括：投资期及退出期管理费率及计提基数</w:t>
            </w:r>
          </w:p>
        </w:tc>
        <w:tc>
          <w:tcPr>
            <w:tcW w:w="1381"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团队超额收益分配比例</w:t>
            </w:r>
          </w:p>
        </w:tc>
        <w:tc>
          <w:tcPr>
            <w:tcW w:w="1319" w:type="pct"/>
            <w:gridSpan w:val="2"/>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门槛收益率</w:t>
            </w:r>
          </w:p>
        </w:tc>
        <w:tc>
          <w:tcPr>
            <w:tcW w:w="1127" w:type="pct"/>
            <w:gridSpan w:val="3"/>
            <w:tcBorders>
              <w:tl2br w:val="nil"/>
              <w:tr2bl w:val="nil"/>
            </w:tcBorders>
            <w:shd w:val="clear" w:color="auto" w:fill="auto"/>
            <w:vAlign w:val="center"/>
          </w:tcPr>
          <w:p>
            <w:pPr>
              <w:spacing w:line="240" w:lineRule="auto"/>
              <w:ind w:firstLine="0" w:firstLineChars="0"/>
              <w:jc w:val="center"/>
              <w:rPr>
                <w:i/>
                <w:iCs/>
                <w:kern w:val="2"/>
                <w:sz w:val="21"/>
                <w:szCs w:val="21"/>
                <w14:ligatures w14:val="standardContextual"/>
              </w:rPr>
            </w:pPr>
          </w:p>
        </w:tc>
        <w:tc>
          <w:tcPr>
            <w:tcW w:w="1381"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合伙人收益分配安排</w:t>
            </w:r>
          </w:p>
        </w:tc>
        <w:tc>
          <w:tcPr>
            <w:tcW w:w="1319" w:type="pct"/>
            <w:gridSpan w:val="2"/>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已出具承诺函或意向函的出资金额占比（%）</w:t>
            </w:r>
          </w:p>
        </w:tc>
        <w:tc>
          <w:tcPr>
            <w:tcW w:w="1127" w:type="pct"/>
            <w:gridSpan w:val="3"/>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c>
          <w:tcPr>
            <w:tcW w:w="1381"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拟申请母基金出资规模（亿元）及比例（%）</w:t>
            </w:r>
          </w:p>
        </w:tc>
        <w:tc>
          <w:tcPr>
            <w:tcW w:w="1319" w:type="pct"/>
            <w:gridSpan w:val="2"/>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分期缴款时间和比例（%）</w:t>
            </w:r>
          </w:p>
        </w:tc>
        <w:tc>
          <w:tcPr>
            <w:tcW w:w="3828" w:type="pct"/>
            <w:gridSpan w:val="7"/>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是否可安排投决会成员或观察员</w:t>
            </w:r>
          </w:p>
        </w:tc>
        <w:tc>
          <w:tcPr>
            <w:tcW w:w="1127" w:type="pct"/>
            <w:gridSpan w:val="3"/>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c>
          <w:tcPr>
            <w:tcW w:w="1381"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是否可安排顾问（咨询）委员会委员</w:t>
            </w:r>
          </w:p>
        </w:tc>
        <w:tc>
          <w:tcPr>
            <w:tcW w:w="1319" w:type="pct"/>
            <w:gridSpan w:val="2"/>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拟任关键人士</w:t>
            </w:r>
          </w:p>
        </w:tc>
        <w:tc>
          <w:tcPr>
            <w:tcW w:w="1127" w:type="pct"/>
            <w:gridSpan w:val="3"/>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c>
          <w:tcPr>
            <w:tcW w:w="1381"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承诺返投湖南比例</w:t>
            </w:r>
          </w:p>
        </w:tc>
        <w:tc>
          <w:tcPr>
            <w:tcW w:w="1319" w:type="pct"/>
            <w:gridSpan w:val="2"/>
            <w:tcBorders>
              <w:tl2br w:val="nil"/>
              <w:tr2bl w:val="nil"/>
            </w:tcBorders>
            <w:shd w:val="clear" w:color="auto" w:fill="auto"/>
            <w:vAlign w:val="center"/>
          </w:tcPr>
          <w:p>
            <w:pPr>
              <w:widowControl/>
              <w:spacing w:line="240" w:lineRule="auto"/>
              <w:ind w:firstLine="0" w:firstLineChars="0"/>
              <w:jc w:val="center"/>
              <w:textAlignment w:val="center"/>
              <w:rPr>
                <w:i/>
                <w:iCs/>
                <w:kern w:val="2"/>
                <w:sz w:val="21"/>
                <w:szCs w:val="21"/>
                <w14:ligatures w14:val="standardContextual"/>
              </w:rPr>
            </w:pPr>
            <w:r>
              <w:rPr>
                <w:i/>
                <w:iCs/>
                <w:sz w:val="21"/>
                <w:szCs w:val="21"/>
                <w:lang w:bidi="ar"/>
                <w14:ligatures w14:val="standardContextual"/>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省内各级政府和国资认缴出资比例</w:t>
            </w:r>
          </w:p>
        </w:tc>
        <w:tc>
          <w:tcPr>
            <w:tcW w:w="1127" w:type="pct"/>
            <w:gridSpan w:val="3"/>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c>
          <w:tcPr>
            <w:tcW w:w="1381"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已储备外地返投湖南项目合计拟投资金额（亿元）</w:t>
            </w:r>
          </w:p>
        </w:tc>
        <w:tc>
          <w:tcPr>
            <w:tcW w:w="1319" w:type="pct"/>
            <w:gridSpan w:val="2"/>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5000" w:type="pct"/>
            <w:gridSpan w:val="9"/>
            <w:tcBorders>
              <w:tl2br w:val="nil"/>
              <w:tr2bl w:val="nil"/>
            </w:tcBorders>
            <w:shd w:val="clear" w:color="auto" w:fill="auto"/>
            <w:vAlign w:val="center"/>
          </w:tcPr>
          <w:p>
            <w:pPr>
              <w:widowControl/>
              <w:spacing w:line="240" w:lineRule="auto"/>
              <w:ind w:firstLine="0" w:firstLineChars="0"/>
              <w:jc w:val="left"/>
              <w:textAlignment w:val="center"/>
              <w:rPr>
                <w:b/>
                <w:bCs/>
                <w:kern w:val="2"/>
                <w:sz w:val="21"/>
                <w:szCs w:val="21"/>
                <w14:ligatures w14:val="standardContextual"/>
              </w:rPr>
            </w:pPr>
            <w:r>
              <w:rPr>
                <w:b/>
                <w:bCs/>
                <w:sz w:val="21"/>
                <w:szCs w:val="21"/>
                <w:lang w:bidi="ar"/>
                <w14:ligatures w14:val="standardContextual"/>
              </w:rPr>
              <w:t>二、子基金主要出资人情况（单位：万元）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序号</w:t>
            </w:r>
          </w:p>
        </w:tc>
        <w:tc>
          <w:tcPr>
            <w:tcW w:w="996" w:type="pct"/>
            <w:gridSpan w:val="2"/>
            <w:tcBorders>
              <w:tl2br w:val="nil"/>
              <w:tr2bl w:val="nil"/>
            </w:tcBorders>
            <w:shd w:val="clear" w:color="auto" w:fill="auto"/>
            <w:vAlign w:val="center"/>
          </w:tcPr>
          <w:p>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出资人名称</w:t>
            </w:r>
          </w:p>
        </w:tc>
        <w:tc>
          <w:tcPr>
            <w:tcW w:w="626" w:type="pct"/>
            <w:tcBorders>
              <w:tl2br w:val="nil"/>
              <w:tr2bl w:val="nil"/>
            </w:tcBorders>
            <w:shd w:val="clear" w:color="auto" w:fill="auto"/>
            <w:vAlign w:val="center"/>
          </w:tcPr>
          <w:p>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是否为子基金管理</w:t>
            </w:r>
            <w:r>
              <w:rPr>
                <w:rFonts w:hint="eastAsia"/>
                <w:b/>
                <w:bCs/>
                <w:sz w:val="21"/>
                <w:szCs w:val="21"/>
                <w:lang w:bidi="ar"/>
                <w14:ligatures w14:val="standardContextual"/>
              </w:rPr>
              <w:t>机构</w:t>
            </w:r>
            <w:r>
              <w:rPr>
                <w:b/>
                <w:bCs/>
                <w:sz w:val="21"/>
                <w:szCs w:val="21"/>
                <w:lang w:bidi="ar"/>
                <w14:ligatures w14:val="standardContextual"/>
              </w:rPr>
              <w:t>或其关联方</w:t>
            </w:r>
          </w:p>
        </w:tc>
        <w:tc>
          <w:tcPr>
            <w:tcW w:w="1090" w:type="pct"/>
            <w:gridSpan w:val="2"/>
            <w:tcBorders>
              <w:tl2br w:val="nil"/>
              <w:tr2bl w:val="nil"/>
            </w:tcBorders>
            <w:shd w:val="clear" w:color="auto" w:fill="auto"/>
            <w:vAlign w:val="center"/>
          </w:tcPr>
          <w:p>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出资人简介（是否具有央企、国有银行、证券、保险机构、上市公司背景）</w:t>
            </w:r>
          </w:p>
        </w:tc>
        <w:tc>
          <w:tcPr>
            <w:tcW w:w="709" w:type="pct"/>
            <w:tcBorders>
              <w:tl2br w:val="nil"/>
              <w:tr2bl w:val="nil"/>
            </w:tcBorders>
            <w:shd w:val="clear" w:color="auto" w:fill="auto"/>
            <w:vAlign w:val="center"/>
          </w:tcPr>
          <w:p>
            <w:pPr>
              <w:widowControl/>
              <w:spacing w:line="240" w:lineRule="auto"/>
              <w:ind w:firstLine="0" w:firstLineChars="0"/>
              <w:jc w:val="left"/>
              <w:textAlignment w:val="center"/>
              <w:rPr>
                <w:b/>
                <w:bCs/>
                <w:kern w:val="2"/>
                <w:sz w:val="21"/>
                <w:szCs w:val="21"/>
                <w14:ligatures w14:val="standardContextual"/>
              </w:rPr>
            </w:pPr>
            <w:r>
              <w:rPr>
                <w:b/>
                <w:bCs/>
                <w:sz w:val="21"/>
                <w:szCs w:val="21"/>
                <w:lang w:bidi="ar"/>
                <w14:ligatures w14:val="standardContextual"/>
              </w:rPr>
              <w:t>认缴金额（万元）</w:t>
            </w:r>
          </w:p>
        </w:tc>
        <w:tc>
          <w:tcPr>
            <w:tcW w:w="486" w:type="pct"/>
            <w:tcBorders>
              <w:tl2br w:val="nil"/>
              <w:tr2bl w:val="nil"/>
            </w:tcBorders>
            <w:shd w:val="clear" w:color="auto" w:fill="auto"/>
            <w:vAlign w:val="center"/>
          </w:tcPr>
          <w:p>
            <w:pPr>
              <w:widowControl/>
              <w:spacing w:line="240" w:lineRule="auto"/>
              <w:ind w:firstLine="0" w:firstLineChars="0"/>
              <w:jc w:val="left"/>
              <w:textAlignment w:val="center"/>
              <w:rPr>
                <w:b/>
                <w:bCs/>
                <w:kern w:val="2"/>
                <w:sz w:val="21"/>
                <w:szCs w:val="21"/>
                <w14:ligatures w14:val="standardContextual"/>
              </w:rPr>
            </w:pPr>
            <w:r>
              <w:rPr>
                <w:b/>
                <w:bCs/>
                <w:sz w:val="21"/>
                <w:szCs w:val="21"/>
                <w:lang w:bidi="ar"/>
                <w14:ligatures w14:val="standardContextual"/>
              </w:rPr>
              <w:t>认缴比例（%）</w:t>
            </w:r>
          </w:p>
        </w:tc>
        <w:tc>
          <w:tcPr>
            <w:tcW w:w="833" w:type="pct"/>
            <w:tcBorders>
              <w:tl2br w:val="nil"/>
              <w:tr2bl w:val="nil"/>
            </w:tcBorders>
            <w:shd w:val="clear" w:color="auto" w:fill="auto"/>
            <w:vAlign w:val="center"/>
          </w:tcPr>
          <w:p>
            <w:pPr>
              <w:widowControl/>
              <w:spacing w:line="240" w:lineRule="auto"/>
              <w:ind w:firstLine="0" w:firstLineChars="0"/>
              <w:jc w:val="center"/>
              <w:textAlignment w:val="center"/>
              <w:rPr>
                <w:b/>
                <w:bCs/>
                <w:sz w:val="21"/>
                <w:szCs w:val="21"/>
                <w:lang w:bidi="ar"/>
                <w14:ligatures w14:val="standardContextual"/>
              </w:rPr>
            </w:pPr>
            <w:r>
              <w:rPr>
                <w:b/>
                <w:bCs/>
                <w:sz w:val="21"/>
                <w:szCs w:val="21"/>
                <w:lang w:bidi="ar"/>
                <w14:ligatures w14:val="standardContextual"/>
              </w:rPr>
              <w:t>是否出具出资承诺函/</w:t>
            </w:r>
          </w:p>
          <w:p>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意向函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1</w:t>
            </w:r>
          </w:p>
        </w:tc>
        <w:tc>
          <w:tcPr>
            <w:tcW w:w="996" w:type="pct"/>
            <w:gridSpan w:val="2"/>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626" w:type="pct"/>
            <w:tcBorders>
              <w:tl2br w:val="nil"/>
              <w:tr2bl w:val="nil"/>
            </w:tcBorders>
            <w:shd w:val="clear" w:color="auto" w:fill="auto"/>
            <w:vAlign w:val="center"/>
          </w:tcPr>
          <w:p>
            <w:pPr>
              <w:widowControl/>
              <w:spacing w:line="240" w:lineRule="auto"/>
              <w:ind w:firstLine="0" w:firstLineChars="0"/>
              <w:jc w:val="left"/>
              <w:textAlignment w:val="center"/>
              <w:rPr>
                <w:kern w:val="2"/>
                <w:sz w:val="21"/>
                <w:szCs w:val="21"/>
                <w14:ligatures w14:val="standardContextual"/>
              </w:rPr>
            </w:pPr>
          </w:p>
        </w:tc>
        <w:tc>
          <w:tcPr>
            <w:tcW w:w="1090" w:type="pct"/>
            <w:gridSpan w:val="2"/>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709" w:type="pct"/>
            <w:tcBorders>
              <w:tl2br w:val="nil"/>
              <w:tr2bl w:val="nil"/>
            </w:tcBorders>
            <w:shd w:val="clear" w:color="auto" w:fill="auto"/>
            <w:vAlign w:val="center"/>
          </w:tcPr>
          <w:p>
            <w:pPr>
              <w:widowControl/>
              <w:spacing w:line="240" w:lineRule="auto"/>
              <w:ind w:firstLine="0" w:firstLineChars="0"/>
              <w:jc w:val="left"/>
              <w:textAlignment w:val="center"/>
              <w:rPr>
                <w:kern w:val="2"/>
                <w:sz w:val="21"/>
                <w:szCs w:val="21"/>
                <w14:ligatures w14:val="standardContextual"/>
              </w:rPr>
            </w:pPr>
          </w:p>
        </w:tc>
        <w:tc>
          <w:tcPr>
            <w:tcW w:w="486" w:type="pct"/>
            <w:tcBorders>
              <w:tl2br w:val="nil"/>
              <w:tr2bl w:val="nil"/>
            </w:tcBorders>
            <w:shd w:val="clear" w:color="auto" w:fill="auto"/>
            <w:vAlign w:val="center"/>
          </w:tcPr>
          <w:p>
            <w:pPr>
              <w:spacing w:line="240" w:lineRule="auto"/>
              <w:ind w:firstLine="0" w:firstLineChars="0"/>
              <w:rPr>
                <w:kern w:val="2"/>
                <w:sz w:val="21"/>
                <w:szCs w:val="21"/>
                <w14:ligatures w14:val="standardContextual"/>
              </w:rPr>
            </w:pPr>
          </w:p>
        </w:tc>
        <w:tc>
          <w:tcPr>
            <w:tcW w:w="833" w:type="pct"/>
            <w:tcBorders>
              <w:tl2br w:val="nil"/>
              <w:tr2bl w:val="nil"/>
            </w:tcBorders>
            <w:shd w:val="clear" w:color="auto" w:fill="auto"/>
            <w:vAlign w:val="center"/>
          </w:tcPr>
          <w:p>
            <w:pPr>
              <w:widowControl/>
              <w:spacing w:line="240" w:lineRule="auto"/>
              <w:ind w:firstLine="0" w:firstLineChars="0"/>
              <w:jc w:val="left"/>
              <w:textAlignment w:val="center"/>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w:t>
            </w:r>
          </w:p>
        </w:tc>
        <w:tc>
          <w:tcPr>
            <w:tcW w:w="996" w:type="pct"/>
            <w:gridSpan w:val="2"/>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626"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1090" w:type="pct"/>
            <w:gridSpan w:val="2"/>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709" w:type="pct"/>
            <w:tcBorders>
              <w:tl2br w:val="nil"/>
              <w:tr2bl w:val="nil"/>
            </w:tcBorders>
            <w:shd w:val="clear" w:color="auto" w:fill="auto"/>
            <w:vAlign w:val="center"/>
          </w:tcPr>
          <w:p>
            <w:pPr>
              <w:spacing w:line="240" w:lineRule="auto"/>
              <w:ind w:firstLine="0" w:firstLineChars="0"/>
              <w:rPr>
                <w:kern w:val="2"/>
                <w:sz w:val="21"/>
                <w:szCs w:val="21"/>
                <w14:ligatures w14:val="standardContextual"/>
              </w:rPr>
            </w:pPr>
          </w:p>
        </w:tc>
        <w:tc>
          <w:tcPr>
            <w:tcW w:w="486" w:type="pct"/>
            <w:tcBorders>
              <w:tl2br w:val="nil"/>
              <w:tr2bl w:val="nil"/>
            </w:tcBorders>
            <w:shd w:val="clear" w:color="auto" w:fill="auto"/>
            <w:vAlign w:val="center"/>
          </w:tcPr>
          <w:p>
            <w:pPr>
              <w:spacing w:line="240" w:lineRule="auto"/>
              <w:ind w:firstLine="0" w:firstLineChars="0"/>
              <w:rPr>
                <w:kern w:val="2"/>
                <w:sz w:val="21"/>
                <w:szCs w:val="21"/>
                <w14:ligatures w14:val="standardContextual"/>
              </w:rPr>
            </w:pPr>
          </w:p>
        </w:tc>
        <w:tc>
          <w:tcPr>
            <w:tcW w:w="833"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c>
          <w:tcPr>
            <w:tcW w:w="996"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合计</w:t>
            </w:r>
          </w:p>
        </w:tc>
        <w:tc>
          <w:tcPr>
            <w:tcW w:w="626"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1090" w:type="pct"/>
            <w:gridSpan w:val="2"/>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709" w:type="pct"/>
            <w:tcBorders>
              <w:tl2br w:val="nil"/>
              <w:tr2bl w:val="nil"/>
            </w:tcBorders>
            <w:shd w:val="clear" w:color="auto" w:fill="auto"/>
            <w:vAlign w:val="center"/>
          </w:tcPr>
          <w:p>
            <w:pPr>
              <w:spacing w:line="240" w:lineRule="auto"/>
              <w:ind w:firstLine="0" w:firstLineChars="0"/>
              <w:rPr>
                <w:kern w:val="2"/>
                <w:sz w:val="21"/>
                <w:szCs w:val="21"/>
                <w14:ligatures w14:val="standardContextual"/>
              </w:rPr>
            </w:pPr>
          </w:p>
        </w:tc>
        <w:tc>
          <w:tcPr>
            <w:tcW w:w="486" w:type="pct"/>
            <w:tcBorders>
              <w:tl2br w:val="nil"/>
              <w:tr2bl w:val="nil"/>
            </w:tcBorders>
            <w:shd w:val="clear" w:color="auto" w:fill="auto"/>
            <w:vAlign w:val="center"/>
          </w:tcPr>
          <w:p>
            <w:pPr>
              <w:spacing w:line="240" w:lineRule="auto"/>
              <w:ind w:firstLine="0" w:firstLineChars="0"/>
              <w:rPr>
                <w:kern w:val="2"/>
                <w:sz w:val="21"/>
                <w:szCs w:val="21"/>
                <w14:ligatures w14:val="standardContextual"/>
              </w:rPr>
            </w:pPr>
          </w:p>
        </w:tc>
        <w:tc>
          <w:tcPr>
            <w:tcW w:w="833"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00" w:type="pct"/>
            <w:gridSpan w:val="9"/>
            <w:tcBorders>
              <w:tl2br w:val="nil"/>
              <w:tr2bl w:val="nil"/>
            </w:tcBorders>
            <w:shd w:val="clear" w:color="auto" w:fill="auto"/>
            <w:vAlign w:val="center"/>
          </w:tcPr>
          <w:p>
            <w:pPr>
              <w:widowControl/>
              <w:spacing w:line="240" w:lineRule="auto"/>
              <w:ind w:firstLine="0" w:firstLineChars="0"/>
              <w:jc w:val="left"/>
              <w:textAlignment w:val="center"/>
              <w:rPr>
                <w:b/>
                <w:bCs/>
                <w:kern w:val="2"/>
                <w:sz w:val="21"/>
                <w:szCs w:val="21"/>
                <w14:ligatures w14:val="standardContextual"/>
              </w:rPr>
            </w:pPr>
            <w:r>
              <w:rPr>
                <w:b/>
                <w:bCs/>
                <w:sz w:val="21"/>
                <w:szCs w:val="21"/>
                <w:lang w:bidi="ar"/>
                <w14:ligatures w14:val="standardContextual"/>
              </w:rPr>
              <w:t>三、投资委员会构成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序号</w:t>
            </w:r>
          </w:p>
        </w:tc>
        <w:tc>
          <w:tcPr>
            <w:tcW w:w="996" w:type="pct"/>
            <w:gridSpan w:val="2"/>
            <w:tcBorders>
              <w:tl2br w:val="nil"/>
              <w:tr2bl w:val="nil"/>
            </w:tcBorders>
            <w:shd w:val="clear" w:color="auto" w:fill="auto"/>
            <w:vAlign w:val="center"/>
          </w:tcPr>
          <w:p>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投委会成员姓名</w:t>
            </w:r>
          </w:p>
        </w:tc>
        <w:tc>
          <w:tcPr>
            <w:tcW w:w="1716" w:type="pct"/>
            <w:gridSpan w:val="3"/>
            <w:tcBorders>
              <w:tl2br w:val="nil"/>
              <w:tr2bl w:val="nil"/>
            </w:tcBorders>
            <w:shd w:val="clear" w:color="auto" w:fill="auto"/>
            <w:vAlign w:val="center"/>
          </w:tcPr>
          <w:p>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专业领域</w:t>
            </w:r>
          </w:p>
        </w:tc>
        <w:tc>
          <w:tcPr>
            <w:tcW w:w="1195" w:type="pct"/>
            <w:gridSpan w:val="2"/>
            <w:tcBorders>
              <w:tl2br w:val="nil"/>
              <w:tr2bl w:val="nil"/>
            </w:tcBorders>
            <w:shd w:val="clear" w:color="auto" w:fill="auto"/>
            <w:vAlign w:val="center"/>
          </w:tcPr>
          <w:p>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主要业绩</w:t>
            </w:r>
          </w:p>
        </w:tc>
        <w:tc>
          <w:tcPr>
            <w:tcW w:w="833" w:type="pct"/>
            <w:tcBorders>
              <w:tl2br w:val="nil"/>
              <w:tr2bl w:val="nil"/>
            </w:tcBorders>
            <w:shd w:val="clear" w:color="auto" w:fill="auto"/>
            <w:vAlign w:val="center"/>
          </w:tcPr>
          <w:p>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是否子基金关键人士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1</w:t>
            </w:r>
          </w:p>
        </w:tc>
        <w:tc>
          <w:tcPr>
            <w:tcW w:w="996" w:type="pct"/>
            <w:gridSpan w:val="2"/>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1716" w:type="pct"/>
            <w:gridSpan w:val="3"/>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c>
          <w:tcPr>
            <w:tcW w:w="1195" w:type="pct"/>
            <w:gridSpan w:val="2"/>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833"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w:t>
            </w:r>
          </w:p>
        </w:tc>
        <w:tc>
          <w:tcPr>
            <w:tcW w:w="996" w:type="pct"/>
            <w:gridSpan w:val="2"/>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1716" w:type="pct"/>
            <w:gridSpan w:val="3"/>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c>
          <w:tcPr>
            <w:tcW w:w="1195" w:type="pct"/>
            <w:gridSpan w:val="2"/>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833"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00" w:type="pct"/>
            <w:gridSpan w:val="9"/>
            <w:tcBorders>
              <w:tl2br w:val="nil"/>
              <w:tr2bl w:val="nil"/>
            </w:tcBorders>
            <w:shd w:val="clear" w:color="auto" w:fill="auto"/>
            <w:vAlign w:val="center"/>
          </w:tcPr>
          <w:p>
            <w:pPr>
              <w:widowControl/>
              <w:spacing w:line="240" w:lineRule="auto"/>
              <w:ind w:firstLine="0" w:firstLineChars="0"/>
              <w:jc w:val="left"/>
              <w:textAlignment w:val="center"/>
              <w:rPr>
                <w:b/>
                <w:bCs/>
                <w:kern w:val="2"/>
                <w:sz w:val="21"/>
                <w:szCs w:val="21"/>
                <w14:ligatures w14:val="standardContextual"/>
              </w:rPr>
            </w:pPr>
            <w:r>
              <w:rPr>
                <w:b/>
                <w:bCs/>
                <w:sz w:val="21"/>
                <w:szCs w:val="21"/>
                <w:lang w:bidi="ar"/>
                <w14:ligatures w14:val="standardContextual"/>
              </w:rPr>
              <w:t>四、储备项目简介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序号</w:t>
            </w:r>
          </w:p>
        </w:tc>
        <w:tc>
          <w:tcPr>
            <w:tcW w:w="996" w:type="pct"/>
            <w:gridSpan w:val="2"/>
            <w:tcBorders>
              <w:tl2br w:val="nil"/>
              <w:tr2bl w:val="nil"/>
            </w:tcBorders>
            <w:shd w:val="clear" w:color="auto" w:fill="auto"/>
            <w:vAlign w:val="center"/>
          </w:tcPr>
          <w:p>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拟投资项目名称</w:t>
            </w:r>
          </w:p>
        </w:tc>
        <w:tc>
          <w:tcPr>
            <w:tcW w:w="1716" w:type="pct"/>
            <w:gridSpan w:val="3"/>
            <w:tcBorders>
              <w:tl2br w:val="nil"/>
              <w:tr2bl w:val="nil"/>
            </w:tcBorders>
            <w:shd w:val="clear" w:color="auto" w:fill="auto"/>
            <w:vAlign w:val="center"/>
          </w:tcPr>
          <w:p>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项目简介及投资价值分析</w:t>
            </w:r>
          </w:p>
        </w:tc>
        <w:tc>
          <w:tcPr>
            <w:tcW w:w="1195" w:type="pct"/>
            <w:gridSpan w:val="2"/>
            <w:tcBorders>
              <w:tl2br w:val="nil"/>
              <w:tr2bl w:val="nil"/>
            </w:tcBorders>
            <w:shd w:val="clear" w:color="auto" w:fill="auto"/>
            <w:vAlign w:val="center"/>
          </w:tcPr>
          <w:p>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项目来源</w:t>
            </w:r>
          </w:p>
        </w:tc>
        <w:tc>
          <w:tcPr>
            <w:tcW w:w="833" w:type="pct"/>
            <w:tcBorders>
              <w:tl2br w:val="nil"/>
              <w:tr2bl w:val="nil"/>
            </w:tcBorders>
            <w:shd w:val="clear" w:color="auto" w:fill="auto"/>
            <w:vAlign w:val="center"/>
          </w:tcPr>
          <w:p>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拟投资金额</w:t>
            </w:r>
            <w:r>
              <w:rPr>
                <w:b/>
                <w:bCs/>
                <w:sz w:val="21"/>
                <w:szCs w:val="21"/>
                <w:lang w:bidi="ar"/>
                <w14:ligatures w14:val="standardContextual"/>
              </w:rPr>
              <w:br w:type="textWrapping"/>
            </w:r>
            <w:r>
              <w:rPr>
                <w:b/>
                <w:bCs/>
                <w:sz w:val="21"/>
                <w:szCs w:val="21"/>
                <w:lang w:bidi="ar"/>
                <w14:ligatures w14:val="standardContextual"/>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1</w:t>
            </w:r>
          </w:p>
        </w:tc>
        <w:tc>
          <w:tcPr>
            <w:tcW w:w="996" w:type="pct"/>
            <w:gridSpan w:val="2"/>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1716" w:type="pct"/>
            <w:gridSpan w:val="3"/>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1195" w:type="pct"/>
            <w:gridSpan w:val="2"/>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833"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w:t>
            </w:r>
          </w:p>
        </w:tc>
        <w:tc>
          <w:tcPr>
            <w:tcW w:w="996" w:type="pct"/>
            <w:gridSpan w:val="2"/>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1716" w:type="pct"/>
            <w:gridSpan w:val="3"/>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1195" w:type="pct"/>
            <w:gridSpan w:val="2"/>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833"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c>
          <w:tcPr>
            <w:tcW w:w="996" w:type="pct"/>
            <w:gridSpan w:val="2"/>
            <w:tcBorders>
              <w:tl2br w:val="nil"/>
              <w:tr2bl w:val="nil"/>
            </w:tcBorders>
            <w:shd w:val="clear" w:color="auto" w:fill="auto"/>
            <w:vAlign w:val="center"/>
          </w:tcPr>
          <w:p>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合计</w:t>
            </w:r>
          </w:p>
        </w:tc>
        <w:tc>
          <w:tcPr>
            <w:tcW w:w="1716" w:type="pct"/>
            <w:gridSpan w:val="3"/>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w:t>
            </w:r>
          </w:p>
        </w:tc>
        <w:tc>
          <w:tcPr>
            <w:tcW w:w="1195"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w:t>
            </w:r>
          </w:p>
        </w:tc>
        <w:tc>
          <w:tcPr>
            <w:tcW w:w="833"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r>
    </w:tbl>
    <w:p>
      <w:pPr>
        <w:spacing w:line="240" w:lineRule="auto"/>
        <w:ind w:firstLine="0" w:firstLineChars="0"/>
        <w:jc w:val="left"/>
        <w:rPr>
          <w:rFonts w:hint="eastAsia" w:ascii="仿宋_GB2312" w:hAnsi="仿宋_GB2312" w:cs="仿宋_GB2312"/>
          <w:kern w:val="2"/>
          <w:sz w:val="21"/>
          <w:szCs w:val="21"/>
          <w14:ligatures w14:val="standardContextual"/>
        </w:rPr>
      </w:pPr>
    </w:p>
    <w:p>
      <w:pPr>
        <w:spacing w:line="240" w:lineRule="auto"/>
        <w:ind w:firstLine="0" w:firstLineChars="0"/>
        <w:jc w:val="left"/>
        <w:rPr>
          <w:rFonts w:hint="eastAsia" w:ascii="仿宋_GB2312" w:hAnsi="仿宋_GB2312" w:cs="仿宋_GB2312"/>
          <w:kern w:val="2"/>
          <w:sz w:val="21"/>
          <w:szCs w:val="21"/>
          <w14:ligatures w14:val="standardContextual"/>
        </w:rPr>
      </w:pPr>
    </w:p>
    <w:p>
      <w:pPr>
        <w:widowControl/>
        <w:spacing w:line="240" w:lineRule="auto"/>
        <w:ind w:firstLine="0" w:firstLineChars="0"/>
        <w:jc w:val="left"/>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法定代表人（或执行事务合伙人委派代表）签字：</w:t>
      </w:r>
    </w:p>
    <w:p>
      <w:pPr>
        <w:spacing w:line="240" w:lineRule="auto"/>
        <w:ind w:firstLine="0" w:firstLineChars="0"/>
        <w:rPr>
          <w:rFonts w:hint="eastAsia" w:ascii="仿宋_GB2312" w:hAnsi="仿宋_GB2312" w:cs="仿宋_GB2312"/>
          <w:kern w:val="2"/>
          <w:sz w:val="21"/>
          <w:szCs w:val="21"/>
          <w14:ligatures w14:val="standardContextual"/>
        </w:rPr>
      </w:pPr>
    </w:p>
    <w:p>
      <w:pPr>
        <w:spacing w:line="240" w:lineRule="auto"/>
        <w:ind w:firstLine="0" w:firstLineChars="0"/>
        <w:rPr>
          <w:rFonts w:hint="eastAsia" w:ascii="仿宋_GB2312" w:hAnsi="仿宋_GB2312" w:cs="仿宋_GB2312"/>
          <w:kern w:val="2"/>
          <w:sz w:val="21"/>
          <w:szCs w:val="21"/>
          <w14:ligatures w14:val="standardContextual"/>
        </w:rPr>
      </w:pPr>
    </w:p>
    <w:p>
      <w:pPr>
        <w:spacing w:line="240" w:lineRule="auto"/>
        <w:ind w:firstLine="0" w:firstLineChars="0"/>
        <w:rPr>
          <w:rFonts w:hint="eastAsia" w:ascii="仿宋_GB2312" w:hAnsi="仿宋_GB2312" w:cs="仿宋_GB2312"/>
          <w:kern w:val="2"/>
          <w:sz w:val="21"/>
          <w:szCs w:val="21"/>
          <w14:ligatures w14:val="standardContextual"/>
        </w:rPr>
      </w:pPr>
    </w:p>
    <w:p>
      <w:pPr>
        <w:widowControl/>
        <w:spacing w:line="240" w:lineRule="auto"/>
        <w:ind w:firstLine="0" w:firstLineChars="0"/>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 xml:space="preserve">                                      申报单位盖章：</w:t>
      </w:r>
    </w:p>
    <w:p>
      <w:pPr>
        <w:spacing w:line="240" w:lineRule="auto"/>
        <w:ind w:firstLine="0" w:firstLineChars="0"/>
        <w:rPr>
          <w:rFonts w:hint="eastAsia" w:ascii="仿宋_GB2312" w:hAnsi="仿宋_GB2312" w:cs="仿宋_GB2312"/>
          <w:kern w:val="2"/>
          <w:sz w:val="21"/>
          <w:szCs w:val="21"/>
          <w14:ligatures w14:val="standardContextual"/>
        </w:rPr>
      </w:pPr>
    </w:p>
    <w:p>
      <w:pPr>
        <w:spacing w:line="240" w:lineRule="auto"/>
        <w:ind w:firstLine="0" w:firstLineChars="0"/>
        <w:rPr>
          <w:rFonts w:hint="eastAsia" w:ascii="仿宋_GB2312" w:hAnsi="仿宋_GB2312" w:cs="仿宋_GB2312"/>
          <w:kern w:val="2"/>
          <w:sz w:val="21"/>
          <w:szCs w:val="21"/>
          <w14:ligatures w14:val="standardContextual"/>
        </w:rPr>
      </w:pPr>
    </w:p>
    <w:p>
      <w:pPr>
        <w:widowControl/>
        <w:spacing w:line="240" w:lineRule="auto"/>
        <w:ind w:firstLine="0" w:firstLineChars="0"/>
        <w:textAlignment w:val="center"/>
        <w:rPr>
          <w:rFonts w:hint="eastAsia" w:ascii="仿宋_GB2312" w:hAnsi="仿宋_GB2312" w:cs="仿宋_GB2312"/>
          <w:sz w:val="21"/>
          <w:szCs w:val="21"/>
          <w:lang w:bidi="ar"/>
          <w14:ligatures w14:val="standardContextual"/>
        </w:rPr>
      </w:pPr>
      <w:r>
        <w:rPr>
          <w:rFonts w:hint="eastAsia" w:ascii="仿宋_GB2312" w:hAnsi="仿宋_GB2312" w:cs="仿宋_GB2312"/>
          <w:sz w:val="21"/>
          <w:szCs w:val="21"/>
          <w:lang w:bidi="ar"/>
          <w14:ligatures w14:val="standardContextual"/>
        </w:rPr>
        <w:t xml:space="preserve">                                           年    月    日</w:t>
      </w:r>
    </w:p>
    <w:p>
      <w:pPr>
        <w:widowControl/>
        <w:spacing w:line="240" w:lineRule="auto"/>
        <w:ind w:firstLine="0" w:firstLineChars="0"/>
        <w:textAlignment w:val="center"/>
        <w:rPr>
          <w:rFonts w:hint="eastAsia" w:ascii="仿宋_GB2312" w:hAnsi="仿宋_GB2312" w:cs="仿宋_GB2312"/>
          <w:sz w:val="21"/>
          <w:szCs w:val="21"/>
          <w:lang w:bidi="ar"/>
          <w14:ligatures w14:val="standardContextual"/>
        </w:rPr>
      </w:pPr>
      <w:r>
        <w:rPr>
          <w:rFonts w:hint="eastAsia" w:ascii="仿宋_GB2312" w:hAnsi="仿宋_GB2312" w:cs="仿宋_GB2312"/>
          <w:sz w:val="21"/>
          <w:szCs w:val="21"/>
          <w:lang w:bidi="ar"/>
          <w14:ligatures w14:val="standardContextual"/>
        </w:rPr>
        <w:br w:type="page"/>
      </w:r>
      <w:r>
        <w:rPr>
          <w:rFonts w:hint="eastAsia" w:ascii="黑体" w:hAnsi="黑体" w:eastAsia="黑体" w:cs="黑体"/>
          <w:szCs w:val="32"/>
          <w:lang w:bidi="ar"/>
          <w14:ligatures w14:val="standardContextual"/>
        </w:rPr>
        <w:t>附表6-7</w:t>
      </w:r>
    </w:p>
    <w:p>
      <w:pPr>
        <w:widowControl/>
        <w:spacing w:line="240" w:lineRule="auto"/>
        <w:ind w:firstLine="0" w:firstLineChars="0"/>
        <w:jc w:val="center"/>
        <w:textAlignment w:val="center"/>
        <w:rPr>
          <w:rFonts w:hint="eastAsia" w:ascii="方正小标宋_GBK" w:hAnsi="方正小标宋_GBK" w:eastAsia="方正小标宋_GBK" w:cs="方正小标宋_GBK"/>
          <w:kern w:val="2"/>
          <w:sz w:val="36"/>
          <w:szCs w:val="36"/>
          <w14:ligatures w14:val="standardContextual"/>
        </w:rPr>
      </w:pPr>
      <w:r>
        <w:rPr>
          <w:rFonts w:hint="eastAsia" w:ascii="方正小标宋_GBK" w:hAnsi="方正小标宋_GBK" w:eastAsia="方正小标宋_GBK" w:cs="方正小标宋_GBK"/>
          <w:sz w:val="36"/>
          <w:szCs w:val="36"/>
          <w:lang w:bidi="ar"/>
          <w14:ligatures w14:val="standardContextual"/>
        </w:rPr>
        <w:t>投资决策委员会成员配备情况表</w:t>
      </w:r>
    </w:p>
    <w:tbl>
      <w:tblPr>
        <w:tblStyle w:val="12"/>
        <w:tblW w:w="515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9"/>
        <w:gridCol w:w="1761"/>
        <w:gridCol w:w="1345"/>
        <w:gridCol w:w="1391"/>
        <w:gridCol w:w="2549"/>
        <w:gridCol w:w="832"/>
        <w:gridCol w:w="1734"/>
        <w:gridCol w:w="2510"/>
        <w:gridCol w:w="1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000" w:type="pct"/>
            <w:gridSpan w:val="9"/>
            <w:tcBorders>
              <w:tl2br w:val="nil"/>
              <w:tr2bl w:val="nil"/>
            </w:tcBorders>
            <w:shd w:val="clear" w:color="auto" w:fill="auto"/>
            <w:vAlign w:val="center"/>
          </w:tcPr>
          <w:p>
            <w:pPr>
              <w:widowControl/>
              <w:spacing w:line="240" w:lineRule="auto"/>
              <w:ind w:firstLine="0" w:firstLineChars="0"/>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一、投资决策委员会构成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32"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序号</w:t>
            </w:r>
          </w:p>
        </w:tc>
        <w:tc>
          <w:tcPr>
            <w:tcW w:w="601"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投委会成员姓名</w:t>
            </w:r>
          </w:p>
        </w:tc>
        <w:tc>
          <w:tcPr>
            <w:tcW w:w="459"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现工作单位</w:t>
            </w:r>
          </w:p>
        </w:tc>
        <w:tc>
          <w:tcPr>
            <w:tcW w:w="47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职务</w:t>
            </w:r>
          </w:p>
        </w:tc>
        <w:tc>
          <w:tcPr>
            <w:tcW w:w="870"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教育背景</w:t>
            </w:r>
          </w:p>
        </w:tc>
        <w:tc>
          <w:tcPr>
            <w:tcW w:w="876" w:type="pct"/>
            <w:gridSpan w:val="2"/>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工作履历</w:t>
            </w:r>
          </w:p>
        </w:tc>
        <w:tc>
          <w:tcPr>
            <w:tcW w:w="857"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投资经历</w:t>
            </w:r>
          </w:p>
        </w:tc>
        <w:tc>
          <w:tcPr>
            <w:tcW w:w="626"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是否为本基金专职委员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32"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1</w:t>
            </w:r>
          </w:p>
        </w:tc>
        <w:tc>
          <w:tcPr>
            <w:tcW w:w="601"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c>
          <w:tcPr>
            <w:tcW w:w="459"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c>
          <w:tcPr>
            <w:tcW w:w="475"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c>
          <w:tcPr>
            <w:tcW w:w="870"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876" w:type="pct"/>
            <w:gridSpan w:val="2"/>
            <w:tcBorders>
              <w:tl2br w:val="nil"/>
              <w:tr2bl w:val="nil"/>
            </w:tcBorders>
            <w:shd w:val="clear" w:color="auto" w:fill="auto"/>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857"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c>
          <w:tcPr>
            <w:tcW w:w="626"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32"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w:t>
            </w:r>
          </w:p>
        </w:tc>
        <w:tc>
          <w:tcPr>
            <w:tcW w:w="601"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c>
          <w:tcPr>
            <w:tcW w:w="459"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c>
          <w:tcPr>
            <w:tcW w:w="475"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c>
          <w:tcPr>
            <w:tcW w:w="870" w:type="pct"/>
            <w:tcBorders>
              <w:tl2br w:val="nil"/>
              <w:tr2bl w:val="nil"/>
            </w:tcBorders>
            <w:shd w:val="clear" w:color="auto" w:fill="auto"/>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876" w:type="pct"/>
            <w:gridSpan w:val="2"/>
            <w:tcBorders>
              <w:tl2br w:val="nil"/>
              <w:tr2bl w:val="nil"/>
            </w:tcBorders>
            <w:shd w:val="clear" w:color="auto" w:fill="auto"/>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857"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c>
          <w:tcPr>
            <w:tcW w:w="626"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000" w:type="pct"/>
            <w:gridSpan w:val="9"/>
            <w:tcBorders>
              <w:tl2br w:val="nil"/>
              <w:tr2bl w:val="nil"/>
            </w:tcBorders>
            <w:shd w:val="clear" w:color="auto" w:fill="auto"/>
            <w:vAlign w:val="center"/>
          </w:tcPr>
          <w:p>
            <w:pPr>
              <w:widowControl/>
              <w:spacing w:line="240" w:lineRule="auto"/>
              <w:ind w:firstLine="0" w:firstLineChars="0"/>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二、非专职委员说明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32"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序号</w:t>
            </w:r>
          </w:p>
        </w:tc>
        <w:tc>
          <w:tcPr>
            <w:tcW w:w="601"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非专职委员姓名</w:t>
            </w:r>
          </w:p>
        </w:tc>
        <w:tc>
          <w:tcPr>
            <w:tcW w:w="2088" w:type="pct"/>
            <w:gridSpan w:val="4"/>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担任其他基金投委会委员情况</w:t>
            </w:r>
          </w:p>
        </w:tc>
        <w:tc>
          <w:tcPr>
            <w:tcW w:w="2077" w:type="pct"/>
            <w:gridSpan w:val="3"/>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证明人及联系电话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32"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1</w:t>
            </w:r>
          </w:p>
        </w:tc>
        <w:tc>
          <w:tcPr>
            <w:tcW w:w="601"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c>
          <w:tcPr>
            <w:tcW w:w="2088" w:type="pct"/>
            <w:gridSpan w:val="4"/>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kern w:val="2"/>
                <w:sz w:val="21"/>
                <w:szCs w:val="21"/>
                <w14:ligatures w14:val="standardContextual"/>
              </w:rPr>
            </w:pPr>
          </w:p>
        </w:tc>
        <w:tc>
          <w:tcPr>
            <w:tcW w:w="2077" w:type="pct"/>
            <w:gridSpan w:val="3"/>
            <w:tcBorders>
              <w:tl2br w:val="nil"/>
              <w:tr2bl w:val="nil"/>
            </w:tcBorders>
            <w:shd w:val="clear" w:color="auto" w:fill="auto"/>
            <w:vAlign w:val="center"/>
          </w:tcPr>
          <w:p>
            <w:pPr>
              <w:widowControl/>
              <w:spacing w:line="240" w:lineRule="auto"/>
              <w:ind w:firstLine="0" w:firstLineChars="0"/>
              <w:jc w:val="left"/>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32"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kern w:val="2"/>
                <w:sz w:val="21"/>
                <w:szCs w:val="21"/>
                <w14:ligatures w14:val="standardContextual"/>
              </w:rPr>
            </w:pPr>
            <w:r>
              <w:rPr>
                <w:rFonts w:hint="eastAsia" w:ascii="仿宋_GB2312" w:hAnsi="仿宋_GB2312" w:cs="仿宋_GB2312"/>
                <w:sz w:val="21"/>
                <w:szCs w:val="21"/>
                <w:lang w:bidi="ar"/>
                <w14:ligatures w14:val="standardContextual"/>
              </w:rPr>
              <w:t>…</w:t>
            </w:r>
          </w:p>
        </w:tc>
        <w:tc>
          <w:tcPr>
            <w:tcW w:w="601" w:type="pct"/>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c>
          <w:tcPr>
            <w:tcW w:w="2088" w:type="pct"/>
            <w:gridSpan w:val="4"/>
            <w:tcBorders>
              <w:tl2br w:val="nil"/>
              <w:tr2bl w:val="nil"/>
            </w:tcBorders>
            <w:shd w:val="clear" w:color="auto" w:fill="auto"/>
            <w:vAlign w:val="center"/>
          </w:tcPr>
          <w:p>
            <w:pPr>
              <w:spacing w:line="240" w:lineRule="auto"/>
              <w:ind w:firstLine="0" w:firstLineChars="0"/>
              <w:jc w:val="center"/>
              <w:rPr>
                <w:rFonts w:hint="eastAsia" w:ascii="仿宋_GB2312" w:hAnsi="仿宋_GB2312" w:cs="仿宋_GB2312"/>
                <w:kern w:val="2"/>
                <w:sz w:val="21"/>
                <w:szCs w:val="21"/>
                <w14:ligatures w14:val="standardContextual"/>
              </w:rPr>
            </w:pPr>
          </w:p>
        </w:tc>
        <w:tc>
          <w:tcPr>
            <w:tcW w:w="2077" w:type="pct"/>
            <w:gridSpan w:val="3"/>
            <w:tcBorders>
              <w:tl2br w:val="nil"/>
              <w:tr2bl w:val="nil"/>
            </w:tcBorders>
            <w:shd w:val="clear" w:color="auto" w:fill="auto"/>
            <w:vAlign w:val="center"/>
          </w:tcPr>
          <w:p>
            <w:pPr>
              <w:spacing w:line="240" w:lineRule="auto"/>
              <w:ind w:firstLine="0" w:firstLineChars="0"/>
              <w:jc w:val="left"/>
              <w:rPr>
                <w:rFonts w:hint="eastAsia" w:ascii="仿宋_GB2312" w:hAnsi="仿宋_GB2312" w:cs="仿宋_GB2312"/>
                <w:kern w:val="2"/>
                <w:sz w:val="21"/>
                <w:szCs w:val="21"/>
                <w14:ligatures w14:val="standardContextual"/>
              </w:rPr>
            </w:pPr>
          </w:p>
        </w:tc>
      </w:tr>
    </w:tbl>
    <w:p>
      <w:pPr>
        <w:widowControl/>
        <w:spacing w:line="240" w:lineRule="auto"/>
        <w:ind w:firstLine="0" w:firstLineChars="0"/>
        <w:textAlignment w:val="center"/>
        <w:rPr>
          <w:rFonts w:hint="eastAsia" w:ascii="仿宋_GB2312" w:hAnsi="仿宋_GB2312" w:cs="仿宋_GB2312"/>
          <w:b/>
          <w:bCs/>
          <w:sz w:val="21"/>
          <w:szCs w:val="21"/>
          <w:lang w:bidi="ar"/>
          <w14:ligatures w14:val="standardContextual"/>
        </w:rPr>
      </w:pPr>
      <w:r>
        <w:rPr>
          <w:rFonts w:ascii="等线" w:hAnsi="等线" w:eastAsia="等线"/>
          <w:kern w:val="2"/>
          <w:sz w:val="21"/>
          <w:szCs w:val="22"/>
          <w14:ligatures w14:val="standardContextual"/>
        </w:rPr>
        <w:br w:type="page"/>
      </w:r>
      <w:r>
        <w:rPr>
          <w:rFonts w:hint="eastAsia" w:ascii="黑体" w:hAnsi="黑体" w:eastAsia="黑体" w:cs="黑体"/>
          <w:szCs w:val="32"/>
          <w:lang w:bidi="ar"/>
          <w14:ligatures w14:val="standardContextual"/>
        </w:rPr>
        <w:t>附表6-8</w:t>
      </w:r>
    </w:p>
    <w:p>
      <w:pPr>
        <w:widowControl/>
        <w:spacing w:line="240" w:lineRule="auto"/>
        <w:ind w:firstLine="0" w:firstLineChars="0"/>
        <w:jc w:val="center"/>
        <w:textAlignment w:val="center"/>
        <w:rPr>
          <w:rFonts w:hint="eastAsia" w:ascii="方正小标宋_GBK" w:hAnsi="方正小标宋_GBK" w:eastAsia="方正小标宋_GBK" w:cs="方正小标宋_GBK"/>
          <w:kern w:val="2"/>
          <w:sz w:val="36"/>
          <w:szCs w:val="36"/>
          <w14:ligatures w14:val="standardContextual"/>
        </w:rPr>
      </w:pPr>
      <w:r>
        <w:rPr>
          <w:rFonts w:hint="eastAsia" w:ascii="方正小标宋_GBK" w:hAnsi="方正小标宋_GBK" w:eastAsia="方正小标宋_GBK" w:cs="方正小标宋_GBK"/>
          <w:sz w:val="36"/>
          <w:szCs w:val="36"/>
          <w:lang w:bidi="ar"/>
          <w14:ligatures w14:val="standardContextual"/>
        </w:rPr>
        <w:t>子基金返投项目储备情况表</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2"/>
        <w:gridCol w:w="2177"/>
        <w:gridCol w:w="4428"/>
        <w:gridCol w:w="1665"/>
        <w:gridCol w:w="1665"/>
        <w:gridCol w:w="1665"/>
        <w:gridCol w:w="16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序号</w:t>
            </w:r>
          </w:p>
        </w:tc>
        <w:tc>
          <w:tcPr>
            <w:tcW w:w="76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拟投资项目名称</w:t>
            </w:r>
          </w:p>
        </w:tc>
        <w:tc>
          <w:tcPr>
            <w:tcW w:w="1556"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项目简介</w:t>
            </w:r>
          </w:p>
        </w:tc>
        <w:tc>
          <w:tcPr>
            <w:tcW w:w="58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所属行业</w:t>
            </w:r>
          </w:p>
        </w:tc>
        <w:tc>
          <w:tcPr>
            <w:tcW w:w="58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注册地</w:t>
            </w:r>
          </w:p>
        </w:tc>
        <w:tc>
          <w:tcPr>
            <w:tcW w:w="58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投资轮次</w:t>
            </w:r>
          </w:p>
        </w:tc>
        <w:tc>
          <w:tcPr>
            <w:tcW w:w="586"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拟投资金额</w:t>
            </w:r>
            <w:r>
              <w:rPr>
                <w:rFonts w:hint="eastAsia" w:ascii="仿宋_GB2312" w:hAnsi="仿宋_GB2312" w:cs="仿宋_GB2312"/>
                <w:b/>
                <w:bCs/>
                <w:sz w:val="21"/>
                <w:szCs w:val="21"/>
                <w:lang w:bidi="ar"/>
                <w14:ligatures w14:val="standardContextual"/>
              </w:rPr>
              <w:br w:type="textWrapping"/>
            </w:r>
            <w:r>
              <w:rPr>
                <w:rFonts w:hint="eastAsia" w:ascii="仿宋_GB2312" w:hAnsi="仿宋_GB2312" w:cs="仿宋_GB2312"/>
                <w:b/>
                <w:bCs/>
                <w:sz w:val="21"/>
                <w:szCs w:val="21"/>
                <w:lang w:bidi="ar"/>
                <w14:ligatures w14:val="standardContextual"/>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1</w:t>
            </w:r>
          </w:p>
        </w:tc>
        <w:tc>
          <w:tcPr>
            <w:tcW w:w="76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widowControl/>
              <w:spacing w:line="240" w:lineRule="auto"/>
              <w:ind w:firstLine="0" w:firstLineChars="0"/>
              <w:jc w:val="center"/>
              <w:textAlignment w:val="center"/>
              <w:rPr>
                <w:rFonts w:hint="eastAsia" w:ascii="仿宋_GB2312" w:hAnsi="仿宋_GB2312" w:cs="仿宋_GB2312"/>
                <w:i/>
                <w:iCs/>
                <w:kern w:val="2"/>
                <w:sz w:val="21"/>
                <w:szCs w:val="21"/>
                <w14:ligatures w14:val="standardContextual"/>
              </w:rPr>
            </w:pPr>
            <w:r>
              <w:rPr>
                <w:rFonts w:hint="eastAsia" w:ascii="仿宋_GB2312" w:hAnsi="仿宋_GB2312" w:cs="仿宋_GB2312"/>
                <w:i/>
                <w:iCs/>
                <w:sz w:val="21"/>
                <w:szCs w:val="21"/>
                <w:lang w:bidi="ar"/>
                <w14:ligatures w14:val="standardContextual"/>
              </w:rPr>
              <w:t>XX省XX市</w:t>
            </w: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2</w:t>
            </w:r>
          </w:p>
        </w:tc>
        <w:tc>
          <w:tcPr>
            <w:tcW w:w="76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3</w:t>
            </w:r>
          </w:p>
        </w:tc>
        <w:tc>
          <w:tcPr>
            <w:tcW w:w="76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4</w:t>
            </w:r>
          </w:p>
        </w:tc>
        <w:tc>
          <w:tcPr>
            <w:tcW w:w="76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5</w:t>
            </w:r>
          </w:p>
        </w:tc>
        <w:tc>
          <w:tcPr>
            <w:tcW w:w="76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6</w:t>
            </w:r>
          </w:p>
        </w:tc>
        <w:tc>
          <w:tcPr>
            <w:tcW w:w="76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7</w:t>
            </w:r>
          </w:p>
        </w:tc>
        <w:tc>
          <w:tcPr>
            <w:tcW w:w="76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8</w:t>
            </w:r>
          </w:p>
        </w:tc>
        <w:tc>
          <w:tcPr>
            <w:tcW w:w="76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9</w:t>
            </w:r>
          </w:p>
        </w:tc>
        <w:tc>
          <w:tcPr>
            <w:tcW w:w="76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10</w:t>
            </w:r>
          </w:p>
        </w:tc>
        <w:tc>
          <w:tcPr>
            <w:tcW w:w="76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11</w:t>
            </w:r>
          </w:p>
        </w:tc>
        <w:tc>
          <w:tcPr>
            <w:tcW w:w="76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12</w:t>
            </w:r>
          </w:p>
        </w:tc>
        <w:tc>
          <w:tcPr>
            <w:tcW w:w="76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13</w:t>
            </w:r>
          </w:p>
        </w:tc>
        <w:tc>
          <w:tcPr>
            <w:tcW w:w="76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w:t>
            </w:r>
          </w:p>
        </w:tc>
        <w:tc>
          <w:tcPr>
            <w:tcW w:w="76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合计</w:t>
            </w:r>
          </w:p>
        </w:tc>
        <w:tc>
          <w:tcPr>
            <w:tcW w:w="76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r>
    </w:tbl>
    <w:p>
      <w:pPr>
        <w:ind w:firstLine="0" w:firstLineChars="0"/>
      </w:pPr>
    </w:p>
    <w:sectPr>
      <w:footerReference r:id="rId8" w:type="default"/>
      <w:pgSz w:w="16840" w:h="11910" w:orient="landscape"/>
      <w:pgMar w:top="1134" w:right="1418" w:bottom="1134" w:left="1418" w:header="851" w:footer="1304" w:gutter="0"/>
      <w:pgNumType w:fmt="numberInDash"/>
      <w:cols w:space="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jc w:val="left"/>
      <w:rPr>
        <w:rFonts w:hint="eastAsia" w:ascii="等线" w:hAnsi="等线" w:eastAsia="等线"/>
        <w:kern w:val="2"/>
        <w:sz w:val="18"/>
        <w:szCs w:val="18"/>
        <w14:ligatures w14:val="standardContextual"/>
      </w:rPr>
    </w:pPr>
    <w:r>
      <w:rPr>
        <w:rFonts w:ascii="等线" w:hAnsi="等线" w:eastAsia="等线"/>
        <w:kern w:val="2"/>
        <w:sz w:val="18"/>
        <w:szCs w:val="18"/>
        <w14:ligatures w14:val="standardContextual"/>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ind w:left="0" w:leftChars="0" w:firstLine="0" w:firstLineChars="0"/>
                            <w:jc w:val="left"/>
                            <w:rPr>
                              <w:rFonts w:hint="eastAsia" w:ascii="宋体" w:hAnsi="宋体" w:eastAsia="宋体" w:cs="宋体"/>
                              <w:kern w:val="2"/>
                              <w:sz w:val="28"/>
                              <w:szCs w:val="28"/>
                              <w14:ligatures w14:val="standardContextual"/>
                            </w:rPr>
                          </w:pPr>
                          <w:r>
                            <w:rPr>
                              <w:rFonts w:hint="eastAsia" w:ascii="宋体" w:hAnsi="宋体" w:eastAsia="等线" w:cs="宋体"/>
                              <w:kern w:val="2"/>
                              <w:sz w:val="28"/>
                              <w:szCs w:val="28"/>
                              <w14:ligatures w14:val="standardContextual"/>
                            </w:rPr>
                            <w:fldChar w:fldCharType="begin"/>
                          </w:r>
                          <w:r>
                            <w:rPr>
                              <w:rFonts w:hint="eastAsia" w:ascii="宋体" w:hAnsi="宋体" w:eastAsia="等线" w:cs="宋体"/>
                              <w:kern w:val="2"/>
                              <w:sz w:val="28"/>
                              <w:szCs w:val="28"/>
                              <w14:ligatures w14:val="standardContextual"/>
                            </w:rPr>
                            <w:instrText xml:space="preserve"> PAGE  \* MERGEFORMAT </w:instrText>
                          </w:r>
                          <w:r>
                            <w:rPr>
                              <w:rFonts w:hint="eastAsia" w:ascii="宋体" w:hAnsi="宋体" w:eastAsia="等线" w:cs="宋体"/>
                              <w:kern w:val="2"/>
                              <w:sz w:val="28"/>
                              <w:szCs w:val="28"/>
                              <w14:ligatures w14:val="standardContextual"/>
                            </w:rPr>
                            <w:fldChar w:fldCharType="separate"/>
                          </w:r>
                          <w:r>
                            <w:rPr>
                              <w:rFonts w:ascii="宋体" w:hAnsi="宋体" w:eastAsia="等线" w:cs="宋体"/>
                              <w:kern w:val="2"/>
                              <w:sz w:val="28"/>
                              <w:szCs w:val="28"/>
                              <w14:ligatures w14:val="standardContextual"/>
                            </w:rPr>
                            <w:t>- 7 -</w:t>
                          </w:r>
                          <w:r>
                            <w:rPr>
                              <w:rFonts w:hint="eastAsia" w:ascii="宋体" w:hAnsi="宋体" w:eastAsia="等线" w:cs="宋体"/>
                              <w:kern w:val="2"/>
                              <w:sz w:val="28"/>
                              <w:szCs w:val="28"/>
                              <w14:ligatures w14:val="standardContextu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tabs>
                        <w:tab w:val="center" w:pos="4153"/>
                        <w:tab w:val="right" w:pos="8306"/>
                      </w:tabs>
                      <w:snapToGrid w:val="0"/>
                      <w:ind w:left="0" w:leftChars="0" w:firstLine="0" w:firstLineChars="0"/>
                      <w:jc w:val="left"/>
                      <w:rPr>
                        <w:rFonts w:hint="eastAsia" w:ascii="宋体" w:hAnsi="宋体" w:eastAsia="宋体" w:cs="宋体"/>
                        <w:kern w:val="2"/>
                        <w:sz w:val="28"/>
                        <w:szCs w:val="28"/>
                        <w14:ligatures w14:val="standardContextual"/>
                      </w:rPr>
                    </w:pPr>
                    <w:r>
                      <w:rPr>
                        <w:rFonts w:hint="eastAsia" w:ascii="宋体" w:hAnsi="宋体" w:eastAsia="等线" w:cs="宋体"/>
                        <w:kern w:val="2"/>
                        <w:sz w:val="28"/>
                        <w:szCs w:val="28"/>
                        <w14:ligatures w14:val="standardContextual"/>
                      </w:rPr>
                      <w:fldChar w:fldCharType="begin"/>
                    </w:r>
                    <w:r>
                      <w:rPr>
                        <w:rFonts w:hint="eastAsia" w:ascii="宋体" w:hAnsi="宋体" w:eastAsia="等线" w:cs="宋体"/>
                        <w:kern w:val="2"/>
                        <w:sz w:val="28"/>
                        <w:szCs w:val="28"/>
                        <w14:ligatures w14:val="standardContextual"/>
                      </w:rPr>
                      <w:instrText xml:space="preserve"> PAGE  \* MERGEFORMAT </w:instrText>
                    </w:r>
                    <w:r>
                      <w:rPr>
                        <w:rFonts w:hint="eastAsia" w:ascii="宋体" w:hAnsi="宋体" w:eastAsia="等线" w:cs="宋体"/>
                        <w:kern w:val="2"/>
                        <w:sz w:val="28"/>
                        <w:szCs w:val="28"/>
                        <w14:ligatures w14:val="standardContextual"/>
                      </w:rPr>
                      <w:fldChar w:fldCharType="separate"/>
                    </w:r>
                    <w:r>
                      <w:rPr>
                        <w:rFonts w:ascii="宋体" w:hAnsi="宋体" w:eastAsia="等线" w:cs="宋体"/>
                        <w:kern w:val="2"/>
                        <w:sz w:val="28"/>
                        <w:szCs w:val="28"/>
                        <w14:ligatures w14:val="standardContextual"/>
                      </w:rPr>
                      <w:t>- 7 -</w:t>
                    </w:r>
                    <w:r>
                      <w:rPr>
                        <w:rFonts w:hint="eastAsia" w:ascii="宋体" w:hAnsi="宋体" w:eastAsia="等线" w:cs="宋体"/>
                        <w:kern w:val="2"/>
                        <w:sz w:val="28"/>
                        <w:szCs w:val="28"/>
                        <w14:ligatures w14:val="standardContextua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489" w:firstLine="0" w:firstLineChars="0"/>
      <w:rPr>
        <w:rFonts w:hint="eastAsia" w:ascii="等线" w:hAnsi="等线" w:eastAsia="等线" w:cs="等线"/>
        <w:kern w:val="2"/>
        <w:sz w:val="18"/>
        <w:szCs w:val="18"/>
        <w14:ligatures w14:val="standardContextual"/>
      </w:rPr>
    </w:pPr>
    <w:r>
      <w:rPr>
        <w:rFonts w:ascii="等线" w:hAnsi="等线" w:eastAsia="等线"/>
        <w:kern w:val="2"/>
        <w:sz w:val="18"/>
        <w:szCs w:val="22"/>
        <w14:ligatures w14:val="standardContextual"/>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ind w:firstLine="560"/>
                            <w:jc w:val="left"/>
                            <w:rPr>
                              <w:rFonts w:hint="eastAsia" w:ascii="宋体" w:hAnsi="宋体" w:eastAsia="宋体" w:cs="宋体"/>
                              <w:kern w:val="2"/>
                              <w:sz w:val="28"/>
                              <w:szCs w:val="28"/>
                              <w14:ligatures w14:val="standardContextual"/>
                            </w:rPr>
                          </w:pPr>
                          <w:r>
                            <w:rPr>
                              <w:rFonts w:hint="eastAsia" w:ascii="宋体" w:hAnsi="宋体" w:eastAsia="宋体" w:cs="宋体"/>
                              <w:kern w:val="2"/>
                              <w:sz w:val="28"/>
                              <w:szCs w:val="28"/>
                              <w14:ligatures w14:val="standardContextual"/>
                            </w:rPr>
                            <w:fldChar w:fldCharType="begin"/>
                          </w:r>
                          <w:r>
                            <w:rPr>
                              <w:rFonts w:hint="eastAsia" w:ascii="宋体" w:hAnsi="宋体" w:eastAsia="宋体" w:cs="宋体"/>
                              <w:kern w:val="2"/>
                              <w:sz w:val="28"/>
                              <w:szCs w:val="28"/>
                              <w14:ligatures w14:val="standardContextual"/>
                            </w:rPr>
                            <w:instrText xml:space="preserve"> PAGE  \* MERGEFORMAT </w:instrText>
                          </w:r>
                          <w:r>
                            <w:rPr>
                              <w:rFonts w:hint="eastAsia" w:ascii="宋体" w:hAnsi="宋体" w:eastAsia="宋体" w:cs="宋体"/>
                              <w:kern w:val="2"/>
                              <w:sz w:val="28"/>
                              <w:szCs w:val="28"/>
                              <w14:ligatures w14:val="standardContextual"/>
                            </w:rPr>
                            <w:fldChar w:fldCharType="separate"/>
                          </w:r>
                          <w:r>
                            <w:rPr>
                              <w:rFonts w:ascii="宋体" w:hAnsi="宋体" w:eastAsia="宋体" w:cs="宋体"/>
                              <w:kern w:val="2"/>
                              <w:sz w:val="28"/>
                              <w:szCs w:val="28"/>
                              <w14:ligatures w14:val="standardContextual"/>
                            </w:rPr>
                            <w:t>- 15 -</w:t>
                          </w:r>
                          <w:r>
                            <w:rPr>
                              <w:rFonts w:hint="eastAsia" w:ascii="宋体" w:hAnsi="宋体" w:eastAsia="宋体" w:cs="宋体"/>
                              <w:kern w:val="2"/>
                              <w:sz w:val="28"/>
                              <w:szCs w:val="28"/>
                              <w14:ligatures w14:val="standardContextu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tabs>
                        <w:tab w:val="center" w:pos="4153"/>
                        <w:tab w:val="right" w:pos="8306"/>
                      </w:tabs>
                      <w:snapToGrid w:val="0"/>
                      <w:ind w:firstLine="560"/>
                      <w:jc w:val="left"/>
                      <w:rPr>
                        <w:rFonts w:hint="eastAsia" w:ascii="宋体" w:hAnsi="宋体" w:eastAsia="宋体" w:cs="宋体"/>
                        <w:kern w:val="2"/>
                        <w:sz w:val="28"/>
                        <w:szCs w:val="28"/>
                        <w14:ligatures w14:val="standardContextual"/>
                      </w:rPr>
                    </w:pPr>
                    <w:r>
                      <w:rPr>
                        <w:rFonts w:hint="eastAsia" w:ascii="宋体" w:hAnsi="宋体" w:eastAsia="宋体" w:cs="宋体"/>
                        <w:kern w:val="2"/>
                        <w:sz w:val="28"/>
                        <w:szCs w:val="28"/>
                        <w14:ligatures w14:val="standardContextual"/>
                      </w:rPr>
                      <w:fldChar w:fldCharType="begin"/>
                    </w:r>
                    <w:r>
                      <w:rPr>
                        <w:rFonts w:hint="eastAsia" w:ascii="宋体" w:hAnsi="宋体" w:eastAsia="宋体" w:cs="宋体"/>
                        <w:kern w:val="2"/>
                        <w:sz w:val="28"/>
                        <w:szCs w:val="28"/>
                        <w14:ligatures w14:val="standardContextual"/>
                      </w:rPr>
                      <w:instrText xml:space="preserve"> PAGE  \* MERGEFORMAT </w:instrText>
                    </w:r>
                    <w:r>
                      <w:rPr>
                        <w:rFonts w:hint="eastAsia" w:ascii="宋体" w:hAnsi="宋体" w:eastAsia="宋体" w:cs="宋体"/>
                        <w:kern w:val="2"/>
                        <w:sz w:val="28"/>
                        <w:szCs w:val="28"/>
                        <w14:ligatures w14:val="standardContextual"/>
                      </w:rPr>
                      <w:fldChar w:fldCharType="separate"/>
                    </w:r>
                    <w:r>
                      <w:rPr>
                        <w:rFonts w:ascii="宋体" w:hAnsi="宋体" w:eastAsia="宋体" w:cs="宋体"/>
                        <w:kern w:val="2"/>
                        <w:sz w:val="28"/>
                        <w:szCs w:val="28"/>
                        <w14:ligatures w14:val="standardContextual"/>
                      </w:rPr>
                      <w:t>- 15 -</w:t>
                    </w:r>
                    <w:r>
                      <w:rPr>
                        <w:rFonts w:hint="eastAsia" w:ascii="宋体" w:hAnsi="宋体" w:eastAsia="宋体" w:cs="宋体"/>
                        <w:kern w:val="2"/>
                        <w:sz w:val="28"/>
                        <w:szCs w:val="28"/>
                        <w14:ligatures w14:val="standardContextual"/>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489" w:firstLine="0" w:firstLineChars="0"/>
      <w:rPr>
        <w:rFonts w:hint="eastAsia" w:ascii="等线" w:hAnsi="等线" w:eastAsia="等线" w:cs="等线"/>
        <w:kern w:val="2"/>
        <w:sz w:val="18"/>
        <w:szCs w:val="18"/>
        <w14:ligatures w14:val="standardContextual"/>
      </w:rPr>
    </w:pPr>
    <w:r>
      <w:rPr>
        <w:rFonts w:ascii="等线" w:hAnsi="等线" w:eastAsia="等线"/>
        <w:kern w:val="2"/>
        <w:sz w:val="18"/>
        <w:szCs w:val="22"/>
        <w14:ligatures w14:val="standardContextual"/>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ind w:firstLine="560"/>
                            <w:jc w:val="left"/>
                            <w:rPr>
                              <w:rFonts w:hint="eastAsia" w:ascii="宋体" w:hAnsi="宋体" w:eastAsia="宋体" w:cs="宋体"/>
                              <w:kern w:val="2"/>
                              <w:sz w:val="28"/>
                              <w:szCs w:val="28"/>
                              <w14:ligatures w14:val="standardContextual"/>
                            </w:rPr>
                          </w:pPr>
                          <w:r>
                            <w:rPr>
                              <w:rFonts w:hint="eastAsia" w:ascii="宋体" w:hAnsi="宋体" w:eastAsia="宋体" w:cs="宋体"/>
                              <w:kern w:val="2"/>
                              <w:sz w:val="28"/>
                              <w:szCs w:val="28"/>
                              <w14:ligatures w14:val="standardContextual"/>
                            </w:rPr>
                            <w:fldChar w:fldCharType="begin"/>
                          </w:r>
                          <w:r>
                            <w:rPr>
                              <w:rFonts w:hint="eastAsia" w:ascii="宋体" w:hAnsi="宋体" w:eastAsia="宋体" w:cs="宋体"/>
                              <w:kern w:val="2"/>
                              <w:sz w:val="28"/>
                              <w:szCs w:val="28"/>
                              <w14:ligatures w14:val="standardContextual"/>
                            </w:rPr>
                            <w:instrText xml:space="preserve"> PAGE  \* MERGEFORMAT </w:instrText>
                          </w:r>
                          <w:r>
                            <w:rPr>
                              <w:rFonts w:hint="eastAsia" w:ascii="宋体" w:hAnsi="宋体" w:eastAsia="宋体" w:cs="宋体"/>
                              <w:kern w:val="2"/>
                              <w:sz w:val="28"/>
                              <w:szCs w:val="28"/>
                              <w14:ligatures w14:val="standardContextual"/>
                            </w:rPr>
                            <w:fldChar w:fldCharType="separate"/>
                          </w:r>
                          <w:r>
                            <w:rPr>
                              <w:rFonts w:ascii="宋体" w:hAnsi="宋体" w:eastAsia="宋体" w:cs="宋体"/>
                              <w:kern w:val="2"/>
                              <w:sz w:val="28"/>
                              <w:szCs w:val="28"/>
                              <w14:ligatures w14:val="standardContextual"/>
                            </w:rPr>
                            <w:t>- 38 -</w:t>
                          </w:r>
                          <w:r>
                            <w:rPr>
                              <w:rFonts w:hint="eastAsia" w:ascii="宋体" w:hAnsi="宋体" w:eastAsia="宋体" w:cs="宋体"/>
                              <w:kern w:val="2"/>
                              <w:sz w:val="28"/>
                              <w:szCs w:val="28"/>
                              <w14:ligatures w14:val="standardContextu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tabs>
                        <w:tab w:val="center" w:pos="4153"/>
                        <w:tab w:val="right" w:pos="8306"/>
                      </w:tabs>
                      <w:snapToGrid w:val="0"/>
                      <w:ind w:firstLine="560"/>
                      <w:jc w:val="left"/>
                      <w:rPr>
                        <w:rFonts w:hint="eastAsia" w:ascii="宋体" w:hAnsi="宋体" w:eastAsia="宋体" w:cs="宋体"/>
                        <w:kern w:val="2"/>
                        <w:sz w:val="28"/>
                        <w:szCs w:val="28"/>
                        <w14:ligatures w14:val="standardContextual"/>
                      </w:rPr>
                    </w:pPr>
                    <w:r>
                      <w:rPr>
                        <w:rFonts w:hint="eastAsia" w:ascii="宋体" w:hAnsi="宋体" w:eastAsia="宋体" w:cs="宋体"/>
                        <w:kern w:val="2"/>
                        <w:sz w:val="28"/>
                        <w:szCs w:val="28"/>
                        <w14:ligatures w14:val="standardContextual"/>
                      </w:rPr>
                      <w:fldChar w:fldCharType="begin"/>
                    </w:r>
                    <w:r>
                      <w:rPr>
                        <w:rFonts w:hint="eastAsia" w:ascii="宋体" w:hAnsi="宋体" w:eastAsia="宋体" w:cs="宋体"/>
                        <w:kern w:val="2"/>
                        <w:sz w:val="28"/>
                        <w:szCs w:val="28"/>
                        <w14:ligatures w14:val="standardContextual"/>
                      </w:rPr>
                      <w:instrText xml:space="preserve"> PAGE  \* MERGEFORMAT </w:instrText>
                    </w:r>
                    <w:r>
                      <w:rPr>
                        <w:rFonts w:hint="eastAsia" w:ascii="宋体" w:hAnsi="宋体" w:eastAsia="宋体" w:cs="宋体"/>
                        <w:kern w:val="2"/>
                        <w:sz w:val="28"/>
                        <w:szCs w:val="28"/>
                        <w14:ligatures w14:val="standardContextual"/>
                      </w:rPr>
                      <w:fldChar w:fldCharType="separate"/>
                    </w:r>
                    <w:r>
                      <w:rPr>
                        <w:rFonts w:ascii="宋体" w:hAnsi="宋体" w:eastAsia="宋体" w:cs="宋体"/>
                        <w:kern w:val="2"/>
                        <w:sz w:val="28"/>
                        <w:szCs w:val="28"/>
                        <w14:ligatures w14:val="standardContextual"/>
                      </w:rPr>
                      <w:t>- 38 -</w:t>
                    </w:r>
                    <w:r>
                      <w:rPr>
                        <w:rFonts w:hint="eastAsia" w:ascii="宋体" w:hAnsi="宋体" w:eastAsia="宋体" w:cs="宋体"/>
                        <w:kern w:val="2"/>
                        <w:sz w:val="28"/>
                        <w:szCs w:val="28"/>
                        <w14:ligatures w14:val="standardContextual"/>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3OTg0MzhmM2MwYzEwYmY4NGJmNmMxMzA0ZTEwNzgifQ=="/>
  </w:docVars>
  <w:rsids>
    <w:rsidRoot w:val="2C6D7B2F"/>
    <w:rsid w:val="00021B2B"/>
    <w:rsid w:val="000C0B2F"/>
    <w:rsid w:val="00235576"/>
    <w:rsid w:val="00392B5D"/>
    <w:rsid w:val="003C211F"/>
    <w:rsid w:val="00447DED"/>
    <w:rsid w:val="006059E0"/>
    <w:rsid w:val="006801F0"/>
    <w:rsid w:val="0075125D"/>
    <w:rsid w:val="007B56F8"/>
    <w:rsid w:val="0083064E"/>
    <w:rsid w:val="00875D28"/>
    <w:rsid w:val="00961D96"/>
    <w:rsid w:val="00BF3890"/>
    <w:rsid w:val="00CB1978"/>
    <w:rsid w:val="00F8072F"/>
    <w:rsid w:val="00FA3713"/>
    <w:rsid w:val="02F33197"/>
    <w:rsid w:val="04D36F23"/>
    <w:rsid w:val="05617DDF"/>
    <w:rsid w:val="07604300"/>
    <w:rsid w:val="08904F73"/>
    <w:rsid w:val="096E4F4E"/>
    <w:rsid w:val="09C90C88"/>
    <w:rsid w:val="0B644255"/>
    <w:rsid w:val="0C706E4D"/>
    <w:rsid w:val="0CDB7AD4"/>
    <w:rsid w:val="0EC87A72"/>
    <w:rsid w:val="0FA227FC"/>
    <w:rsid w:val="13D35E41"/>
    <w:rsid w:val="16113026"/>
    <w:rsid w:val="19504BB3"/>
    <w:rsid w:val="19540A05"/>
    <w:rsid w:val="19AF7493"/>
    <w:rsid w:val="1A2E64B6"/>
    <w:rsid w:val="1A9D0136"/>
    <w:rsid w:val="1B4F4E1D"/>
    <w:rsid w:val="1CB04C5B"/>
    <w:rsid w:val="1CE97FB0"/>
    <w:rsid w:val="1D26224B"/>
    <w:rsid w:val="1E047AE7"/>
    <w:rsid w:val="1EA24ADE"/>
    <w:rsid w:val="1FD303CF"/>
    <w:rsid w:val="21940AE4"/>
    <w:rsid w:val="2229183F"/>
    <w:rsid w:val="23C9498D"/>
    <w:rsid w:val="23DF7A16"/>
    <w:rsid w:val="24F71076"/>
    <w:rsid w:val="25EC0862"/>
    <w:rsid w:val="260D46DE"/>
    <w:rsid w:val="26403145"/>
    <w:rsid w:val="2AD134D0"/>
    <w:rsid w:val="2BA83E8E"/>
    <w:rsid w:val="2C6D7B2F"/>
    <w:rsid w:val="2D6C1689"/>
    <w:rsid w:val="309F7535"/>
    <w:rsid w:val="31FC2D9B"/>
    <w:rsid w:val="321B5044"/>
    <w:rsid w:val="35F87D60"/>
    <w:rsid w:val="373950C4"/>
    <w:rsid w:val="392E3FBB"/>
    <w:rsid w:val="39936B6B"/>
    <w:rsid w:val="3DBF1A8C"/>
    <w:rsid w:val="3EF91DFF"/>
    <w:rsid w:val="3FB84411"/>
    <w:rsid w:val="43112896"/>
    <w:rsid w:val="43BD6121"/>
    <w:rsid w:val="4415508F"/>
    <w:rsid w:val="45D87105"/>
    <w:rsid w:val="4615597A"/>
    <w:rsid w:val="472340DE"/>
    <w:rsid w:val="47DE6C76"/>
    <w:rsid w:val="47E61026"/>
    <w:rsid w:val="47EB7DAE"/>
    <w:rsid w:val="4AFD7356"/>
    <w:rsid w:val="4C6A75A4"/>
    <w:rsid w:val="4CA24E44"/>
    <w:rsid w:val="4F005AAA"/>
    <w:rsid w:val="511070DE"/>
    <w:rsid w:val="511B285F"/>
    <w:rsid w:val="513D4E2D"/>
    <w:rsid w:val="514E4CE5"/>
    <w:rsid w:val="52224610"/>
    <w:rsid w:val="58DD759E"/>
    <w:rsid w:val="5B0A0CAB"/>
    <w:rsid w:val="5BB934C9"/>
    <w:rsid w:val="5D7C6F33"/>
    <w:rsid w:val="5DBE1866"/>
    <w:rsid w:val="5FBF0350"/>
    <w:rsid w:val="604138EA"/>
    <w:rsid w:val="605452EF"/>
    <w:rsid w:val="62A37291"/>
    <w:rsid w:val="63C246B8"/>
    <w:rsid w:val="65004591"/>
    <w:rsid w:val="67706CC4"/>
    <w:rsid w:val="682540CA"/>
    <w:rsid w:val="68264723"/>
    <w:rsid w:val="6BEE37AA"/>
    <w:rsid w:val="6C9F4042"/>
    <w:rsid w:val="707B03A5"/>
    <w:rsid w:val="72F86F54"/>
    <w:rsid w:val="752909A2"/>
    <w:rsid w:val="77CC6DC5"/>
    <w:rsid w:val="78767649"/>
    <w:rsid w:val="79AA2636"/>
    <w:rsid w:val="7B5DC91B"/>
    <w:rsid w:val="7C805F51"/>
    <w:rsid w:val="7E490032"/>
    <w:rsid w:val="AED9AA88"/>
    <w:rsid w:val="BABD46A9"/>
    <w:rsid w:val="BF81B59C"/>
    <w:rsid w:val="DB7FFB01"/>
    <w:rsid w:val="EE6B583B"/>
    <w:rsid w:val="FEDDFCC1"/>
    <w:rsid w:val="FF3F5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0" w:firstLineChars="200"/>
      <w:jc w:val="both"/>
    </w:pPr>
    <w:rPr>
      <w:rFonts w:ascii="Times New Roman" w:hAnsi="Times New Roman" w:eastAsia="仿宋_GB2312" w:cs="Times New Roman"/>
      <w:sz w:val="32"/>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4"/>
    <w:qFormat/>
    <w:uiPriority w:val="99"/>
    <w:pPr>
      <w:autoSpaceDE w:val="0"/>
      <w:autoSpaceDN w:val="0"/>
      <w:ind w:firstLine="420"/>
      <w:jc w:val="left"/>
    </w:pPr>
    <w:rPr>
      <w:rFonts w:ascii="宋体" w:hAnsi="宋体" w:cs="宋体"/>
      <w:szCs w:val="32"/>
      <w:lang w:eastAsia="en-US"/>
    </w:rPr>
  </w:style>
  <w:style w:type="paragraph" w:styleId="4">
    <w:name w:val="Body Text First Indent 2"/>
    <w:basedOn w:val="1"/>
    <w:next w:val="1"/>
    <w:semiHidden/>
    <w:unhideWhenUsed/>
    <w:qFormat/>
    <w:uiPriority w:val="99"/>
    <w:pPr>
      <w:ind w:firstLine="420"/>
    </w:pPr>
  </w:style>
  <w:style w:type="paragraph" w:styleId="5">
    <w:name w:val="annotation text"/>
    <w:basedOn w:val="1"/>
    <w:link w:val="22"/>
    <w:qFormat/>
    <w:uiPriority w:val="0"/>
    <w:pPr>
      <w:jc w:val="left"/>
    </w:pPr>
  </w:style>
  <w:style w:type="paragraph" w:styleId="6">
    <w:name w:val="Body Text Indent"/>
    <w:basedOn w:val="1"/>
    <w:next w:val="7"/>
    <w:qFormat/>
    <w:uiPriority w:val="0"/>
    <w:pPr>
      <w:spacing w:after="120"/>
      <w:ind w:left="200" w:leftChars="200"/>
    </w:pPr>
    <w:rPr>
      <w:szCs w:val="20"/>
    </w:rPr>
  </w:style>
  <w:style w:type="paragraph" w:styleId="7">
    <w:name w:val="Body Text Indent 2"/>
    <w:basedOn w:val="1"/>
    <w:next w:val="4"/>
    <w:qFormat/>
    <w:uiPriority w:val="0"/>
    <w:pPr>
      <w:spacing w:after="120" w:line="480" w:lineRule="auto"/>
      <w:ind w:left="420" w:leftChars="200"/>
    </w:pPr>
    <w:rPr>
      <w:rFonts w:eastAsia="宋体"/>
    </w:rPr>
  </w:style>
  <w:style w:type="paragraph" w:styleId="8">
    <w:name w:val="Balloon Text"/>
    <w:basedOn w:val="1"/>
    <w:link w:val="24"/>
    <w:qFormat/>
    <w:uiPriority w:val="0"/>
    <w:pPr>
      <w:spacing w:line="240" w:lineRule="auto"/>
    </w:pPr>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0"/>
    <w:qFormat/>
    <w:uiPriority w:val="0"/>
    <w:pPr>
      <w:tabs>
        <w:tab w:val="center" w:pos="4153"/>
        <w:tab w:val="right" w:pos="8306"/>
      </w:tabs>
      <w:snapToGrid w:val="0"/>
      <w:spacing w:line="240" w:lineRule="atLeast"/>
      <w:jc w:val="center"/>
    </w:pPr>
    <w:rPr>
      <w:sz w:val="18"/>
      <w:szCs w:val="18"/>
    </w:rPr>
  </w:style>
  <w:style w:type="paragraph" w:styleId="11">
    <w:name w:val="annotation subject"/>
    <w:basedOn w:val="5"/>
    <w:next w:val="5"/>
    <w:link w:val="23"/>
    <w:qFormat/>
    <w:uiPriority w:val="0"/>
    <w:rPr>
      <w:b/>
      <w:bCs/>
    </w:rPr>
  </w:style>
  <w:style w:type="character" w:styleId="14">
    <w:name w:val="Hyperlink"/>
    <w:basedOn w:val="13"/>
    <w:qFormat/>
    <w:uiPriority w:val="0"/>
    <w:rPr>
      <w:color w:val="0000FF"/>
      <w:u w:val="single"/>
    </w:rPr>
  </w:style>
  <w:style w:type="character" w:styleId="15">
    <w:name w:val="annotation reference"/>
    <w:basedOn w:val="13"/>
    <w:semiHidden/>
    <w:unhideWhenUsed/>
    <w:qFormat/>
    <w:uiPriority w:val="99"/>
    <w:rPr>
      <w:sz w:val="21"/>
      <w:szCs w:val="21"/>
    </w:rPr>
  </w:style>
  <w:style w:type="paragraph" w:styleId="16">
    <w:name w:val="List Paragraph"/>
    <w:basedOn w:val="1"/>
    <w:qFormat/>
    <w:uiPriority w:val="99"/>
    <w:pPr>
      <w:ind w:firstLine="420"/>
    </w:pPr>
  </w:style>
  <w:style w:type="character" w:customStyle="1" w:styleId="17">
    <w:name w:val="font41"/>
    <w:basedOn w:val="13"/>
    <w:qFormat/>
    <w:uiPriority w:val="0"/>
    <w:rPr>
      <w:rFonts w:hint="eastAsia" w:ascii="宋体" w:hAnsi="宋体" w:eastAsia="宋体" w:cs="宋体"/>
      <w:b/>
      <w:bCs/>
      <w:color w:val="FFFFFF"/>
      <w:sz w:val="28"/>
      <w:szCs w:val="28"/>
      <w:u w:val="none"/>
    </w:rPr>
  </w:style>
  <w:style w:type="character" w:customStyle="1" w:styleId="18">
    <w:name w:val="font21"/>
    <w:basedOn w:val="13"/>
    <w:qFormat/>
    <w:uiPriority w:val="0"/>
    <w:rPr>
      <w:rFonts w:hint="eastAsia" w:ascii="宋体" w:hAnsi="宋体" w:eastAsia="宋体" w:cs="宋体"/>
      <w:b/>
      <w:bCs/>
      <w:color w:val="000000"/>
      <w:sz w:val="20"/>
      <w:szCs w:val="20"/>
      <w:u w:val="none"/>
    </w:rPr>
  </w:style>
  <w:style w:type="character" w:customStyle="1" w:styleId="19">
    <w:name w:val="font11"/>
    <w:basedOn w:val="13"/>
    <w:qFormat/>
    <w:uiPriority w:val="0"/>
    <w:rPr>
      <w:rFonts w:hint="eastAsia" w:ascii="宋体" w:hAnsi="宋体" w:eastAsia="宋体" w:cs="宋体"/>
      <w:b/>
      <w:bCs/>
      <w:color w:val="000000"/>
      <w:sz w:val="20"/>
      <w:szCs w:val="20"/>
      <w:u w:val="none"/>
    </w:rPr>
  </w:style>
  <w:style w:type="character" w:customStyle="1" w:styleId="20">
    <w:name w:val="页眉 字符"/>
    <w:basedOn w:val="13"/>
    <w:link w:val="10"/>
    <w:qFormat/>
    <w:uiPriority w:val="0"/>
    <w:rPr>
      <w:rFonts w:eastAsia="仿宋_GB2312"/>
      <w:sz w:val="18"/>
      <w:szCs w:val="18"/>
    </w:rPr>
  </w:style>
  <w:style w:type="paragraph" w:customStyle="1" w:styleId="21">
    <w:name w:val="修订1"/>
    <w:hidden/>
    <w:unhideWhenUsed/>
    <w:qFormat/>
    <w:uiPriority w:val="99"/>
    <w:rPr>
      <w:rFonts w:ascii="Times New Roman" w:hAnsi="Times New Roman" w:eastAsia="仿宋_GB2312" w:cs="Times New Roman"/>
      <w:sz w:val="32"/>
      <w:szCs w:val="24"/>
      <w:lang w:val="en-US" w:eastAsia="zh-CN" w:bidi="ar-SA"/>
    </w:rPr>
  </w:style>
  <w:style w:type="character" w:customStyle="1" w:styleId="22">
    <w:name w:val="批注文字 字符"/>
    <w:basedOn w:val="13"/>
    <w:link w:val="5"/>
    <w:qFormat/>
    <w:uiPriority w:val="0"/>
    <w:rPr>
      <w:rFonts w:eastAsia="仿宋_GB2312"/>
      <w:sz w:val="32"/>
      <w:szCs w:val="24"/>
    </w:rPr>
  </w:style>
  <w:style w:type="character" w:customStyle="1" w:styleId="23">
    <w:name w:val="批注主题 字符"/>
    <w:basedOn w:val="22"/>
    <w:link w:val="11"/>
    <w:qFormat/>
    <w:uiPriority w:val="0"/>
    <w:rPr>
      <w:rFonts w:eastAsia="仿宋_GB2312"/>
      <w:b/>
      <w:bCs/>
      <w:sz w:val="32"/>
      <w:szCs w:val="24"/>
    </w:rPr>
  </w:style>
  <w:style w:type="character" w:customStyle="1" w:styleId="24">
    <w:name w:val="批注框文本 字符"/>
    <w:basedOn w:val="13"/>
    <w:link w:val="8"/>
    <w:qFormat/>
    <w:uiPriority w:val="0"/>
    <w:rPr>
      <w:rFonts w:eastAsia="仿宋_GB2312"/>
      <w:sz w:val="18"/>
      <w:szCs w:val="18"/>
    </w:rPr>
  </w:style>
  <w:style w:type="character" w:customStyle="1" w:styleId="25">
    <w:name w:val="页脚 字符"/>
    <w:basedOn w:val="13"/>
    <w:link w:val="9"/>
    <w:qFormat/>
    <w:uiPriority w:val="99"/>
    <w:rPr>
      <w:rFonts w:eastAsia="仿宋_GB2312"/>
      <w:sz w:val="18"/>
      <w:szCs w:val="18"/>
    </w:rPr>
  </w:style>
  <w:style w:type="paragraph" w:customStyle="1" w:styleId="26">
    <w:name w:val="Revision"/>
    <w:hidden/>
    <w:unhideWhenUsed/>
    <w:qFormat/>
    <w:uiPriority w:val="99"/>
    <w:rPr>
      <w:rFonts w:ascii="Times New Roman" w:hAnsi="Times New Roman" w:eastAsia="仿宋_GB2312" w:cs="Times New Roman"/>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12746</Words>
  <Characters>13169</Characters>
  <Lines>109</Lines>
  <Paragraphs>30</Paragraphs>
  <TotalTime>34</TotalTime>
  <ScaleCrop>false</ScaleCrop>
  <LinksUpToDate>false</LinksUpToDate>
  <CharactersWithSpaces>13538</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2024-09-24T12:24:00Z</dcterms:created>
  <dc:creator>杨雯韵</dc:creator>
  <cp:lastModifiedBy>童韵洁</cp:lastModifiedBy>
  <cp:lastPrinted>2025-01-09T22:21:00Z</cp:lastPrinted>
  <dcterms:modified xsi:type="dcterms:W3CDTF">2025-01-10T01:38:04Z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B419685B583E47C9AD950472F8FF662B</vt:lpwstr>
  </property>
</Properties>
</file>