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6104B">
      <w:pPr>
        <w:rPr>
          <w:rFonts w:hint="eastAsia" w:ascii="仿宋_GB2312" w:hAnsi="宋体" w:eastAsia="仿宋_GB2312"/>
          <w:sz w:val="32"/>
          <w:szCs w:val="32"/>
          <w:lang w:val="en-US" w:eastAsia="zh-CN"/>
        </w:rPr>
      </w:pPr>
      <w:r>
        <w:rPr>
          <w:rFonts w:hint="eastAsia" w:ascii="仿宋_GB2312" w:hAnsi="宋体" w:eastAsia="仿宋_GB2312"/>
          <w:sz w:val="32"/>
          <w:szCs w:val="32"/>
        </w:rPr>
        <w:t>附件</w:t>
      </w:r>
      <w:r>
        <w:rPr>
          <w:rFonts w:hint="eastAsia" w:ascii="仿宋_GB2312" w:hAnsi="宋体" w:eastAsia="仿宋_GB2312"/>
          <w:sz w:val="32"/>
          <w:szCs w:val="32"/>
          <w:lang w:val="en-US" w:eastAsia="zh-CN"/>
        </w:rPr>
        <w:t>5</w:t>
      </w:r>
    </w:p>
    <w:p w14:paraId="6AE41E9B">
      <w:pPr>
        <w:jc w:val="center"/>
        <w:rPr>
          <w:rFonts w:hint="eastAsia"/>
          <w:b/>
          <w:sz w:val="36"/>
          <w:szCs w:val="36"/>
        </w:rPr>
      </w:pPr>
      <w:bookmarkStart w:id="2" w:name="_GoBack"/>
      <w:r>
        <w:rPr>
          <w:rFonts w:hint="eastAsia"/>
          <w:b/>
          <w:sz w:val="36"/>
          <w:szCs w:val="36"/>
        </w:rPr>
        <w:t>湖北省文旅产业投资基金子基金合规性自查表</w:t>
      </w:r>
    </w:p>
    <w:p w14:paraId="6598CD6F">
      <w:pPr>
        <w:jc w:val="left"/>
        <w:rPr>
          <w:b/>
          <w:sz w:val="28"/>
          <w:szCs w:val="28"/>
          <w:u w:val="single"/>
        </w:rPr>
      </w:pPr>
      <w:r>
        <w:rPr>
          <w:b/>
          <w:sz w:val="28"/>
          <w:szCs w:val="28"/>
          <w:u w:val="single"/>
        </w:rPr>
        <w:t>拟申报子基金名称</w:t>
      </w:r>
      <w:r>
        <w:rPr>
          <w:rFonts w:hint="eastAsia"/>
          <w:b/>
          <w:sz w:val="28"/>
          <w:szCs w:val="28"/>
          <w:u w:val="single"/>
        </w:rPr>
        <w:t xml:space="preserve">： </w:t>
      </w:r>
    </w:p>
    <w:tbl>
      <w:tblPr>
        <w:tblStyle w:val="7"/>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3"/>
        <w:gridCol w:w="5477"/>
        <w:gridCol w:w="983"/>
        <w:gridCol w:w="1323"/>
        <w:tblGridChange w:id="0">
          <w:tblGrid>
            <w:gridCol w:w="1143"/>
            <w:gridCol w:w="5477"/>
            <w:gridCol w:w="983"/>
            <w:gridCol w:w="1323"/>
          </w:tblGrid>
        </w:tblGridChange>
      </w:tblGrid>
      <w:tr w14:paraId="6BE86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620" w:type="dxa"/>
            <w:gridSpan w:val="2"/>
            <w:shd w:val="clear" w:color="auto" w:fill="auto"/>
            <w:vAlign w:val="center"/>
          </w:tcPr>
          <w:p w14:paraId="38BDDB92">
            <w:pPr>
              <w:spacing w:line="276" w:lineRule="auto"/>
              <w:jc w:val="center"/>
              <w:rPr>
                <w:rFonts w:asciiTheme="minorEastAsia" w:hAnsiTheme="minorEastAsia" w:eastAsiaTheme="minorEastAsia"/>
                <w:b/>
              </w:rPr>
            </w:pPr>
            <w:r>
              <w:rPr>
                <w:rFonts w:hint="eastAsia" w:asciiTheme="minorEastAsia" w:hAnsiTheme="minorEastAsia" w:eastAsiaTheme="minorEastAsia"/>
                <w:b/>
              </w:rPr>
              <w:t>项目</w:t>
            </w:r>
          </w:p>
        </w:tc>
        <w:tc>
          <w:tcPr>
            <w:tcW w:w="983" w:type="dxa"/>
            <w:shd w:val="clear" w:color="auto" w:fill="auto"/>
            <w:vAlign w:val="center"/>
          </w:tcPr>
          <w:p w14:paraId="1DF78776">
            <w:pPr>
              <w:spacing w:line="276" w:lineRule="auto"/>
              <w:jc w:val="center"/>
              <w:rPr>
                <w:b/>
                <w:color w:val="000000"/>
              </w:rPr>
            </w:pPr>
            <w:r>
              <w:rPr>
                <w:b/>
                <w:color w:val="000000"/>
              </w:rPr>
              <w:t>是否</w:t>
            </w:r>
          </w:p>
          <w:p w14:paraId="2B083F42">
            <w:pPr>
              <w:spacing w:line="276" w:lineRule="auto"/>
              <w:jc w:val="center"/>
              <w:rPr>
                <w:b/>
                <w:color w:val="000000"/>
              </w:rPr>
            </w:pPr>
            <w:r>
              <w:rPr>
                <w:b/>
                <w:color w:val="000000"/>
              </w:rPr>
              <w:t>符合</w:t>
            </w:r>
          </w:p>
        </w:tc>
        <w:tc>
          <w:tcPr>
            <w:tcW w:w="1323" w:type="dxa"/>
            <w:shd w:val="clear" w:color="auto" w:fill="auto"/>
            <w:vAlign w:val="center"/>
          </w:tcPr>
          <w:p w14:paraId="736E6CFC">
            <w:pPr>
              <w:spacing w:line="276" w:lineRule="auto"/>
              <w:jc w:val="center"/>
              <w:rPr>
                <w:b/>
                <w:color w:val="000000"/>
              </w:rPr>
            </w:pPr>
            <w:r>
              <w:rPr>
                <w:b/>
                <w:color w:val="000000"/>
              </w:rPr>
              <w:t>备注</w:t>
            </w:r>
          </w:p>
        </w:tc>
      </w:tr>
      <w:tr w14:paraId="4C1D8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8926" w:type="dxa"/>
            <w:gridSpan w:val="4"/>
            <w:shd w:val="clear" w:color="auto" w:fill="auto"/>
            <w:vAlign w:val="center"/>
          </w:tcPr>
          <w:p w14:paraId="014E8888">
            <w:pPr>
              <w:rPr>
                <w:rFonts w:cs="Arial" w:asciiTheme="minorEastAsia" w:hAnsiTheme="minorEastAsia" w:eastAsiaTheme="minorEastAsia"/>
                <w:b/>
                <w:color w:val="000000"/>
                <w:szCs w:val="21"/>
              </w:rPr>
            </w:pPr>
            <w:r>
              <w:rPr>
                <w:rFonts w:cs="Arial" w:asciiTheme="minorEastAsia" w:hAnsiTheme="minorEastAsia" w:eastAsiaTheme="minorEastAsia"/>
                <w:b/>
                <w:color w:val="000000"/>
                <w:szCs w:val="21"/>
              </w:rPr>
              <w:t>一</w:t>
            </w:r>
            <w:r>
              <w:rPr>
                <w:rFonts w:hint="eastAsia" w:cs="Arial" w:asciiTheme="minorEastAsia" w:hAnsiTheme="minorEastAsia" w:eastAsiaTheme="minorEastAsia"/>
                <w:b/>
                <w:color w:val="000000"/>
                <w:szCs w:val="21"/>
              </w:rPr>
              <w:t>、</w:t>
            </w:r>
            <w:r>
              <w:rPr>
                <w:rFonts w:cs="Arial" w:asciiTheme="minorEastAsia" w:hAnsiTheme="minorEastAsia" w:eastAsiaTheme="minorEastAsia"/>
                <w:b/>
                <w:color w:val="000000"/>
                <w:szCs w:val="21"/>
              </w:rPr>
              <w:t>子基金应符合以下条件</w:t>
            </w:r>
            <w:r>
              <w:rPr>
                <w:rFonts w:hint="eastAsia" w:cs="Arial" w:asciiTheme="minorEastAsia" w:hAnsiTheme="minorEastAsia" w:eastAsiaTheme="minorEastAsia"/>
                <w:b/>
                <w:color w:val="000000"/>
                <w:szCs w:val="21"/>
              </w:rPr>
              <w:t>：</w:t>
            </w:r>
          </w:p>
        </w:tc>
      </w:tr>
      <w:tr w14:paraId="2147B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43" w:type="dxa"/>
            <w:shd w:val="clear" w:color="auto" w:fill="auto"/>
            <w:vAlign w:val="center"/>
          </w:tcPr>
          <w:p w14:paraId="612578A3">
            <w:pPr>
              <w:spacing w:line="276" w:lineRule="auto"/>
              <w:jc w:val="center"/>
              <w:rPr>
                <w:rFonts w:asciiTheme="minorEastAsia" w:hAnsiTheme="minorEastAsia" w:eastAsiaTheme="minorEastAsia"/>
              </w:rPr>
            </w:pPr>
            <w:r>
              <w:rPr>
                <w:rFonts w:hint="eastAsia" w:asciiTheme="minorEastAsia" w:hAnsiTheme="minorEastAsia" w:eastAsiaTheme="minorEastAsia"/>
              </w:rPr>
              <w:t>注册地</w:t>
            </w:r>
          </w:p>
        </w:tc>
        <w:tc>
          <w:tcPr>
            <w:tcW w:w="5477" w:type="dxa"/>
            <w:shd w:val="clear" w:color="auto" w:fill="auto"/>
            <w:vAlign w:val="center"/>
          </w:tcPr>
          <w:p w14:paraId="53B9106F">
            <w:pPr>
              <w:spacing w:line="276" w:lineRule="auto"/>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湖北省</w:t>
            </w:r>
          </w:p>
        </w:tc>
        <w:tc>
          <w:tcPr>
            <w:tcW w:w="983" w:type="dxa"/>
            <w:shd w:val="clear" w:color="auto" w:fill="auto"/>
            <w:vAlign w:val="center"/>
          </w:tcPr>
          <w:p w14:paraId="175EA1E5">
            <w:pPr>
              <w:jc w:val="center"/>
              <w:rPr>
                <w:rFonts w:cs="Arial"/>
                <w:b/>
                <w:color w:val="000000"/>
                <w:szCs w:val="21"/>
              </w:rPr>
            </w:pPr>
          </w:p>
        </w:tc>
        <w:tc>
          <w:tcPr>
            <w:tcW w:w="1323" w:type="dxa"/>
            <w:shd w:val="clear" w:color="auto" w:fill="auto"/>
            <w:vAlign w:val="center"/>
          </w:tcPr>
          <w:p w14:paraId="5C642CE8">
            <w:pPr>
              <w:rPr>
                <w:rFonts w:cs="Arial"/>
                <w:b/>
                <w:color w:val="000000"/>
                <w:szCs w:val="21"/>
              </w:rPr>
            </w:pPr>
          </w:p>
        </w:tc>
      </w:tr>
      <w:tr w14:paraId="2962E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43" w:type="dxa"/>
            <w:shd w:val="clear" w:color="auto" w:fill="auto"/>
            <w:vAlign w:val="center"/>
          </w:tcPr>
          <w:p w14:paraId="18543992">
            <w:pPr>
              <w:spacing w:line="276" w:lineRule="auto"/>
              <w:jc w:val="center"/>
              <w:rPr>
                <w:rFonts w:asciiTheme="minorEastAsia" w:hAnsiTheme="minorEastAsia" w:eastAsiaTheme="minorEastAsia"/>
              </w:rPr>
            </w:pPr>
            <w:r>
              <w:rPr>
                <w:rFonts w:hint="eastAsia" w:asciiTheme="minorEastAsia" w:hAnsiTheme="minorEastAsia" w:eastAsiaTheme="minorEastAsia"/>
              </w:rPr>
              <w:t>基金类型</w:t>
            </w:r>
          </w:p>
        </w:tc>
        <w:tc>
          <w:tcPr>
            <w:tcW w:w="5477" w:type="dxa"/>
            <w:shd w:val="clear" w:color="auto" w:fill="auto"/>
            <w:vAlign w:val="center"/>
          </w:tcPr>
          <w:p w14:paraId="4391792B">
            <w:pPr>
              <w:spacing w:line="276" w:lineRule="auto"/>
              <w:rPr>
                <w:rFonts w:hint="eastAsia" w:asciiTheme="minorEastAsia" w:hAnsiTheme="minorEastAsia" w:eastAsiaTheme="minorEastAsia"/>
                <w:lang w:eastAsia="zh-CN"/>
              </w:rPr>
            </w:pPr>
            <w:r>
              <w:rPr>
                <w:rFonts w:hint="eastAsia" w:asciiTheme="minorEastAsia" w:hAnsiTheme="minorEastAsia" w:eastAsiaTheme="minorEastAsia"/>
                <w:lang w:eastAsia="zh-CN"/>
              </w:rPr>
              <w:t>子基金</w:t>
            </w:r>
          </w:p>
        </w:tc>
        <w:tc>
          <w:tcPr>
            <w:tcW w:w="983" w:type="dxa"/>
            <w:shd w:val="clear" w:color="auto" w:fill="auto"/>
            <w:vAlign w:val="center"/>
          </w:tcPr>
          <w:p w14:paraId="0134FF46">
            <w:pPr>
              <w:jc w:val="center"/>
              <w:rPr>
                <w:rFonts w:cs="Arial"/>
                <w:b/>
                <w:color w:val="000000"/>
                <w:szCs w:val="21"/>
              </w:rPr>
            </w:pPr>
          </w:p>
        </w:tc>
        <w:tc>
          <w:tcPr>
            <w:tcW w:w="1323" w:type="dxa"/>
            <w:shd w:val="clear" w:color="auto" w:fill="auto"/>
            <w:vAlign w:val="center"/>
          </w:tcPr>
          <w:p w14:paraId="406B1F0F">
            <w:pPr>
              <w:rPr>
                <w:rFonts w:cs="Arial"/>
                <w:b/>
                <w:color w:val="000000"/>
                <w:szCs w:val="21"/>
              </w:rPr>
            </w:pPr>
          </w:p>
        </w:tc>
      </w:tr>
      <w:tr w14:paraId="4A0FD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1143" w:type="dxa"/>
            <w:shd w:val="clear" w:color="auto" w:fill="auto"/>
            <w:vAlign w:val="center"/>
          </w:tcPr>
          <w:p w14:paraId="5A2C3F4F">
            <w:pPr>
              <w:spacing w:line="276" w:lineRule="auto"/>
              <w:jc w:val="center"/>
              <w:rPr>
                <w:rFonts w:asciiTheme="minorEastAsia" w:hAnsiTheme="minorEastAsia" w:eastAsiaTheme="minorEastAsia"/>
              </w:rPr>
            </w:pPr>
            <w:r>
              <w:rPr>
                <w:rFonts w:hint="eastAsia" w:asciiTheme="minorEastAsia" w:hAnsiTheme="minorEastAsia" w:eastAsiaTheme="minorEastAsia"/>
              </w:rPr>
              <w:t>基金规模</w:t>
            </w:r>
          </w:p>
        </w:tc>
        <w:tc>
          <w:tcPr>
            <w:tcW w:w="5477" w:type="dxa"/>
            <w:shd w:val="clear" w:color="auto" w:fill="auto"/>
            <w:vAlign w:val="center"/>
          </w:tcPr>
          <w:p w14:paraId="3516B353">
            <w:pPr>
              <w:spacing w:line="276" w:lineRule="auto"/>
              <w:rPr>
                <w:rFonts w:asciiTheme="minorEastAsia" w:hAnsiTheme="minorEastAsia" w:eastAsiaTheme="minorEastAsia"/>
                <w:szCs w:val="21"/>
              </w:rPr>
            </w:pPr>
            <w:r>
              <w:rPr>
                <w:rFonts w:hint="eastAsia" w:asciiTheme="minorEastAsia" w:hAnsiTheme="minorEastAsia" w:eastAsiaTheme="minorEastAsia"/>
              </w:rPr>
              <w:t>基金</w:t>
            </w:r>
            <w:r>
              <w:rPr>
                <w:rFonts w:hint="eastAsia" w:asciiTheme="minorEastAsia" w:hAnsiTheme="minorEastAsia" w:eastAsiaTheme="minorEastAsia"/>
                <w:szCs w:val="21"/>
              </w:rPr>
              <w:t>规模原则上不少</w:t>
            </w:r>
            <w:r>
              <w:rPr>
                <w:rFonts w:hint="eastAsia" w:asciiTheme="minorEastAsia" w:hAnsiTheme="minorEastAsia" w:eastAsiaTheme="minorEastAsia"/>
                <w:szCs w:val="21"/>
                <w:lang w:eastAsia="zh-CN"/>
              </w:rPr>
              <w:t>于</w:t>
            </w:r>
            <w:r>
              <w:rPr>
                <w:rFonts w:hint="eastAsia" w:asciiTheme="minorEastAsia" w:hAnsiTheme="minorEastAsia" w:eastAsiaTheme="minorEastAsia"/>
                <w:szCs w:val="21"/>
                <w:lang w:val="en-US" w:eastAsia="zh-CN"/>
              </w:rPr>
              <w:t>1亿</w:t>
            </w:r>
            <w:r>
              <w:rPr>
                <w:rFonts w:hint="eastAsia" w:asciiTheme="minorEastAsia" w:hAnsiTheme="minorEastAsia" w:eastAsiaTheme="minorEastAsia"/>
                <w:szCs w:val="21"/>
              </w:rPr>
              <w:t>元人民币</w:t>
            </w:r>
          </w:p>
        </w:tc>
        <w:tc>
          <w:tcPr>
            <w:tcW w:w="983" w:type="dxa"/>
            <w:shd w:val="clear" w:color="auto" w:fill="auto"/>
            <w:vAlign w:val="center"/>
          </w:tcPr>
          <w:p w14:paraId="1A8E5313">
            <w:pPr>
              <w:jc w:val="center"/>
              <w:rPr>
                <w:rFonts w:cs="Arial"/>
                <w:b/>
                <w:color w:val="000000"/>
                <w:szCs w:val="21"/>
              </w:rPr>
            </w:pPr>
          </w:p>
        </w:tc>
        <w:tc>
          <w:tcPr>
            <w:tcW w:w="1323" w:type="dxa"/>
            <w:shd w:val="clear" w:color="auto" w:fill="auto"/>
            <w:vAlign w:val="center"/>
          </w:tcPr>
          <w:p w14:paraId="2CBC213A">
            <w:pPr>
              <w:rPr>
                <w:rFonts w:cs="Arial"/>
                <w:b/>
                <w:color w:val="000000"/>
                <w:szCs w:val="21"/>
              </w:rPr>
            </w:pPr>
          </w:p>
        </w:tc>
      </w:tr>
      <w:tr w14:paraId="1816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1143" w:type="dxa"/>
            <w:shd w:val="clear" w:color="auto" w:fill="auto"/>
            <w:vAlign w:val="center"/>
          </w:tcPr>
          <w:p w14:paraId="50A4F39F">
            <w:pPr>
              <w:spacing w:line="276" w:lineRule="auto"/>
              <w:jc w:val="center"/>
              <w:rPr>
                <w:rFonts w:asciiTheme="minorEastAsia" w:hAnsiTheme="minorEastAsia" w:eastAsiaTheme="minorEastAsia"/>
              </w:rPr>
            </w:pPr>
            <w:r>
              <w:rPr>
                <w:rFonts w:hint="eastAsia" w:asciiTheme="minorEastAsia" w:hAnsiTheme="minorEastAsia" w:eastAsiaTheme="minorEastAsia"/>
              </w:rPr>
              <w:t>存续期限</w:t>
            </w:r>
          </w:p>
        </w:tc>
        <w:tc>
          <w:tcPr>
            <w:tcW w:w="5477" w:type="dxa"/>
            <w:shd w:val="clear" w:color="auto" w:fill="auto"/>
            <w:vAlign w:val="center"/>
          </w:tcPr>
          <w:p w14:paraId="5E797007">
            <w:pPr>
              <w:spacing w:line="276" w:lineRule="auto"/>
              <w:rPr>
                <w:rFonts w:asciiTheme="minorEastAsia" w:hAnsiTheme="minorEastAsia" w:eastAsiaTheme="minorEastAsia"/>
                <w:szCs w:val="21"/>
              </w:rPr>
            </w:pPr>
            <w:r>
              <w:rPr>
                <w:rFonts w:hint="eastAsia" w:asciiTheme="minorEastAsia" w:hAnsiTheme="minorEastAsia" w:eastAsiaTheme="minorEastAsia"/>
              </w:rPr>
              <w:t>基金</w:t>
            </w:r>
            <w:r>
              <w:rPr>
                <w:rFonts w:hint="eastAsia" w:asciiTheme="minorEastAsia" w:hAnsiTheme="minorEastAsia" w:eastAsiaTheme="minorEastAsia"/>
                <w:szCs w:val="21"/>
              </w:rPr>
              <w:t>存续期限原则上不超过</w:t>
            </w:r>
            <w:r>
              <w:rPr>
                <w:rFonts w:hint="eastAsia" w:asciiTheme="minorEastAsia" w:hAnsiTheme="minorEastAsia" w:eastAsiaTheme="minorEastAsia"/>
                <w:szCs w:val="21"/>
                <w:lang w:val="en-US" w:eastAsia="zh-CN"/>
              </w:rPr>
              <w:t>9</w:t>
            </w:r>
            <w:r>
              <w:rPr>
                <w:rFonts w:hint="eastAsia" w:asciiTheme="minorEastAsia" w:hAnsiTheme="minorEastAsia" w:eastAsiaTheme="minorEastAsia"/>
                <w:szCs w:val="21"/>
              </w:rPr>
              <w:t>年</w:t>
            </w:r>
          </w:p>
        </w:tc>
        <w:tc>
          <w:tcPr>
            <w:tcW w:w="983" w:type="dxa"/>
            <w:shd w:val="clear" w:color="auto" w:fill="auto"/>
            <w:vAlign w:val="center"/>
          </w:tcPr>
          <w:p w14:paraId="459BB0C6">
            <w:pPr>
              <w:jc w:val="center"/>
              <w:rPr>
                <w:rFonts w:cs="Arial"/>
                <w:b/>
                <w:color w:val="000000"/>
                <w:szCs w:val="21"/>
              </w:rPr>
            </w:pPr>
          </w:p>
        </w:tc>
        <w:tc>
          <w:tcPr>
            <w:tcW w:w="1323" w:type="dxa"/>
            <w:shd w:val="clear" w:color="auto" w:fill="auto"/>
            <w:vAlign w:val="center"/>
          </w:tcPr>
          <w:p w14:paraId="4FB0B7E5">
            <w:pPr>
              <w:rPr>
                <w:rFonts w:cs="Arial"/>
                <w:b/>
                <w:color w:val="000000"/>
                <w:szCs w:val="21"/>
              </w:rPr>
            </w:pPr>
          </w:p>
        </w:tc>
      </w:tr>
      <w:tr w14:paraId="45EB2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1143" w:type="dxa"/>
            <w:shd w:val="clear" w:color="auto" w:fill="auto"/>
            <w:vAlign w:val="center"/>
          </w:tcPr>
          <w:p w14:paraId="169916B1">
            <w:pPr>
              <w:spacing w:line="276" w:lineRule="auto"/>
              <w:jc w:val="center"/>
              <w:rPr>
                <w:rFonts w:asciiTheme="minorEastAsia" w:hAnsiTheme="minorEastAsia" w:eastAsiaTheme="minorEastAsia"/>
              </w:rPr>
            </w:pPr>
            <w:r>
              <w:rPr>
                <w:rFonts w:hint="eastAsia" w:asciiTheme="minorEastAsia" w:hAnsiTheme="minorEastAsia" w:eastAsiaTheme="minorEastAsia"/>
              </w:rPr>
              <w:t>管理费用</w:t>
            </w:r>
          </w:p>
        </w:tc>
        <w:tc>
          <w:tcPr>
            <w:tcW w:w="5477" w:type="dxa"/>
            <w:shd w:val="clear" w:color="auto" w:fill="auto"/>
            <w:vAlign w:val="center"/>
          </w:tcPr>
          <w:p w14:paraId="1B59F649">
            <w:pPr>
              <w:spacing w:line="276" w:lineRule="auto"/>
              <w:rPr>
                <w:rFonts w:asciiTheme="minorEastAsia" w:hAnsiTheme="minorEastAsia" w:eastAsiaTheme="minorEastAsia"/>
              </w:rPr>
            </w:pPr>
            <w:bookmarkStart w:id="0" w:name="_Hlk853921"/>
            <w:r>
              <w:rPr>
                <w:rFonts w:hint="eastAsia" w:asciiTheme="minorEastAsia" w:hAnsiTheme="minorEastAsia" w:eastAsiaTheme="minorEastAsia"/>
              </w:rPr>
              <w:t>参照市场惯例，</w:t>
            </w:r>
            <w:r>
              <w:rPr>
                <w:rFonts w:hint="eastAsia" w:asciiTheme="minorEastAsia" w:hAnsiTheme="minorEastAsia" w:eastAsiaTheme="minorEastAsia"/>
                <w:lang w:eastAsia="zh-CN"/>
              </w:rPr>
              <w:t>子基金</w:t>
            </w:r>
            <w:r>
              <w:rPr>
                <w:rFonts w:hint="eastAsia" w:asciiTheme="minorEastAsia" w:hAnsiTheme="minorEastAsia" w:eastAsiaTheme="minorEastAsia"/>
              </w:rPr>
              <w:t>投资期内，原则上以实缴出资总额为计算基数；退出期内，以实缴出资总额扣除已退出项目投资本金的余额为计算基数，实际费率每年最高不超过2%，且对湖北文旅基金征收管理费的标准不得高于其他出资人。</w:t>
            </w:r>
            <w:bookmarkEnd w:id="0"/>
          </w:p>
        </w:tc>
        <w:tc>
          <w:tcPr>
            <w:tcW w:w="983" w:type="dxa"/>
            <w:shd w:val="clear" w:color="auto" w:fill="auto"/>
            <w:vAlign w:val="center"/>
          </w:tcPr>
          <w:p w14:paraId="3B68E854">
            <w:pPr>
              <w:jc w:val="center"/>
              <w:rPr>
                <w:rFonts w:cs="Arial"/>
                <w:b/>
                <w:color w:val="000000"/>
                <w:szCs w:val="21"/>
              </w:rPr>
            </w:pPr>
          </w:p>
        </w:tc>
        <w:tc>
          <w:tcPr>
            <w:tcW w:w="1323" w:type="dxa"/>
            <w:shd w:val="clear" w:color="auto" w:fill="auto"/>
            <w:vAlign w:val="center"/>
          </w:tcPr>
          <w:p w14:paraId="511010E1">
            <w:pPr>
              <w:rPr>
                <w:rFonts w:cs="Arial"/>
                <w:b/>
                <w:color w:val="000000"/>
                <w:szCs w:val="21"/>
              </w:rPr>
            </w:pPr>
          </w:p>
        </w:tc>
      </w:tr>
      <w:tr w14:paraId="05836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jc w:val="center"/>
        </w:trPr>
        <w:tc>
          <w:tcPr>
            <w:tcW w:w="1143" w:type="dxa"/>
            <w:shd w:val="clear" w:color="auto" w:fill="auto"/>
            <w:vAlign w:val="center"/>
          </w:tcPr>
          <w:p w14:paraId="676D123F">
            <w:pPr>
              <w:spacing w:line="276" w:lineRule="auto"/>
              <w:jc w:val="center"/>
              <w:rPr>
                <w:rFonts w:asciiTheme="minorEastAsia" w:hAnsiTheme="minorEastAsia" w:eastAsiaTheme="minorEastAsia"/>
              </w:rPr>
            </w:pPr>
            <w:r>
              <w:rPr>
                <w:rFonts w:hint="eastAsia" w:asciiTheme="minorEastAsia" w:hAnsiTheme="minorEastAsia" w:eastAsiaTheme="minorEastAsia"/>
              </w:rPr>
              <w:t>投资</w:t>
            </w:r>
            <w:r>
              <w:rPr>
                <w:rFonts w:hint="eastAsia" w:asciiTheme="minorEastAsia" w:hAnsiTheme="minorEastAsia" w:eastAsiaTheme="minorEastAsia"/>
                <w:lang w:val="en-US" w:eastAsia="zh-CN"/>
              </w:rPr>
              <w:t>限制</w:t>
            </w:r>
          </w:p>
        </w:tc>
        <w:tc>
          <w:tcPr>
            <w:tcW w:w="5477" w:type="dxa"/>
            <w:shd w:val="clear" w:color="auto" w:fill="auto"/>
            <w:vAlign w:val="center"/>
          </w:tcPr>
          <w:p w14:paraId="4556C9E3">
            <w:pPr>
              <w:spacing w:line="276" w:lineRule="auto"/>
              <w:rPr>
                <w:rFonts w:hint="eastAsia" w:asciiTheme="minorEastAsia" w:hAnsiTheme="minorEastAsia" w:eastAsiaTheme="minorEastAsia"/>
                <w:szCs w:val="22"/>
              </w:rPr>
            </w:pPr>
            <w:r>
              <w:rPr>
                <w:rFonts w:hint="eastAsia" w:cs="Times New Roman" w:asciiTheme="minorEastAsia" w:hAnsiTheme="minorEastAsia" w:eastAsiaTheme="minorEastAsia"/>
                <w:sz w:val="21"/>
                <w:szCs w:val="22"/>
                <w:highlight w:val="none"/>
                <w:lang w:eastAsia="zh-CN"/>
              </w:rPr>
              <w:t>子基金投资底层标的企业的，</w:t>
            </w:r>
            <w:r>
              <w:rPr>
                <w:rFonts w:hint="eastAsia" w:cs="Times New Roman" w:asciiTheme="minorEastAsia" w:hAnsiTheme="minorEastAsia" w:eastAsiaTheme="minorEastAsia"/>
                <w:sz w:val="21"/>
                <w:szCs w:val="22"/>
                <w:highlight w:val="none"/>
                <w:lang w:val="en-US" w:eastAsia="zh-CN"/>
              </w:rPr>
              <w:t>原则上湖北文旅</w:t>
            </w:r>
            <w:r>
              <w:rPr>
                <w:rFonts w:hint="eastAsia" w:cs="Times New Roman" w:asciiTheme="minorEastAsia" w:hAnsiTheme="minorEastAsia" w:eastAsiaTheme="minorEastAsia"/>
                <w:sz w:val="21"/>
                <w:szCs w:val="22"/>
                <w:highlight w:val="none"/>
                <w:lang w:eastAsia="zh-CN"/>
              </w:rPr>
              <w:t>基金对底层投资标的企业的持</w:t>
            </w:r>
            <w:r>
              <w:rPr>
                <w:rFonts w:hint="eastAsia" w:cs="Times New Roman" w:asciiTheme="minorEastAsia" w:hAnsiTheme="minorEastAsia" w:eastAsiaTheme="minorEastAsia"/>
                <w:sz w:val="21"/>
                <w:szCs w:val="22"/>
                <w:lang w:eastAsia="zh-CN"/>
              </w:rPr>
              <w:t>股比例不超过被投企业总股本的30%，不得为被投企业的第一大股东；且</w:t>
            </w:r>
            <w:r>
              <w:rPr>
                <w:rFonts w:hint="eastAsia" w:cs="Times New Roman" w:asciiTheme="minorEastAsia" w:hAnsiTheme="minorEastAsia" w:eastAsiaTheme="minorEastAsia"/>
                <w:sz w:val="21"/>
                <w:szCs w:val="22"/>
                <w:lang w:val="en-US" w:eastAsia="zh-CN"/>
              </w:rPr>
              <w:t>湖北文旅</w:t>
            </w:r>
            <w:r>
              <w:rPr>
                <w:rFonts w:hint="eastAsia" w:cs="Times New Roman" w:asciiTheme="minorEastAsia" w:hAnsiTheme="minorEastAsia" w:eastAsiaTheme="minorEastAsia"/>
                <w:sz w:val="21"/>
                <w:szCs w:val="22"/>
                <w:lang w:eastAsia="zh-CN"/>
              </w:rPr>
              <w:t>基金对单个</w:t>
            </w:r>
            <w:r>
              <w:rPr>
                <w:rFonts w:hint="eastAsia" w:cs="Times New Roman" w:asciiTheme="minorEastAsia" w:hAnsiTheme="minorEastAsia" w:eastAsiaTheme="minorEastAsia"/>
                <w:sz w:val="21"/>
                <w:szCs w:val="22"/>
                <w:lang w:val="en-US" w:eastAsia="zh-CN"/>
              </w:rPr>
              <w:t>底层投资</w:t>
            </w:r>
            <w:r>
              <w:rPr>
                <w:rFonts w:hint="eastAsia" w:cs="Times New Roman" w:asciiTheme="minorEastAsia" w:hAnsiTheme="minorEastAsia" w:eastAsiaTheme="minorEastAsia"/>
                <w:sz w:val="21"/>
                <w:szCs w:val="22"/>
                <w:lang w:eastAsia="zh-CN"/>
              </w:rPr>
              <w:t>标的企业的认缴总额不得超过</w:t>
            </w:r>
            <w:r>
              <w:rPr>
                <w:rFonts w:hint="eastAsia" w:asciiTheme="minorEastAsia" w:hAnsiTheme="minorEastAsia" w:eastAsiaTheme="minorEastAsia"/>
                <w:sz w:val="21"/>
                <w:szCs w:val="22"/>
                <w:lang w:val="en-US" w:eastAsia="zh-CN"/>
              </w:rPr>
              <w:t>湖北文旅基金</w:t>
            </w:r>
            <w:r>
              <w:rPr>
                <w:rFonts w:hint="eastAsia" w:asciiTheme="minorEastAsia" w:hAnsiTheme="minorEastAsia" w:eastAsiaTheme="minorEastAsia"/>
                <w:sz w:val="21"/>
                <w:szCs w:val="22"/>
                <w:lang w:val="en-US" w:eastAsia="zh-CN"/>
              </w:rPr>
              <w:t>总</w:t>
            </w:r>
            <w:r>
              <w:rPr>
                <w:rFonts w:hint="eastAsia" w:asciiTheme="minorEastAsia" w:hAnsiTheme="minorEastAsia" w:eastAsiaTheme="minorEastAsia"/>
                <w:sz w:val="21"/>
                <w:szCs w:val="22"/>
                <w:lang w:val="en-US" w:eastAsia="zh-CN"/>
              </w:rPr>
              <w:t>认缴规模的20%</w:t>
            </w:r>
            <w:r>
              <w:rPr>
                <w:rFonts w:hint="eastAsia" w:cs="Times New Roman" w:asciiTheme="minorEastAsia" w:hAnsiTheme="minorEastAsia" w:eastAsiaTheme="minorEastAsia"/>
                <w:sz w:val="21"/>
                <w:szCs w:val="22"/>
                <w:lang w:eastAsia="zh-CN"/>
              </w:rPr>
              <w:t>（如主要参与天使投资，则可放宽至</w:t>
            </w:r>
            <w:r>
              <w:rPr>
                <w:rFonts w:hint="eastAsia" w:cs="Times New Roman" w:asciiTheme="minorEastAsia" w:hAnsiTheme="minorEastAsia" w:eastAsiaTheme="minorEastAsia"/>
                <w:sz w:val="21"/>
                <w:szCs w:val="22"/>
                <w:lang w:val="en-US" w:eastAsia="zh-CN"/>
              </w:rPr>
              <w:t>30%</w:t>
            </w:r>
            <w:r>
              <w:rPr>
                <w:rFonts w:hint="eastAsia" w:cs="Times New Roman" w:asciiTheme="minorEastAsia" w:hAnsiTheme="minorEastAsia" w:eastAsiaTheme="minorEastAsia"/>
                <w:sz w:val="21"/>
                <w:szCs w:val="22"/>
                <w:lang w:eastAsia="zh-CN"/>
              </w:rPr>
              <w:t>）。（</w:t>
            </w:r>
            <w:r>
              <w:rPr>
                <w:rFonts w:hint="eastAsia" w:cs="Times New Roman" w:asciiTheme="minorEastAsia" w:hAnsiTheme="minorEastAsia" w:eastAsiaTheme="minorEastAsia"/>
                <w:sz w:val="21"/>
                <w:szCs w:val="22"/>
                <w:lang w:val="en-US" w:eastAsia="zh-CN"/>
              </w:rPr>
              <w:t>本条投资限制均为穿透累计计算</w:t>
            </w:r>
            <w:r>
              <w:rPr>
                <w:rFonts w:hint="eastAsia" w:cs="Times New Roman" w:asciiTheme="minorEastAsia" w:hAnsiTheme="minorEastAsia" w:eastAsiaTheme="minorEastAsia"/>
                <w:sz w:val="21"/>
                <w:szCs w:val="22"/>
                <w:lang w:eastAsia="zh-CN"/>
              </w:rPr>
              <w:t>）</w:t>
            </w:r>
          </w:p>
        </w:tc>
        <w:tc>
          <w:tcPr>
            <w:tcW w:w="983" w:type="dxa"/>
            <w:shd w:val="clear" w:color="auto" w:fill="auto"/>
            <w:vAlign w:val="center"/>
          </w:tcPr>
          <w:p w14:paraId="7FBF5F0C">
            <w:pPr>
              <w:spacing w:line="276" w:lineRule="auto"/>
              <w:jc w:val="center"/>
              <w:rPr>
                <w:szCs w:val="21"/>
              </w:rPr>
            </w:pPr>
          </w:p>
        </w:tc>
        <w:tc>
          <w:tcPr>
            <w:tcW w:w="1323" w:type="dxa"/>
            <w:shd w:val="clear" w:color="auto" w:fill="auto"/>
            <w:vAlign w:val="center"/>
          </w:tcPr>
          <w:p w14:paraId="463DA8CE">
            <w:pPr>
              <w:pStyle w:val="9"/>
              <w:spacing w:line="276" w:lineRule="auto"/>
              <w:ind w:left="360" w:firstLine="0" w:firstLineChars="0"/>
              <w:rPr>
                <w:szCs w:val="21"/>
              </w:rPr>
            </w:pPr>
          </w:p>
        </w:tc>
      </w:tr>
      <w:tr w14:paraId="257DC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1143" w:type="dxa"/>
            <w:shd w:val="clear" w:color="auto" w:fill="auto"/>
            <w:vAlign w:val="center"/>
          </w:tcPr>
          <w:p w14:paraId="4320E140">
            <w:pPr>
              <w:spacing w:line="276" w:lineRule="auto"/>
              <w:jc w:val="center"/>
              <w:rPr>
                <w:rFonts w:asciiTheme="minorEastAsia" w:hAnsiTheme="minorEastAsia" w:eastAsiaTheme="minorEastAsia"/>
              </w:rPr>
            </w:pPr>
            <w:r>
              <w:rPr>
                <w:rFonts w:hint="eastAsia" w:asciiTheme="minorEastAsia" w:hAnsiTheme="minorEastAsia" w:eastAsiaTheme="minorEastAsia"/>
              </w:rPr>
              <w:t>出资比例</w:t>
            </w:r>
          </w:p>
        </w:tc>
        <w:tc>
          <w:tcPr>
            <w:tcW w:w="5477" w:type="dxa"/>
            <w:shd w:val="clear" w:color="auto" w:fill="auto"/>
            <w:vAlign w:val="center"/>
          </w:tcPr>
          <w:p w14:paraId="118B4BAA">
            <w:pPr>
              <w:spacing w:line="276" w:lineRule="auto"/>
              <w:rPr>
                <w:rFonts w:hint="eastAsia" w:asciiTheme="minorEastAsia" w:hAnsiTheme="minorEastAsia" w:eastAsiaTheme="minorEastAsia"/>
                <w:szCs w:val="21"/>
                <w:lang w:eastAsia="zh-CN"/>
              </w:rPr>
            </w:pPr>
            <w:r>
              <w:rPr>
                <w:rFonts w:hint="eastAsia" w:cs="Times New Roman" w:asciiTheme="minorEastAsia" w:hAnsiTheme="minorEastAsia" w:eastAsiaTheme="minorEastAsia"/>
                <w:szCs w:val="21"/>
                <w:lang w:eastAsia="zh-CN"/>
              </w:rPr>
              <w:t>子基金</w:t>
            </w:r>
            <w:r>
              <w:rPr>
                <w:rFonts w:hint="eastAsia" w:cs="Times New Roman" w:asciiTheme="minorEastAsia" w:hAnsiTheme="minorEastAsia" w:eastAsiaTheme="minorEastAsia"/>
                <w:szCs w:val="21"/>
              </w:rPr>
              <w:t>向</w:t>
            </w:r>
            <w:r>
              <w:rPr>
                <w:rFonts w:hint="eastAsia" w:cs="Times New Roman" w:asciiTheme="minorEastAsia" w:hAnsiTheme="minorEastAsia" w:eastAsiaTheme="minorEastAsia"/>
                <w:szCs w:val="21"/>
                <w:lang w:eastAsia="zh-CN"/>
              </w:rPr>
              <w:t>湖北文旅基金</w:t>
            </w:r>
            <w:r>
              <w:rPr>
                <w:rFonts w:hint="eastAsia" w:cs="Times New Roman" w:asciiTheme="minorEastAsia" w:hAnsiTheme="minorEastAsia" w:eastAsiaTheme="minorEastAsia"/>
                <w:szCs w:val="21"/>
              </w:rPr>
              <w:t>申请的</w:t>
            </w:r>
            <w:r>
              <w:rPr>
                <w:rFonts w:hint="eastAsia" w:cs="Times New Roman" w:asciiTheme="minorEastAsia" w:hAnsiTheme="minorEastAsia" w:eastAsiaTheme="minorEastAsia"/>
                <w:szCs w:val="21"/>
                <w:lang w:val="en-US" w:eastAsia="zh-CN"/>
              </w:rPr>
              <w:t>认缴总额不得超过</w:t>
            </w:r>
            <w:bookmarkStart w:id="1" w:name="OLE_LINK1"/>
            <w:r>
              <w:rPr>
                <w:rFonts w:hint="eastAsia" w:cs="Times New Roman" w:asciiTheme="minorEastAsia" w:hAnsiTheme="minorEastAsia" w:eastAsiaTheme="minorEastAsia"/>
                <w:szCs w:val="21"/>
                <w:lang w:val="en-US" w:eastAsia="zh-CN"/>
              </w:rPr>
              <w:t>湖北文旅基金认缴规模的20%（</w:t>
            </w:r>
            <w:bookmarkEnd w:id="1"/>
            <w:r>
              <w:rPr>
                <w:rFonts w:hint="eastAsia" w:cs="Times New Roman" w:asciiTheme="minorEastAsia" w:hAnsiTheme="minorEastAsia" w:eastAsiaTheme="minorEastAsia"/>
                <w:szCs w:val="21"/>
                <w:lang w:eastAsia="zh-CN"/>
              </w:rPr>
              <w:t>如主要参与天使投资，则可放宽至</w:t>
            </w:r>
            <w:r>
              <w:rPr>
                <w:rFonts w:hint="eastAsia" w:cs="Times New Roman" w:asciiTheme="minorEastAsia" w:hAnsiTheme="minorEastAsia" w:eastAsiaTheme="minorEastAsia"/>
                <w:szCs w:val="21"/>
                <w:lang w:val="en-US" w:eastAsia="zh-CN"/>
              </w:rPr>
              <w:t>30%）；湖北文旅基金对子基金的</w:t>
            </w:r>
            <w:r>
              <w:rPr>
                <w:rFonts w:hint="eastAsia" w:cs="Times New Roman" w:asciiTheme="minorEastAsia" w:hAnsiTheme="minorEastAsia" w:eastAsiaTheme="minorEastAsia"/>
                <w:szCs w:val="21"/>
              </w:rPr>
              <w:t>出资比例原则上不超过该</w:t>
            </w:r>
            <w:r>
              <w:rPr>
                <w:rFonts w:hint="eastAsia" w:cs="Times New Roman" w:asciiTheme="minorEastAsia" w:hAnsiTheme="minorEastAsia" w:eastAsiaTheme="minorEastAsia"/>
                <w:szCs w:val="21"/>
                <w:lang w:val="en-US" w:eastAsia="zh-CN"/>
              </w:rPr>
              <w:t>子</w:t>
            </w:r>
            <w:r>
              <w:rPr>
                <w:rFonts w:hint="eastAsia" w:cs="Times New Roman" w:asciiTheme="minorEastAsia" w:hAnsiTheme="minorEastAsia" w:eastAsiaTheme="minorEastAsia"/>
                <w:szCs w:val="21"/>
              </w:rPr>
              <w:t>基金</w:t>
            </w:r>
            <w:r>
              <w:rPr>
                <w:rFonts w:hint="eastAsia" w:cs="Times New Roman" w:asciiTheme="minorEastAsia" w:hAnsiTheme="minorEastAsia" w:eastAsiaTheme="minorEastAsia"/>
                <w:szCs w:val="21"/>
                <w:lang w:eastAsia="zh-CN"/>
              </w:rPr>
              <w:t>总</w:t>
            </w:r>
            <w:r>
              <w:rPr>
                <w:rFonts w:hint="eastAsia" w:cs="Times New Roman" w:asciiTheme="minorEastAsia" w:hAnsiTheme="minorEastAsia" w:eastAsiaTheme="minorEastAsia"/>
                <w:szCs w:val="21"/>
                <w:lang w:val="en-US" w:eastAsia="zh-CN"/>
              </w:rPr>
              <w:t>认缴</w:t>
            </w:r>
            <w:r>
              <w:rPr>
                <w:rFonts w:hint="eastAsia" w:cs="Times New Roman" w:asciiTheme="minorEastAsia" w:hAnsiTheme="minorEastAsia" w:eastAsiaTheme="minorEastAsia"/>
                <w:szCs w:val="21"/>
                <w:lang w:eastAsia="zh-CN"/>
              </w:rPr>
              <w:t>规模的</w:t>
            </w:r>
            <w:r>
              <w:rPr>
                <w:rFonts w:hint="eastAsia" w:cs="Times New Roman" w:asciiTheme="minorEastAsia" w:hAnsiTheme="minorEastAsia" w:eastAsiaTheme="minorEastAsia"/>
                <w:szCs w:val="21"/>
                <w:lang w:val="en-US" w:eastAsia="zh-CN"/>
              </w:rPr>
              <w:t>5</w:t>
            </w:r>
            <w:r>
              <w:rPr>
                <w:rFonts w:hint="eastAsia" w:cs="Times New Roman" w:asciiTheme="minorEastAsia" w:hAnsiTheme="minorEastAsia" w:eastAsiaTheme="minorEastAsia"/>
                <w:szCs w:val="21"/>
                <w:lang w:eastAsia="zh-CN"/>
              </w:rPr>
              <w:t>0%，</w:t>
            </w:r>
            <w:r>
              <w:rPr>
                <w:rFonts w:hint="eastAsia" w:cs="Times New Roman" w:asciiTheme="minorEastAsia" w:hAnsiTheme="minorEastAsia" w:eastAsiaTheme="minorEastAsia"/>
                <w:szCs w:val="21"/>
                <w:lang w:val="en-US" w:eastAsia="zh-CN"/>
              </w:rPr>
              <w:t>不得为子基金的</w:t>
            </w:r>
            <w:r>
              <w:rPr>
                <w:rFonts w:hint="eastAsia" w:cs="Times New Roman" w:asciiTheme="minorEastAsia" w:hAnsiTheme="minorEastAsia" w:eastAsiaTheme="minorEastAsia"/>
                <w:szCs w:val="21"/>
                <w:lang w:eastAsia="zh-CN"/>
              </w:rPr>
              <w:t>第一大份额合伙人</w:t>
            </w:r>
            <w:r>
              <w:rPr>
                <w:rFonts w:hint="eastAsia" w:cs="Times New Roman" w:asciiTheme="minorEastAsia" w:hAnsiTheme="minorEastAsia" w:eastAsiaTheme="minorEastAsia"/>
                <w:szCs w:val="21"/>
              </w:rPr>
              <w:t>。</w:t>
            </w:r>
          </w:p>
        </w:tc>
        <w:tc>
          <w:tcPr>
            <w:tcW w:w="983" w:type="dxa"/>
            <w:shd w:val="clear" w:color="auto" w:fill="auto"/>
            <w:vAlign w:val="center"/>
          </w:tcPr>
          <w:p w14:paraId="58857C8D">
            <w:pPr>
              <w:spacing w:line="276" w:lineRule="auto"/>
              <w:jc w:val="center"/>
              <w:rPr>
                <w:rFonts w:ascii="宋体" w:hAnsi="宋体"/>
                <w:color w:val="000000"/>
                <w:szCs w:val="21"/>
              </w:rPr>
            </w:pPr>
          </w:p>
        </w:tc>
        <w:tc>
          <w:tcPr>
            <w:tcW w:w="1323" w:type="dxa"/>
            <w:shd w:val="clear" w:color="auto" w:fill="auto"/>
            <w:vAlign w:val="center"/>
          </w:tcPr>
          <w:p w14:paraId="5D6E0B38">
            <w:pPr>
              <w:spacing w:line="276" w:lineRule="auto"/>
              <w:rPr>
                <w:rFonts w:ascii="宋体" w:hAnsi="宋体"/>
                <w:color w:val="000000"/>
                <w:szCs w:val="21"/>
              </w:rPr>
            </w:pPr>
          </w:p>
        </w:tc>
      </w:tr>
      <w:tr w14:paraId="00CE0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1143" w:type="dxa"/>
            <w:shd w:val="clear" w:color="auto" w:fill="auto"/>
            <w:vAlign w:val="center"/>
          </w:tcPr>
          <w:p w14:paraId="4851BAEF">
            <w:pPr>
              <w:spacing w:line="276" w:lineRule="auto"/>
              <w:jc w:val="center"/>
              <w:rPr>
                <w:rFonts w:asciiTheme="minorEastAsia" w:hAnsiTheme="minorEastAsia" w:eastAsiaTheme="minorEastAsia"/>
              </w:rPr>
            </w:pPr>
            <w:r>
              <w:rPr>
                <w:rFonts w:hint="eastAsia" w:asciiTheme="minorEastAsia" w:hAnsiTheme="minorEastAsia" w:eastAsiaTheme="minorEastAsia"/>
              </w:rPr>
              <w:t>出资条件</w:t>
            </w:r>
          </w:p>
        </w:tc>
        <w:tc>
          <w:tcPr>
            <w:tcW w:w="5477" w:type="dxa"/>
            <w:shd w:val="clear" w:color="auto" w:fill="auto"/>
            <w:vAlign w:val="center"/>
          </w:tcPr>
          <w:p w14:paraId="5B98CA9A">
            <w:pPr>
              <w:spacing w:line="276" w:lineRule="auto"/>
              <w:rPr>
                <w:rFonts w:asciiTheme="minorEastAsia" w:hAnsiTheme="minorEastAsia" w:eastAsiaTheme="minorEastAsia"/>
              </w:rPr>
            </w:pPr>
            <w:r>
              <w:rPr>
                <w:rFonts w:hint="eastAsia" w:asciiTheme="minorEastAsia" w:hAnsiTheme="minorEastAsia" w:eastAsiaTheme="minorEastAsia"/>
                <w:sz w:val="21"/>
                <w:szCs w:val="21"/>
              </w:rPr>
              <w:t>向子基金出资时，</w:t>
            </w:r>
            <w:r>
              <w:rPr>
                <w:rFonts w:hint="eastAsia" w:asciiTheme="minorEastAsia" w:hAnsiTheme="minorEastAsia" w:eastAsiaTheme="minorEastAsia"/>
                <w:sz w:val="21"/>
                <w:szCs w:val="21"/>
                <w:lang w:val="en-US" w:eastAsia="zh-CN"/>
              </w:rPr>
              <w:t>原则上子基金其他社会出资方（不含政府引导基金）合伙人当期出资</w:t>
            </w:r>
            <w:r>
              <w:rPr>
                <w:rFonts w:hint="eastAsia" w:asciiTheme="minorEastAsia" w:hAnsiTheme="minorEastAsia" w:eastAsiaTheme="minorEastAsia"/>
                <w:sz w:val="21"/>
                <w:szCs w:val="21"/>
              </w:rPr>
              <w:t>到位后，</w:t>
            </w:r>
            <w:r>
              <w:rPr>
                <w:rFonts w:hint="eastAsia" w:cs="Times New Roman" w:asciiTheme="minorEastAsia" w:hAnsiTheme="minorEastAsia" w:eastAsiaTheme="minorEastAsia"/>
                <w:kern w:val="2"/>
                <w:sz w:val="21"/>
                <w:szCs w:val="21"/>
                <w:lang w:eastAsia="zh-CN"/>
              </w:rPr>
              <w:t>湖北文旅基金</w:t>
            </w:r>
            <w:r>
              <w:rPr>
                <w:rFonts w:hint="eastAsia" w:asciiTheme="minorEastAsia" w:hAnsiTheme="minorEastAsia" w:eastAsiaTheme="minorEastAsia"/>
                <w:sz w:val="21"/>
                <w:szCs w:val="21"/>
              </w:rPr>
              <w:t>可按基金合同、合伙协议或公司章程</w:t>
            </w:r>
            <w:r>
              <w:rPr>
                <w:rFonts w:hint="eastAsia" w:asciiTheme="minorEastAsia" w:hAnsiTheme="minorEastAsia" w:eastAsiaTheme="minorEastAsia"/>
                <w:sz w:val="21"/>
                <w:szCs w:val="21"/>
                <w:lang w:val="en-US" w:eastAsia="zh-CN"/>
              </w:rPr>
              <w:t>约</w:t>
            </w:r>
            <w:r>
              <w:rPr>
                <w:rFonts w:hint="eastAsia" w:asciiTheme="minorEastAsia" w:hAnsiTheme="minorEastAsia" w:eastAsiaTheme="minorEastAsia"/>
                <w:sz w:val="21"/>
                <w:szCs w:val="21"/>
              </w:rPr>
              <w:t>定将出资额拨付至子基金账户。</w:t>
            </w:r>
          </w:p>
        </w:tc>
        <w:tc>
          <w:tcPr>
            <w:tcW w:w="983" w:type="dxa"/>
            <w:shd w:val="clear" w:color="auto" w:fill="auto"/>
            <w:vAlign w:val="center"/>
          </w:tcPr>
          <w:p w14:paraId="284F281A">
            <w:pPr>
              <w:spacing w:line="276" w:lineRule="auto"/>
              <w:jc w:val="center"/>
              <w:rPr>
                <w:rFonts w:ascii="宋体" w:hAnsi="宋体"/>
                <w:color w:val="000000"/>
                <w:szCs w:val="21"/>
              </w:rPr>
            </w:pPr>
          </w:p>
        </w:tc>
        <w:tc>
          <w:tcPr>
            <w:tcW w:w="1323" w:type="dxa"/>
            <w:shd w:val="clear" w:color="auto" w:fill="auto"/>
            <w:vAlign w:val="center"/>
          </w:tcPr>
          <w:p w14:paraId="29BE7415">
            <w:pPr>
              <w:spacing w:line="276" w:lineRule="auto"/>
              <w:rPr>
                <w:rFonts w:ascii="宋体" w:hAnsi="宋体"/>
                <w:color w:val="000000"/>
                <w:szCs w:val="21"/>
              </w:rPr>
            </w:pPr>
          </w:p>
        </w:tc>
      </w:tr>
      <w:tr w14:paraId="59CE8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1143" w:type="dxa"/>
            <w:shd w:val="clear" w:color="auto" w:fill="auto"/>
            <w:vAlign w:val="center"/>
          </w:tcPr>
          <w:p w14:paraId="7B418BE8">
            <w:pPr>
              <w:spacing w:line="276" w:lineRule="auto"/>
              <w:jc w:val="center"/>
              <w:rPr>
                <w:rFonts w:asciiTheme="minorEastAsia" w:hAnsiTheme="minorEastAsia" w:eastAsiaTheme="minorEastAsia"/>
              </w:rPr>
            </w:pPr>
            <w:r>
              <w:rPr>
                <w:rFonts w:hint="eastAsia" w:asciiTheme="minorEastAsia" w:hAnsiTheme="minorEastAsia" w:eastAsiaTheme="minorEastAsia"/>
              </w:rPr>
              <w:t>收益分配</w:t>
            </w:r>
          </w:p>
        </w:tc>
        <w:tc>
          <w:tcPr>
            <w:tcW w:w="5477" w:type="dxa"/>
            <w:shd w:val="clear" w:color="auto" w:fill="auto"/>
            <w:vAlign w:val="center"/>
          </w:tcPr>
          <w:p w14:paraId="6E1B0EFF">
            <w:pPr>
              <w:spacing w:line="276" w:lineRule="auto"/>
              <w:rPr>
                <w:rFonts w:asciiTheme="minorEastAsia" w:hAnsiTheme="minorEastAsia" w:eastAsiaTheme="minorEastAsia"/>
                <w:szCs w:val="21"/>
              </w:rPr>
            </w:pPr>
            <w:r>
              <w:rPr>
                <w:rFonts w:hint="eastAsia" w:cs="Times New Roman" w:asciiTheme="minorEastAsia" w:hAnsiTheme="minorEastAsia" w:eastAsiaTheme="minorEastAsia"/>
                <w:szCs w:val="21"/>
                <w:lang w:val="en-US" w:eastAsia="zh-CN"/>
              </w:rPr>
              <w:t>子基金退出期内，投资回收资金原则上不得再用于对外投资，并在约定条件及时间内分配、收回资金。收益分配优先采用“整体先回本后分利”方式，按具体项目进行收益分配时，子基金管理机构收取的收益分成应当设置相应的“钩回机制”。</w:t>
            </w:r>
          </w:p>
        </w:tc>
        <w:tc>
          <w:tcPr>
            <w:tcW w:w="983" w:type="dxa"/>
            <w:shd w:val="clear" w:color="auto" w:fill="auto"/>
            <w:vAlign w:val="center"/>
          </w:tcPr>
          <w:p w14:paraId="79BBFC8D">
            <w:pPr>
              <w:spacing w:line="276" w:lineRule="auto"/>
              <w:jc w:val="center"/>
              <w:rPr>
                <w:rFonts w:ascii="宋体" w:hAnsi="宋体"/>
                <w:color w:val="000000"/>
                <w:szCs w:val="21"/>
              </w:rPr>
            </w:pPr>
          </w:p>
        </w:tc>
        <w:tc>
          <w:tcPr>
            <w:tcW w:w="1323" w:type="dxa"/>
            <w:shd w:val="clear" w:color="auto" w:fill="auto"/>
            <w:vAlign w:val="center"/>
          </w:tcPr>
          <w:p w14:paraId="69A20482">
            <w:pPr>
              <w:spacing w:line="276" w:lineRule="auto"/>
              <w:rPr>
                <w:rFonts w:ascii="宋体" w:hAnsi="宋体"/>
                <w:color w:val="000000"/>
                <w:szCs w:val="21"/>
              </w:rPr>
            </w:pPr>
          </w:p>
        </w:tc>
      </w:tr>
      <w:tr w14:paraId="387D3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1143" w:type="dxa"/>
            <w:shd w:val="clear" w:color="auto" w:fill="auto"/>
            <w:vAlign w:val="center"/>
          </w:tcPr>
          <w:p w14:paraId="6823FD45">
            <w:pPr>
              <w:spacing w:line="276" w:lineRule="auto"/>
              <w:jc w:val="center"/>
              <w:rPr>
                <w:rFonts w:asciiTheme="minorEastAsia" w:hAnsiTheme="minorEastAsia" w:eastAsiaTheme="minorEastAsia"/>
              </w:rPr>
            </w:pPr>
            <w:r>
              <w:rPr>
                <w:rFonts w:hint="eastAsia" w:asciiTheme="minorEastAsia" w:hAnsiTheme="minorEastAsia" w:eastAsiaTheme="minorEastAsia"/>
              </w:rPr>
              <w:t>亏损承担</w:t>
            </w:r>
          </w:p>
        </w:tc>
        <w:tc>
          <w:tcPr>
            <w:tcW w:w="5477" w:type="dxa"/>
            <w:shd w:val="clear" w:color="auto" w:fill="auto"/>
            <w:vAlign w:val="center"/>
          </w:tcPr>
          <w:p w14:paraId="399529C2">
            <w:pPr>
              <w:spacing w:line="276" w:lineRule="auto"/>
              <w:rPr>
                <w:rFonts w:asciiTheme="minorEastAsia" w:hAnsiTheme="minorEastAsia" w:eastAsiaTheme="minorEastAsia"/>
                <w:szCs w:val="21"/>
              </w:rPr>
            </w:pPr>
            <w:r>
              <w:rPr>
                <w:rFonts w:hint="eastAsia" w:cs="Times New Roman" w:asciiTheme="minorEastAsia" w:hAnsiTheme="minorEastAsia" w:eastAsiaTheme="minorEastAsia"/>
                <w:szCs w:val="21"/>
                <w:lang w:val="en-US" w:eastAsia="zh-CN"/>
              </w:rPr>
              <w:t>子基金清算出现亏损时，应按基金合同、合伙协议或公司章程约定的比例由子基金管理机构和各出资人分别承担，湖北文旅基金应以出资额为限承担有限责任。</w:t>
            </w:r>
          </w:p>
        </w:tc>
        <w:tc>
          <w:tcPr>
            <w:tcW w:w="983" w:type="dxa"/>
            <w:shd w:val="clear" w:color="auto" w:fill="auto"/>
            <w:vAlign w:val="center"/>
          </w:tcPr>
          <w:p w14:paraId="639A36FA">
            <w:pPr>
              <w:spacing w:line="276" w:lineRule="auto"/>
              <w:jc w:val="center"/>
              <w:rPr>
                <w:rFonts w:ascii="宋体" w:hAnsi="宋体"/>
                <w:color w:val="000000"/>
                <w:szCs w:val="21"/>
              </w:rPr>
            </w:pPr>
          </w:p>
        </w:tc>
        <w:tc>
          <w:tcPr>
            <w:tcW w:w="1323" w:type="dxa"/>
            <w:shd w:val="clear" w:color="auto" w:fill="auto"/>
            <w:vAlign w:val="center"/>
          </w:tcPr>
          <w:p w14:paraId="40B04841">
            <w:pPr>
              <w:spacing w:line="276" w:lineRule="auto"/>
              <w:rPr>
                <w:rFonts w:ascii="宋体" w:hAnsi="宋体"/>
                <w:color w:val="000000"/>
                <w:szCs w:val="21"/>
              </w:rPr>
            </w:pPr>
          </w:p>
        </w:tc>
      </w:tr>
      <w:tr w14:paraId="7D28A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8926" w:type="dxa"/>
            <w:gridSpan w:val="4"/>
            <w:shd w:val="clear" w:color="auto" w:fill="auto"/>
            <w:vAlign w:val="center"/>
          </w:tcPr>
          <w:p w14:paraId="20DBB89A">
            <w:pPr>
              <w:spacing w:line="276" w:lineRule="auto"/>
              <w:jc w:val="left"/>
              <w:rPr>
                <w:rFonts w:asciiTheme="minorEastAsia" w:hAnsiTheme="minorEastAsia" w:eastAsiaTheme="minorEastAsia"/>
                <w:b/>
                <w:color w:val="000000"/>
                <w:szCs w:val="21"/>
              </w:rPr>
            </w:pPr>
            <w:r>
              <w:rPr>
                <w:rFonts w:hint="eastAsia" w:asciiTheme="minorEastAsia" w:hAnsiTheme="minorEastAsia" w:eastAsiaTheme="minorEastAsia"/>
                <w:b/>
                <w:color w:val="000000"/>
                <w:szCs w:val="21"/>
              </w:rPr>
              <w:t>二、</w:t>
            </w:r>
            <w:r>
              <w:rPr>
                <w:rFonts w:asciiTheme="minorEastAsia" w:hAnsiTheme="minorEastAsia" w:eastAsiaTheme="minorEastAsia"/>
                <w:b/>
                <w:color w:val="000000"/>
                <w:szCs w:val="21"/>
              </w:rPr>
              <w:t>子基金</w:t>
            </w:r>
            <w:r>
              <w:rPr>
                <w:rFonts w:hint="eastAsia" w:asciiTheme="minorEastAsia" w:hAnsiTheme="minorEastAsia" w:eastAsiaTheme="minorEastAsia"/>
                <w:b/>
                <w:color w:val="000000"/>
                <w:szCs w:val="21"/>
              </w:rPr>
              <w:t>申请机构及管理机构</w:t>
            </w:r>
            <w:r>
              <w:rPr>
                <w:rFonts w:asciiTheme="minorEastAsia" w:hAnsiTheme="minorEastAsia" w:eastAsiaTheme="minorEastAsia"/>
                <w:b/>
                <w:color w:val="000000"/>
                <w:szCs w:val="21"/>
              </w:rPr>
              <w:t>应符合以下条件</w:t>
            </w:r>
            <w:r>
              <w:rPr>
                <w:rFonts w:hint="eastAsia" w:asciiTheme="minorEastAsia" w:hAnsiTheme="minorEastAsia" w:eastAsiaTheme="minorEastAsia"/>
                <w:b/>
                <w:color w:val="000000"/>
                <w:szCs w:val="21"/>
              </w:rPr>
              <w:t>：</w:t>
            </w:r>
          </w:p>
        </w:tc>
      </w:tr>
      <w:tr w14:paraId="67E9D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143" w:type="dxa"/>
            <w:shd w:val="clear" w:color="auto" w:fill="auto"/>
            <w:vAlign w:val="center"/>
          </w:tcPr>
          <w:p w14:paraId="7795B9A4">
            <w:pPr>
              <w:spacing w:line="276" w:lineRule="auto"/>
              <w:jc w:val="center"/>
              <w:rPr>
                <w:rFonts w:asciiTheme="minorEastAsia" w:hAnsiTheme="minorEastAsia" w:eastAsiaTheme="minorEastAsia"/>
              </w:rPr>
            </w:pPr>
            <w:r>
              <w:rPr>
                <w:rFonts w:hint="eastAsia" w:asciiTheme="minorEastAsia" w:hAnsiTheme="minorEastAsia" w:eastAsiaTheme="minorEastAsia"/>
              </w:rPr>
              <w:t>合法合规</w:t>
            </w:r>
          </w:p>
        </w:tc>
        <w:tc>
          <w:tcPr>
            <w:tcW w:w="5477" w:type="dxa"/>
            <w:shd w:val="clear" w:color="auto" w:fill="auto"/>
          </w:tcPr>
          <w:p w14:paraId="796AA5C4">
            <w:pPr>
              <w:spacing w:line="276" w:lineRule="auto"/>
              <w:rPr>
                <w:rFonts w:asciiTheme="minorEastAsia" w:hAnsiTheme="minorEastAsia" w:eastAsiaTheme="minorEastAsia"/>
              </w:rPr>
            </w:pPr>
            <w:r>
              <w:rPr>
                <w:rFonts w:hint="eastAsia" w:asciiTheme="minorEastAsia" w:hAnsiTheme="minorEastAsia" w:eastAsiaTheme="minorEastAsia"/>
              </w:rPr>
              <w:t>（一）申请机构：依法设立，实缴资本不低于1000万元人民币，最近三年不存在重大违法违规行为（成立未满三年的机构自成立以来不存在重大违法违规行为）；</w:t>
            </w:r>
          </w:p>
          <w:p w14:paraId="6AE7A028">
            <w:pPr>
              <w:spacing w:line="276" w:lineRule="auto"/>
              <w:rPr>
                <w:rFonts w:asciiTheme="minorEastAsia" w:hAnsiTheme="minorEastAsia" w:eastAsiaTheme="minorEastAsia"/>
              </w:rPr>
            </w:pPr>
            <w:r>
              <w:rPr>
                <w:rFonts w:hint="eastAsia" w:asciiTheme="minorEastAsia" w:hAnsiTheme="minorEastAsia" w:eastAsiaTheme="minorEastAsia"/>
              </w:rPr>
              <w:t>（二）管理机构</w:t>
            </w:r>
            <w:r>
              <w:rPr>
                <w:rFonts w:hint="eastAsia" w:cs="Times New Roman" w:asciiTheme="minorEastAsia" w:hAnsiTheme="minorEastAsia" w:eastAsiaTheme="minorEastAsia"/>
              </w:rPr>
              <w:t>：</w:t>
            </w:r>
            <w:r>
              <w:rPr>
                <w:rFonts w:hint="eastAsia" w:asciiTheme="minorEastAsia" w:hAnsiTheme="minorEastAsia" w:eastAsiaTheme="minorEastAsia"/>
                <w:sz w:val="21"/>
                <w:szCs w:val="22"/>
                <w:highlight w:val="none"/>
              </w:rPr>
              <w:t>子基金管理机构</w:t>
            </w:r>
            <w:r>
              <w:rPr>
                <w:rFonts w:hint="eastAsia" w:asciiTheme="minorEastAsia" w:hAnsiTheme="minorEastAsia" w:eastAsiaTheme="minorEastAsia"/>
                <w:sz w:val="21"/>
                <w:szCs w:val="22"/>
                <w:highlight w:val="none"/>
                <w:lang w:val="en-US" w:eastAsia="zh-CN"/>
              </w:rPr>
              <w:t>应</w:t>
            </w:r>
            <w:r>
              <w:rPr>
                <w:rFonts w:hint="eastAsia" w:asciiTheme="minorEastAsia" w:hAnsiTheme="minorEastAsia" w:eastAsiaTheme="minorEastAsia"/>
                <w:sz w:val="21"/>
                <w:szCs w:val="22"/>
                <w:highlight w:val="none"/>
              </w:rPr>
              <w:t>由申请机构或其</w:t>
            </w:r>
            <w:r>
              <w:rPr>
                <w:rFonts w:hint="eastAsia" w:asciiTheme="minorEastAsia" w:hAnsiTheme="minorEastAsia" w:eastAsiaTheme="minorEastAsia"/>
                <w:sz w:val="21"/>
                <w:szCs w:val="22"/>
                <w:highlight w:val="none"/>
                <w:lang w:val="en-US" w:eastAsia="zh-CN"/>
              </w:rPr>
              <w:t>关联方</w:t>
            </w:r>
            <w:r>
              <w:rPr>
                <w:rFonts w:hint="eastAsia" w:asciiTheme="minorEastAsia" w:hAnsiTheme="minorEastAsia" w:eastAsiaTheme="minorEastAsia"/>
                <w:sz w:val="21"/>
                <w:szCs w:val="22"/>
                <w:highlight w:val="none"/>
              </w:rPr>
              <w:t>担任，</w:t>
            </w:r>
            <w:r>
              <w:rPr>
                <w:rFonts w:hint="eastAsia" w:asciiTheme="minorEastAsia" w:hAnsiTheme="minorEastAsia" w:eastAsiaTheme="minorEastAsia"/>
                <w:sz w:val="21"/>
                <w:szCs w:val="22"/>
              </w:rPr>
              <w:t>实缴资本不低于1000万元人民币且不低于其在子基金中认缴出资总额，且已依法设立并按法律法规或监管规定完成登记备案，最近三年不存在重大违法违规行为（成立未满三年的机构自成立以来不存在重大违法违规行为）</w:t>
            </w:r>
            <w:r>
              <w:rPr>
                <w:rFonts w:hint="eastAsia" w:asciiTheme="minorEastAsia" w:hAnsiTheme="minorEastAsia" w:eastAsiaTheme="minorEastAsia"/>
                <w:sz w:val="21"/>
                <w:szCs w:val="22"/>
                <w:lang w:eastAsia="zh-CN"/>
              </w:rPr>
              <w:t>。</w:t>
            </w:r>
          </w:p>
        </w:tc>
        <w:tc>
          <w:tcPr>
            <w:tcW w:w="983" w:type="dxa"/>
            <w:shd w:val="clear" w:color="auto" w:fill="auto"/>
            <w:vAlign w:val="center"/>
          </w:tcPr>
          <w:p w14:paraId="585CC794">
            <w:pPr>
              <w:spacing w:line="276" w:lineRule="auto"/>
              <w:jc w:val="center"/>
              <w:rPr>
                <w:szCs w:val="21"/>
              </w:rPr>
            </w:pPr>
          </w:p>
        </w:tc>
        <w:tc>
          <w:tcPr>
            <w:tcW w:w="1323" w:type="dxa"/>
            <w:shd w:val="clear" w:color="auto" w:fill="auto"/>
            <w:vAlign w:val="center"/>
          </w:tcPr>
          <w:p w14:paraId="70AC0FB9">
            <w:pPr>
              <w:spacing w:line="276" w:lineRule="auto"/>
              <w:rPr>
                <w:szCs w:val="21"/>
              </w:rPr>
            </w:pPr>
          </w:p>
        </w:tc>
      </w:tr>
      <w:tr w14:paraId="4B438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1143" w:type="dxa"/>
            <w:vMerge w:val="restart"/>
            <w:shd w:val="clear" w:color="auto" w:fill="auto"/>
            <w:vAlign w:val="center"/>
          </w:tcPr>
          <w:p w14:paraId="536C4375">
            <w:pPr>
              <w:spacing w:line="276" w:lineRule="auto"/>
              <w:jc w:val="center"/>
              <w:rPr>
                <w:rFonts w:hint="default" w:asciiTheme="minorEastAsia" w:hAnsiTheme="minorEastAsia" w:eastAsiaTheme="minorEastAsia"/>
                <w:lang w:val="en-US" w:eastAsia="zh-CN"/>
              </w:rPr>
            </w:pPr>
            <w:r>
              <w:rPr>
                <w:rFonts w:hint="eastAsia" w:asciiTheme="minorEastAsia" w:hAnsiTheme="minorEastAsia" w:eastAsiaTheme="minorEastAsia"/>
                <w:lang w:val="en-US" w:eastAsia="zh-CN"/>
              </w:rPr>
              <w:t>管理团队</w:t>
            </w:r>
          </w:p>
        </w:tc>
        <w:tc>
          <w:tcPr>
            <w:tcW w:w="5477" w:type="dxa"/>
            <w:shd w:val="clear" w:color="auto" w:fill="auto"/>
            <w:vAlign w:val="top"/>
          </w:tcPr>
          <w:p w14:paraId="4A8ABEC4">
            <w:pPr>
              <w:spacing w:line="276" w:lineRule="auto"/>
              <w:rPr>
                <w:rFonts w:hint="eastAsia" w:cs="Times New Roman" w:asciiTheme="minorEastAsia" w:hAnsiTheme="minorEastAsia" w:eastAsiaTheme="minorEastAsia"/>
                <w:kern w:val="2"/>
                <w:sz w:val="21"/>
                <w:szCs w:val="22"/>
                <w:lang w:val="en-US" w:eastAsia="zh-CN" w:bidi="ar-SA"/>
              </w:rPr>
            </w:pPr>
            <w:r>
              <w:rPr>
                <w:rFonts w:hint="eastAsia" w:asciiTheme="minorEastAsia" w:hAnsiTheme="minorEastAsia" w:eastAsiaTheme="minorEastAsia"/>
              </w:rPr>
              <w:t xml:space="preserve">配备专属且稳定的管理团队，应同时拥有不少于5名专业投资人员，其中具有3年以上相关经验的不少于3名；管理团队承诺团队关键人员在锁定期间非经子基金权力机构同意不得中途退出。 </w:t>
            </w:r>
          </w:p>
        </w:tc>
        <w:tc>
          <w:tcPr>
            <w:tcW w:w="983" w:type="dxa"/>
            <w:shd w:val="clear" w:color="auto" w:fill="auto"/>
            <w:vAlign w:val="center"/>
          </w:tcPr>
          <w:p w14:paraId="5FCA31AF">
            <w:pPr>
              <w:spacing w:line="276" w:lineRule="auto"/>
              <w:jc w:val="center"/>
              <w:rPr>
                <w:szCs w:val="21"/>
              </w:rPr>
            </w:pPr>
          </w:p>
        </w:tc>
        <w:tc>
          <w:tcPr>
            <w:tcW w:w="1323" w:type="dxa"/>
            <w:shd w:val="clear" w:color="auto" w:fill="auto"/>
            <w:vAlign w:val="center"/>
          </w:tcPr>
          <w:p w14:paraId="5C4567A3">
            <w:pPr>
              <w:spacing w:line="276" w:lineRule="auto"/>
              <w:rPr>
                <w:szCs w:val="21"/>
              </w:rPr>
            </w:pPr>
          </w:p>
        </w:tc>
      </w:tr>
      <w:tr w14:paraId="5390E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1143" w:type="dxa"/>
            <w:vMerge w:val="continue"/>
            <w:shd w:val="clear" w:color="auto" w:fill="auto"/>
            <w:vAlign w:val="center"/>
          </w:tcPr>
          <w:p w14:paraId="5384AE0B">
            <w:pPr>
              <w:spacing w:line="276" w:lineRule="auto"/>
              <w:jc w:val="center"/>
              <w:rPr>
                <w:rFonts w:hint="eastAsia" w:asciiTheme="minorEastAsia" w:hAnsiTheme="minorEastAsia" w:eastAsiaTheme="minorEastAsia"/>
              </w:rPr>
            </w:pPr>
          </w:p>
        </w:tc>
        <w:tc>
          <w:tcPr>
            <w:tcW w:w="5477" w:type="dxa"/>
            <w:shd w:val="clear" w:color="auto" w:fill="auto"/>
            <w:vAlign w:val="top"/>
          </w:tcPr>
          <w:p w14:paraId="0358F692">
            <w:pPr>
              <w:spacing w:line="276" w:lineRule="auto"/>
              <w:rPr>
                <w:rFonts w:hint="eastAsia" w:cs="Times New Roman" w:asciiTheme="minorEastAsia" w:hAnsiTheme="minorEastAsia" w:eastAsiaTheme="minorEastAsia"/>
                <w:kern w:val="2"/>
                <w:sz w:val="21"/>
                <w:szCs w:val="22"/>
                <w:lang w:val="en-US" w:eastAsia="zh-CN" w:bidi="ar-SA"/>
              </w:rPr>
            </w:pPr>
            <w:r>
              <w:rPr>
                <w:rFonts w:hint="eastAsia" w:asciiTheme="minorEastAsia" w:hAnsiTheme="minorEastAsia" w:eastAsiaTheme="minorEastAsia"/>
              </w:rPr>
              <w:t>管理团队主要成员无受过行政主管机关或司法机关处罚的不良记录</w:t>
            </w:r>
            <w:r>
              <w:rPr>
                <w:rFonts w:hint="eastAsia" w:asciiTheme="minorEastAsia" w:hAnsiTheme="minorEastAsia" w:eastAsiaTheme="minorEastAsia"/>
                <w:lang w:eastAsia="zh-CN"/>
              </w:rPr>
              <w:t>。</w:t>
            </w:r>
          </w:p>
        </w:tc>
        <w:tc>
          <w:tcPr>
            <w:tcW w:w="983" w:type="dxa"/>
            <w:shd w:val="clear" w:color="auto" w:fill="auto"/>
            <w:vAlign w:val="center"/>
          </w:tcPr>
          <w:p w14:paraId="0F75100F">
            <w:pPr>
              <w:spacing w:line="276" w:lineRule="auto"/>
              <w:jc w:val="center"/>
              <w:rPr>
                <w:szCs w:val="21"/>
              </w:rPr>
            </w:pPr>
          </w:p>
        </w:tc>
        <w:tc>
          <w:tcPr>
            <w:tcW w:w="1323" w:type="dxa"/>
            <w:shd w:val="clear" w:color="auto" w:fill="auto"/>
            <w:vAlign w:val="center"/>
          </w:tcPr>
          <w:p w14:paraId="5A3DF01B">
            <w:pPr>
              <w:spacing w:line="276" w:lineRule="auto"/>
              <w:rPr>
                <w:szCs w:val="21"/>
              </w:rPr>
            </w:pPr>
          </w:p>
        </w:tc>
      </w:tr>
      <w:tr w14:paraId="3F7FC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1143" w:type="dxa"/>
            <w:shd w:val="clear" w:color="auto" w:fill="auto"/>
            <w:vAlign w:val="center"/>
          </w:tcPr>
          <w:p w14:paraId="54DA0372">
            <w:pPr>
              <w:spacing w:line="276" w:lineRule="auto"/>
              <w:jc w:val="center"/>
              <w:rPr>
                <w:rFonts w:hint="eastAsia" w:asciiTheme="minorEastAsia" w:hAnsiTheme="minorEastAsia" w:eastAsiaTheme="minorEastAsia"/>
              </w:rPr>
            </w:pPr>
            <w:r>
              <w:rPr>
                <w:rFonts w:hint="eastAsia" w:asciiTheme="minorEastAsia" w:hAnsiTheme="minorEastAsia" w:eastAsiaTheme="minorEastAsia"/>
              </w:rPr>
              <w:t>投资能力</w:t>
            </w:r>
          </w:p>
        </w:tc>
        <w:tc>
          <w:tcPr>
            <w:tcW w:w="5477" w:type="dxa"/>
            <w:shd w:val="clear" w:color="auto" w:fill="auto"/>
            <w:vAlign w:val="top"/>
          </w:tcPr>
          <w:p w14:paraId="4F3BCAB4">
            <w:pPr>
              <w:spacing w:line="276" w:lineRule="auto"/>
              <w:rPr>
                <w:rFonts w:hint="eastAsia" w:asciiTheme="minorEastAsia" w:hAnsiTheme="minorEastAsia" w:eastAsiaTheme="minorEastAsia"/>
              </w:rPr>
            </w:pPr>
            <w:r>
              <w:rPr>
                <w:rFonts w:hint="eastAsia" w:asciiTheme="minorEastAsia" w:hAnsiTheme="minorEastAsia" w:eastAsiaTheme="minorEastAsia"/>
              </w:rPr>
              <w:t>子基金管理机构或其主要股东（公司制）、普通合伙人（合伙制）或3名以上</w:t>
            </w:r>
            <w:r>
              <w:rPr>
                <w:rFonts w:hint="eastAsia" w:cs="Times New Roman" w:asciiTheme="minorEastAsia" w:hAnsiTheme="minorEastAsia" w:eastAsiaTheme="minorEastAsia"/>
              </w:rPr>
              <w:t>管理团队主要成员以骨干身份累计管理股权投资基金规模不低于5亿元，至少有3个成功投资案例（成功投资案例是指指项目股权100%退出的（含上市解禁未售出），</w:t>
            </w:r>
            <w:r>
              <w:rPr>
                <w:rFonts w:hint="eastAsia" w:cs="Times New Roman" w:asciiTheme="minorEastAsia" w:hAnsiTheme="minorEastAsia" w:eastAsiaTheme="minorEastAsia"/>
                <w:lang w:val="en-US" w:eastAsia="zh-CN"/>
              </w:rPr>
              <w:t>回收资金超过全部投资本金150%；或退出比例低于80%且回收资金超过全部投资本金120%。）具备显著产业资源优势的机构可放宽认定。</w:t>
            </w:r>
          </w:p>
        </w:tc>
        <w:tc>
          <w:tcPr>
            <w:tcW w:w="983" w:type="dxa"/>
            <w:shd w:val="clear" w:color="auto" w:fill="auto"/>
            <w:vAlign w:val="center"/>
          </w:tcPr>
          <w:p w14:paraId="6B8669A2">
            <w:pPr>
              <w:spacing w:line="276" w:lineRule="auto"/>
              <w:jc w:val="center"/>
              <w:rPr>
                <w:szCs w:val="21"/>
              </w:rPr>
            </w:pPr>
          </w:p>
        </w:tc>
        <w:tc>
          <w:tcPr>
            <w:tcW w:w="1323" w:type="dxa"/>
            <w:shd w:val="clear" w:color="auto" w:fill="auto"/>
            <w:vAlign w:val="center"/>
          </w:tcPr>
          <w:p w14:paraId="34EB6C0C">
            <w:pPr>
              <w:spacing w:line="276" w:lineRule="auto"/>
              <w:rPr>
                <w:szCs w:val="21"/>
              </w:rPr>
            </w:pPr>
          </w:p>
        </w:tc>
      </w:tr>
      <w:tr w14:paraId="4797A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1143" w:type="dxa"/>
            <w:vMerge w:val="restart"/>
            <w:shd w:val="clear" w:color="auto" w:fill="auto"/>
            <w:vAlign w:val="center"/>
          </w:tcPr>
          <w:p w14:paraId="62D1B2B3">
            <w:pPr>
              <w:spacing w:line="276" w:lineRule="auto"/>
              <w:jc w:val="center"/>
              <w:rPr>
                <w:rFonts w:asciiTheme="minorEastAsia" w:hAnsiTheme="minorEastAsia" w:eastAsiaTheme="minorEastAsia"/>
              </w:rPr>
            </w:pPr>
            <w:r>
              <w:rPr>
                <w:rFonts w:hint="eastAsia" w:asciiTheme="minorEastAsia" w:hAnsiTheme="minorEastAsia" w:eastAsiaTheme="minorEastAsia"/>
              </w:rPr>
              <w:t>募资要求</w:t>
            </w:r>
          </w:p>
        </w:tc>
        <w:tc>
          <w:tcPr>
            <w:tcW w:w="5477" w:type="dxa"/>
            <w:shd w:val="clear" w:color="auto" w:fill="auto"/>
          </w:tcPr>
          <w:p w14:paraId="0BE6CDB1">
            <w:pPr>
              <w:spacing w:line="276" w:lineRule="auto"/>
              <w:rPr>
                <w:rFonts w:asciiTheme="minorEastAsia" w:hAnsiTheme="minorEastAsia" w:eastAsiaTheme="minorEastAsia"/>
              </w:rPr>
            </w:pPr>
            <w:r>
              <w:rPr>
                <w:rFonts w:hint="eastAsia" w:asciiTheme="minorEastAsia" w:hAnsiTheme="minorEastAsia" w:eastAsiaTheme="minorEastAsia"/>
              </w:rPr>
              <w:t>申请新设子基金的，申请机构在提交申请基金申报方案时</w:t>
            </w:r>
            <w:r>
              <w:rPr>
                <w:rFonts w:hint="eastAsia" w:cs="Times New Roman" w:asciiTheme="minorEastAsia" w:hAnsiTheme="minorEastAsia" w:eastAsiaTheme="minorEastAsia"/>
              </w:rPr>
              <w:t>，</w:t>
            </w:r>
            <w:r>
              <w:rPr>
                <w:rFonts w:hint="eastAsia" w:cs="Times New Roman" w:asciiTheme="minorEastAsia" w:hAnsiTheme="minorEastAsia" w:eastAsiaTheme="minorEastAsia"/>
                <w:lang w:val="en-US" w:eastAsia="zh-CN"/>
              </w:rPr>
              <w:t>原则上须至少已募集到拟设立子基金认缴规模30%的资金</w:t>
            </w:r>
            <w:r>
              <w:rPr>
                <w:rFonts w:hint="eastAsia" w:cs="Times New Roman" w:asciiTheme="minorEastAsia" w:hAnsiTheme="minorEastAsia" w:eastAsiaTheme="minorEastAsia"/>
              </w:rPr>
              <w:t>，</w:t>
            </w:r>
            <w:r>
              <w:rPr>
                <w:rFonts w:hint="eastAsia" w:cs="Times New Roman" w:asciiTheme="minorEastAsia" w:hAnsiTheme="minorEastAsia" w:eastAsiaTheme="minorEastAsia"/>
                <w:lang w:val="en-US" w:eastAsia="zh-CN"/>
              </w:rPr>
              <w:t>同时</w:t>
            </w:r>
            <w:r>
              <w:rPr>
                <w:rFonts w:hint="eastAsia" w:cs="Times New Roman" w:asciiTheme="minorEastAsia" w:hAnsiTheme="minorEastAsia" w:eastAsiaTheme="minorEastAsia"/>
              </w:rPr>
              <w:t>提供拟出资人的出资承诺/意向函、出资决策文件或出资能力证明（审计报告、估值报告等资产评估报告）等材料</w:t>
            </w:r>
            <w:r>
              <w:rPr>
                <w:rFonts w:hint="eastAsia" w:cs="Times New Roman" w:asciiTheme="minorEastAsia" w:hAnsiTheme="minorEastAsia" w:eastAsiaTheme="minorEastAsia"/>
                <w:lang w:eastAsia="zh-CN"/>
              </w:rPr>
              <w:t>（</w:t>
            </w:r>
            <w:r>
              <w:rPr>
                <w:rFonts w:hint="eastAsia" w:cs="Times New Roman" w:asciiTheme="minorEastAsia" w:hAnsiTheme="minorEastAsia" w:eastAsiaTheme="minorEastAsia"/>
                <w:lang w:val="en-US" w:eastAsia="zh-CN"/>
              </w:rPr>
              <w:t>政府引导基金出资方除外</w:t>
            </w:r>
            <w:r>
              <w:rPr>
                <w:rFonts w:hint="eastAsia" w:cs="Times New Roman" w:asciiTheme="minorEastAsia" w:hAnsiTheme="minorEastAsia" w:eastAsiaTheme="minorEastAsia"/>
                <w:lang w:eastAsia="zh-CN"/>
              </w:rPr>
              <w:t>）</w:t>
            </w:r>
            <w:r>
              <w:rPr>
                <w:rFonts w:hint="eastAsia" w:cs="Times New Roman" w:asciiTheme="minorEastAsia" w:hAnsiTheme="minorEastAsia" w:eastAsiaTheme="minorEastAsia"/>
              </w:rPr>
              <w:t>。剩余出资有明确的募资计划及时间</w:t>
            </w:r>
            <w:r>
              <w:rPr>
                <w:rFonts w:hint="eastAsia" w:cs="Times New Roman" w:asciiTheme="minorEastAsia" w:hAnsiTheme="minorEastAsia" w:eastAsiaTheme="minorEastAsia"/>
                <w:lang w:eastAsia="zh-CN"/>
              </w:rPr>
              <w:t>。</w:t>
            </w:r>
          </w:p>
        </w:tc>
        <w:tc>
          <w:tcPr>
            <w:tcW w:w="983" w:type="dxa"/>
            <w:shd w:val="clear" w:color="auto" w:fill="auto"/>
            <w:vAlign w:val="center"/>
          </w:tcPr>
          <w:p w14:paraId="6E79FC67">
            <w:pPr>
              <w:spacing w:line="276" w:lineRule="auto"/>
              <w:jc w:val="center"/>
              <w:rPr>
                <w:szCs w:val="21"/>
              </w:rPr>
            </w:pPr>
          </w:p>
        </w:tc>
        <w:tc>
          <w:tcPr>
            <w:tcW w:w="1323" w:type="dxa"/>
            <w:shd w:val="clear" w:color="auto" w:fill="auto"/>
            <w:vAlign w:val="center"/>
          </w:tcPr>
          <w:p w14:paraId="7E21F47A">
            <w:pPr>
              <w:spacing w:line="276" w:lineRule="auto"/>
              <w:rPr>
                <w:szCs w:val="21"/>
              </w:rPr>
            </w:pPr>
          </w:p>
        </w:tc>
      </w:tr>
      <w:tr w14:paraId="43543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143" w:type="dxa"/>
            <w:vMerge w:val="continue"/>
            <w:shd w:val="clear" w:color="auto" w:fill="auto"/>
            <w:vAlign w:val="center"/>
          </w:tcPr>
          <w:p w14:paraId="44BE146C">
            <w:pPr>
              <w:spacing w:line="276" w:lineRule="auto"/>
              <w:jc w:val="center"/>
              <w:rPr>
                <w:rFonts w:asciiTheme="minorEastAsia" w:hAnsiTheme="minorEastAsia" w:eastAsiaTheme="minorEastAsia"/>
              </w:rPr>
            </w:pPr>
          </w:p>
        </w:tc>
        <w:tc>
          <w:tcPr>
            <w:tcW w:w="5477" w:type="dxa"/>
            <w:shd w:val="clear" w:color="auto" w:fill="auto"/>
          </w:tcPr>
          <w:p w14:paraId="75401E0A">
            <w:pPr>
              <w:spacing w:line="276" w:lineRule="auto"/>
              <w:rPr>
                <w:rFonts w:asciiTheme="minorEastAsia" w:hAnsiTheme="minorEastAsia" w:eastAsiaTheme="minorEastAsia"/>
              </w:rPr>
            </w:pPr>
            <w:r>
              <w:rPr>
                <w:rFonts w:hint="eastAsia" w:cs="Times New Roman" w:asciiTheme="minorEastAsia" w:hAnsiTheme="minorEastAsia" w:eastAsiaTheme="minorEastAsia"/>
              </w:rPr>
              <w:t>申请</w:t>
            </w:r>
            <w:r>
              <w:rPr>
                <w:rFonts w:hint="eastAsia" w:cs="Times New Roman" w:asciiTheme="minorEastAsia" w:hAnsiTheme="minorEastAsia" w:eastAsiaTheme="minorEastAsia"/>
                <w:lang w:val="en-US" w:eastAsia="zh-CN"/>
              </w:rPr>
              <w:t>湖北文旅基金</w:t>
            </w:r>
            <w:r>
              <w:rPr>
                <w:rFonts w:hint="default" w:cs="Times New Roman" w:asciiTheme="minorEastAsia" w:hAnsiTheme="minorEastAsia" w:eastAsiaTheme="minorEastAsia"/>
                <w:lang w:val="en-US"/>
              </w:rPr>
              <w:t>增资</w:t>
            </w:r>
            <w:r>
              <w:rPr>
                <w:rFonts w:hint="eastAsia" w:cs="Times New Roman" w:asciiTheme="minorEastAsia" w:hAnsiTheme="minorEastAsia" w:eastAsiaTheme="minorEastAsia"/>
                <w:lang w:val="en-US" w:eastAsia="zh-CN"/>
              </w:rPr>
              <w:t>或受让份额</w:t>
            </w:r>
            <w:r>
              <w:rPr>
                <w:rFonts w:hint="eastAsia" w:cs="Times New Roman" w:asciiTheme="minorEastAsia" w:hAnsiTheme="minorEastAsia" w:eastAsiaTheme="minorEastAsia"/>
              </w:rPr>
              <w:t>的子基金应提供子基金现有全体出资人同意申请</w:t>
            </w:r>
            <w:r>
              <w:rPr>
                <w:rFonts w:hint="eastAsia" w:cs="Times New Roman" w:asciiTheme="minorEastAsia" w:hAnsiTheme="minorEastAsia" w:eastAsiaTheme="minorEastAsia"/>
                <w:lang w:eastAsia="zh-CN"/>
              </w:rPr>
              <w:t>湖北文旅基金</w:t>
            </w:r>
            <w:r>
              <w:rPr>
                <w:rFonts w:hint="eastAsia" w:cs="Times New Roman" w:asciiTheme="minorEastAsia" w:hAnsiTheme="minorEastAsia" w:eastAsiaTheme="minorEastAsia"/>
              </w:rPr>
              <w:t>出资的合伙人会议决议</w:t>
            </w:r>
            <w:r>
              <w:rPr>
                <w:rFonts w:hint="eastAsia" w:cs="Times New Roman" w:asciiTheme="minorEastAsia" w:hAnsiTheme="minorEastAsia" w:eastAsiaTheme="minorEastAsia"/>
                <w:lang w:val="en-US" w:eastAsia="zh-CN"/>
              </w:rPr>
              <w:t>等相关文件</w:t>
            </w:r>
            <w:r>
              <w:rPr>
                <w:rFonts w:hint="eastAsia" w:cs="Times New Roman" w:asciiTheme="minorEastAsia" w:hAnsiTheme="minorEastAsia" w:eastAsiaTheme="minorEastAsia"/>
              </w:rPr>
              <w:t>。</w:t>
            </w:r>
          </w:p>
        </w:tc>
        <w:tc>
          <w:tcPr>
            <w:tcW w:w="983" w:type="dxa"/>
            <w:shd w:val="clear" w:color="auto" w:fill="auto"/>
            <w:vAlign w:val="center"/>
          </w:tcPr>
          <w:p w14:paraId="7D1D9393">
            <w:pPr>
              <w:spacing w:line="276" w:lineRule="auto"/>
              <w:jc w:val="center"/>
              <w:rPr>
                <w:szCs w:val="21"/>
              </w:rPr>
            </w:pPr>
          </w:p>
        </w:tc>
        <w:tc>
          <w:tcPr>
            <w:tcW w:w="1323" w:type="dxa"/>
            <w:shd w:val="clear" w:color="auto" w:fill="auto"/>
            <w:vAlign w:val="center"/>
          </w:tcPr>
          <w:p w14:paraId="35BD57BD">
            <w:pPr>
              <w:spacing w:line="276" w:lineRule="auto"/>
              <w:rPr>
                <w:szCs w:val="21"/>
              </w:rPr>
            </w:pPr>
          </w:p>
        </w:tc>
      </w:tr>
      <w:tr w14:paraId="634EA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3" w:hRule="atLeast"/>
          <w:jc w:val="center"/>
        </w:trPr>
        <w:tc>
          <w:tcPr>
            <w:tcW w:w="1143" w:type="dxa"/>
            <w:shd w:val="clear" w:color="auto" w:fill="auto"/>
            <w:vAlign w:val="center"/>
          </w:tcPr>
          <w:p w14:paraId="7F900A35">
            <w:pPr>
              <w:spacing w:line="276" w:lineRule="auto"/>
              <w:jc w:val="center"/>
              <w:rPr>
                <w:rFonts w:asciiTheme="minorEastAsia" w:hAnsiTheme="minorEastAsia" w:eastAsiaTheme="minorEastAsia"/>
              </w:rPr>
            </w:pPr>
            <w:r>
              <w:rPr>
                <w:rFonts w:hint="eastAsia" w:asciiTheme="minorEastAsia" w:hAnsiTheme="minorEastAsia" w:eastAsiaTheme="minorEastAsia"/>
              </w:rPr>
              <w:t>管理制度</w:t>
            </w:r>
          </w:p>
        </w:tc>
        <w:tc>
          <w:tcPr>
            <w:tcW w:w="5477" w:type="dxa"/>
            <w:shd w:val="clear" w:color="auto" w:fill="auto"/>
          </w:tcPr>
          <w:p w14:paraId="766C9105">
            <w:pPr>
              <w:spacing w:line="276" w:lineRule="auto"/>
              <w:rPr>
                <w:rFonts w:asciiTheme="minorEastAsia" w:hAnsiTheme="minorEastAsia" w:eastAsiaTheme="minorEastAsia"/>
              </w:rPr>
            </w:pPr>
            <w:r>
              <w:rPr>
                <w:rFonts w:hint="eastAsia" w:cs="Times New Roman" w:asciiTheme="minorEastAsia" w:hAnsiTheme="minorEastAsia" w:eastAsiaTheme="minorEastAsia"/>
                <w:lang w:val="en-US" w:eastAsia="zh-CN"/>
              </w:rPr>
              <w:t>子基金管理机构</w:t>
            </w:r>
            <w:r>
              <w:rPr>
                <w:rFonts w:hint="eastAsia" w:cs="Times New Roman" w:asciiTheme="minorEastAsia" w:hAnsiTheme="minorEastAsia" w:eastAsiaTheme="minorEastAsia"/>
                <w:lang w:eastAsia="zh-CN"/>
              </w:rPr>
              <w:t>按中国证券投资基金业协会（以下简称“中基协”）要求管理和投资运作规范，具有完整的投资决策程序、风险控制机制和健全的财务管理制度，有健全的激励约束机制、跟进投资机制、资产托管机制和风险隔离机制。</w:t>
            </w:r>
          </w:p>
        </w:tc>
        <w:tc>
          <w:tcPr>
            <w:tcW w:w="983" w:type="dxa"/>
            <w:shd w:val="clear" w:color="auto" w:fill="auto"/>
            <w:vAlign w:val="center"/>
          </w:tcPr>
          <w:p w14:paraId="3DD87925">
            <w:pPr>
              <w:spacing w:line="276" w:lineRule="auto"/>
              <w:jc w:val="center"/>
              <w:rPr>
                <w:szCs w:val="21"/>
              </w:rPr>
            </w:pPr>
          </w:p>
        </w:tc>
        <w:tc>
          <w:tcPr>
            <w:tcW w:w="1323" w:type="dxa"/>
            <w:shd w:val="clear" w:color="auto" w:fill="auto"/>
            <w:vAlign w:val="center"/>
          </w:tcPr>
          <w:p w14:paraId="6CA3F607">
            <w:pPr>
              <w:spacing w:line="276" w:lineRule="auto"/>
              <w:rPr>
                <w:szCs w:val="21"/>
              </w:rPr>
            </w:pPr>
          </w:p>
        </w:tc>
      </w:tr>
      <w:tr w14:paraId="64143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6620" w:type="dxa"/>
            <w:gridSpan w:val="2"/>
            <w:shd w:val="clear" w:color="auto" w:fill="auto"/>
            <w:vAlign w:val="center"/>
          </w:tcPr>
          <w:p w14:paraId="23A41728">
            <w:pPr>
              <w:spacing w:line="276" w:lineRule="auto"/>
              <w:rPr>
                <w:rFonts w:asciiTheme="minorEastAsia" w:hAnsiTheme="minorEastAsia" w:eastAsiaTheme="minorEastAsia"/>
                <w:b/>
              </w:rPr>
            </w:pPr>
            <w:r>
              <w:rPr>
                <w:rFonts w:hint="eastAsia" w:asciiTheme="minorEastAsia" w:hAnsiTheme="minorEastAsia" w:eastAsiaTheme="minorEastAsia"/>
                <w:b/>
                <w:lang w:val="en-US" w:eastAsia="zh-CN"/>
              </w:rPr>
              <w:t>三</w:t>
            </w:r>
            <w:r>
              <w:rPr>
                <w:rFonts w:hint="eastAsia" w:asciiTheme="minorEastAsia" w:hAnsiTheme="minorEastAsia" w:eastAsiaTheme="minorEastAsia"/>
                <w:b/>
              </w:rPr>
              <w:t>、子基金投资限制</w:t>
            </w:r>
            <w:r>
              <w:rPr>
                <w:rFonts w:asciiTheme="minorEastAsia" w:hAnsiTheme="minorEastAsia" w:eastAsiaTheme="minorEastAsia"/>
                <w:b/>
              </w:rPr>
              <w:t>：</w:t>
            </w:r>
          </w:p>
        </w:tc>
        <w:tc>
          <w:tcPr>
            <w:tcW w:w="983" w:type="dxa"/>
            <w:shd w:val="clear" w:color="auto" w:fill="auto"/>
            <w:vAlign w:val="center"/>
          </w:tcPr>
          <w:p w14:paraId="2F775078">
            <w:pPr>
              <w:spacing w:line="276" w:lineRule="auto"/>
              <w:jc w:val="center"/>
            </w:pPr>
          </w:p>
        </w:tc>
        <w:tc>
          <w:tcPr>
            <w:tcW w:w="1323" w:type="dxa"/>
            <w:shd w:val="clear" w:color="auto" w:fill="auto"/>
            <w:vAlign w:val="center"/>
          </w:tcPr>
          <w:p w14:paraId="1690F013">
            <w:pPr>
              <w:spacing w:line="276" w:lineRule="auto"/>
            </w:pPr>
          </w:p>
        </w:tc>
      </w:tr>
      <w:tr w14:paraId="78623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143" w:type="dxa"/>
            <w:shd w:val="clear" w:color="auto" w:fill="auto"/>
            <w:vAlign w:val="center"/>
          </w:tcPr>
          <w:p w14:paraId="7DF0D444">
            <w:pPr>
              <w:spacing w:line="276"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管理机构出资比例</w:t>
            </w:r>
          </w:p>
        </w:tc>
        <w:tc>
          <w:tcPr>
            <w:tcW w:w="5477" w:type="dxa"/>
            <w:shd w:val="clear" w:color="auto" w:fill="auto"/>
            <w:vAlign w:val="center"/>
          </w:tcPr>
          <w:p w14:paraId="30A96AE2">
            <w:pPr>
              <w:spacing w:line="276" w:lineRule="auto"/>
              <w:rPr>
                <w:rFonts w:hint="eastAsia" w:cs="Times New Roman" w:asciiTheme="minorEastAsia" w:hAnsiTheme="minorEastAsia" w:eastAsiaTheme="minorEastAsia"/>
              </w:rPr>
            </w:pPr>
            <w:r>
              <w:rPr>
                <w:rFonts w:hint="eastAsia" w:cs="Times New Roman" w:asciiTheme="minorEastAsia" w:hAnsiTheme="minorEastAsia" w:eastAsiaTheme="minorEastAsia"/>
                <w:lang w:eastAsia="zh-CN"/>
              </w:rPr>
              <w:t>子基金管理机构及其关联方 (同一实控人)在基金中认缴出资额原则上不低于基金规模的 1%，其中基金管理机构认缴出资额不低于基金规模的 0.5%。</w:t>
            </w:r>
          </w:p>
        </w:tc>
        <w:tc>
          <w:tcPr>
            <w:tcW w:w="983" w:type="dxa"/>
            <w:shd w:val="clear" w:color="auto" w:fill="auto"/>
            <w:vAlign w:val="center"/>
          </w:tcPr>
          <w:p w14:paraId="170D8D63">
            <w:pPr>
              <w:spacing w:line="276" w:lineRule="auto"/>
              <w:jc w:val="center"/>
            </w:pPr>
          </w:p>
        </w:tc>
        <w:tc>
          <w:tcPr>
            <w:tcW w:w="1323" w:type="dxa"/>
            <w:shd w:val="clear" w:color="auto" w:fill="auto"/>
            <w:vAlign w:val="center"/>
          </w:tcPr>
          <w:p w14:paraId="1A0902C9">
            <w:pPr>
              <w:spacing w:line="276" w:lineRule="auto"/>
            </w:pPr>
          </w:p>
        </w:tc>
      </w:tr>
      <w:tr w14:paraId="73590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143" w:type="dxa"/>
            <w:shd w:val="clear" w:color="auto" w:fill="auto"/>
            <w:vAlign w:val="center"/>
          </w:tcPr>
          <w:p w14:paraId="39416CCE">
            <w:pPr>
              <w:spacing w:line="276"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关键人锁定</w:t>
            </w:r>
          </w:p>
          <w:p w14:paraId="6EF78B40">
            <w:pPr>
              <w:spacing w:line="276" w:lineRule="auto"/>
              <w:rPr>
                <w:rFonts w:hint="eastAsia" w:cs="Times New Roman" w:asciiTheme="minorEastAsia" w:hAnsiTheme="minorEastAsia" w:eastAsiaTheme="minorEastAsia"/>
              </w:rPr>
            </w:pPr>
          </w:p>
        </w:tc>
        <w:tc>
          <w:tcPr>
            <w:tcW w:w="5477" w:type="dxa"/>
            <w:shd w:val="clear" w:color="auto" w:fill="auto"/>
            <w:vAlign w:val="center"/>
          </w:tcPr>
          <w:p w14:paraId="1B3446E6">
            <w:pPr>
              <w:spacing w:line="276" w:lineRule="auto"/>
              <w:rPr>
                <w:rFonts w:hint="eastAsia" w:cs="Times New Roman" w:asciiTheme="minorEastAsia" w:hAnsiTheme="minorEastAsia" w:eastAsiaTheme="minorEastAsia"/>
              </w:rPr>
            </w:pPr>
            <w:r>
              <w:rPr>
                <w:rFonts w:hint="eastAsia" w:cs="Times New Roman" w:asciiTheme="minorEastAsia" w:hAnsiTheme="minorEastAsia" w:eastAsiaTheme="minorEastAsia"/>
                <w:lang w:eastAsia="zh-CN"/>
              </w:rPr>
              <w:t>在子基金完成70%的投资进度之前，子基金的基金合同、合伙协议或公司章程应当约定对子基金投委会委员</w:t>
            </w:r>
            <w:r>
              <w:rPr>
                <w:rFonts w:hint="eastAsia" w:cs="Times New Roman" w:asciiTheme="minorEastAsia" w:hAnsiTheme="minorEastAsia" w:eastAsiaTheme="minorEastAsia"/>
                <w:lang w:val="en-US" w:eastAsia="zh-CN"/>
              </w:rPr>
              <w:t>/</w:t>
            </w:r>
            <w:r>
              <w:rPr>
                <w:rFonts w:hint="eastAsia" w:cs="Times New Roman" w:asciiTheme="minorEastAsia" w:hAnsiTheme="minorEastAsia" w:eastAsiaTheme="minorEastAsia"/>
                <w:lang w:eastAsia="zh-CN"/>
              </w:rPr>
              <w:t>管理团队核心成员进行锁定，管理团队核心成员原则上不得变更，不得发起、设立或管理同领域和同类型投资策略的基金，不得作为前述基金的关键人，锁定人员如发生变动应当经合伙人大会等子基金相关权力机构表决通过</w:t>
            </w:r>
            <w:r>
              <w:rPr>
                <w:rFonts w:hint="eastAsia" w:cs="Times New Roman" w:asciiTheme="minorEastAsia" w:hAnsiTheme="minorEastAsia" w:eastAsiaTheme="minorEastAsia"/>
              </w:rPr>
              <w:t>。</w:t>
            </w:r>
          </w:p>
        </w:tc>
        <w:tc>
          <w:tcPr>
            <w:tcW w:w="983" w:type="dxa"/>
            <w:shd w:val="clear" w:color="auto" w:fill="auto"/>
            <w:vAlign w:val="center"/>
          </w:tcPr>
          <w:p w14:paraId="6CFE1D2A">
            <w:pPr>
              <w:spacing w:line="276" w:lineRule="auto"/>
              <w:jc w:val="center"/>
            </w:pPr>
          </w:p>
        </w:tc>
        <w:tc>
          <w:tcPr>
            <w:tcW w:w="1323" w:type="dxa"/>
            <w:shd w:val="clear" w:color="auto" w:fill="auto"/>
            <w:vAlign w:val="center"/>
          </w:tcPr>
          <w:p w14:paraId="27A5B848">
            <w:pPr>
              <w:spacing w:line="276" w:lineRule="auto"/>
            </w:pPr>
          </w:p>
        </w:tc>
      </w:tr>
      <w:tr w14:paraId="43CE6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143" w:type="dxa"/>
            <w:shd w:val="clear" w:color="auto" w:fill="auto"/>
            <w:vAlign w:val="center"/>
          </w:tcPr>
          <w:p w14:paraId="678DE6DA">
            <w:pPr>
              <w:spacing w:line="276" w:lineRule="auto"/>
              <w:rPr>
                <w:rFonts w:hint="default" w:cs="Times New Roman" w:asciiTheme="minorEastAsia" w:hAnsiTheme="minorEastAsia" w:eastAsiaTheme="minorEastAsia"/>
                <w:lang w:val="en-US" w:eastAsia="zh-CN"/>
              </w:rPr>
            </w:pPr>
            <w:r>
              <w:rPr>
                <w:rFonts w:hint="eastAsia" w:cs="Times New Roman" w:asciiTheme="minorEastAsia" w:hAnsiTheme="minorEastAsia" w:eastAsiaTheme="minorEastAsia"/>
                <w:lang w:val="en-US" w:eastAsia="zh-CN"/>
              </w:rPr>
              <w:t>投资禁止</w:t>
            </w:r>
          </w:p>
        </w:tc>
        <w:tc>
          <w:tcPr>
            <w:tcW w:w="5477" w:type="dxa"/>
            <w:shd w:val="clear" w:color="auto" w:fill="auto"/>
            <w:vAlign w:val="center"/>
          </w:tcPr>
          <w:p w14:paraId="100E9187">
            <w:pPr>
              <w:spacing w:line="276" w:lineRule="auto"/>
              <w:rPr>
                <w:rFonts w:hint="eastAsia" w:cs="Times New Roman" w:asciiTheme="minorEastAsia" w:hAnsiTheme="minorEastAsia" w:eastAsiaTheme="minorEastAsia"/>
                <w:lang w:eastAsia="zh-CN"/>
              </w:rPr>
            </w:pPr>
            <w:r>
              <w:rPr>
                <w:rFonts w:hint="eastAsia" w:cs="Times New Roman" w:asciiTheme="minorEastAsia" w:hAnsiTheme="minorEastAsia" w:eastAsiaTheme="minorEastAsia"/>
                <w:lang w:val="en-US" w:eastAsia="zh-CN"/>
              </w:rPr>
              <w:t>1.</w:t>
            </w:r>
            <w:r>
              <w:rPr>
                <w:rFonts w:hint="eastAsia" w:cs="Times New Roman" w:asciiTheme="minorEastAsia" w:hAnsiTheme="minorEastAsia" w:eastAsiaTheme="minorEastAsia"/>
                <w:lang w:eastAsia="zh-CN"/>
              </w:rPr>
              <w:t>经营或者变相经营借（存）贷、担保、抵押、委托贷款、明股实债、吸收或变相吸收存款，或向第三方提供贷款和资金拆借等非私募基金投资活动，但以股权投资为目的可转债除外（应设置合理的期限及转股条件，可转债期限应在一年以内，可转债投资余额合计不应高于基金实缴规模的百分之二十（20%））；</w:t>
            </w:r>
          </w:p>
          <w:p w14:paraId="77BDE372">
            <w:pPr>
              <w:spacing w:line="276" w:lineRule="auto"/>
              <w:rPr>
                <w:rFonts w:hint="eastAsia" w:cs="Times New Roman" w:asciiTheme="minorEastAsia" w:hAnsiTheme="minorEastAsia" w:eastAsiaTheme="minorEastAsia"/>
                <w:lang w:eastAsia="zh-CN"/>
              </w:rPr>
            </w:pPr>
            <w:r>
              <w:rPr>
                <w:rFonts w:hint="eastAsia" w:cs="Times New Roman" w:asciiTheme="minorEastAsia" w:hAnsiTheme="minorEastAsia" w:eastAsiaTheme="minorEastAsia"/>
                <w:lang w:val="en-US" w:eastAsia="zh-CN"/>
              </w:rPr>
              <w:t>2.</w:t>
            </w:r>
            <w:r>
              <w:rPr>
                <w:rFonts w:hint="eastAsia" w:cs="Times New Roman" w:asciiTheme="minorEastAsia" w:hAnsiTheme="minorEastAsia" w:eastAsiaTheme="minorEastAsia"/>
                <w:lang w:eastAsia="zh-CN"/>
              </w:rPr>
              <w:t>投向保理资产、融资租赁资产、典当资产等类信贷资产、股权或其收（受）益权；</w:t>
            </w:r>
          </w:p>
          <w:p w14:paraId="2BCE8B53">
            <w:pPr>
              <w:spacing w:line="276" w:lineRule="auto"/>
              <w:rPr>
                <w:rFonts w:hint="eastAsia" w:cs="Times New Roman" w:asciiTheme="minorEastAsia" w:hAnsiTheme="minorEastAsia" w:eastAsiaTheme="minorEastAsia"/>
                <w:lang w:eastAsia="zh-CN"/>
              </w:rPr>
            </w:pPr>
            <w:r>
              <w:rPr>
                <w:rFonts w:hint="eastAsia" w:cs="Times New Roman" w:asciiTheme="minorEastAsia" w:hAnsiTheme="minorEastAsia" w:eastAsiaTheme="minorEastAsia"/>
                <w:lang w:val="en-US" w:eastAsia="zh-CN"/>
              </w:rPr>
              <w:t>3.</w:t>
            </w:r>
            <w:r>
              <w:rPr>
                <w:rFonts w:hint="eastAsia" w:cs="Times New Roman" w:asciiTheme="minorEastAsia" w:hAnsiTheme="minorEastAsia" w:eastAsiaTheme="minorEastAsia"/>
                <w:lang w:eastAsia="zh-CN"/>
              </w:rPr>
              <w:t>投资二级市场股票、期货、房地产、证券投资基金、评级AAA以下的企业债、信托产品、非保本型理财产品、保险计划及其他金融衍生品；</w:t>
            </w:r>
          </w:p>
          <w:p w14:paraId="10532701">
            <w:pPr>
              <w:spacing w:line="276" w:lineRule="auto"/>
              <w:rPr>
                <w:rFonts w:hint="eastAsia" w:cs="Times New Roman" w:asciiTheme="minorEastAsia" w:hAnsiTheme="minorEastAsia" w:eastAsiaTheme="minorEastAsia"/>
                <w:lang w:eastAsia="zh-CN"/>
              </w:rPr>
            </w:pPr>
            <w:r>
              <w:rPr>
                <w:rFonts w:hint="eastAsia" w:cs="Times New Roman" w:asciiTheme="minorEastAsia" w:hAnsiTheme="minorEastAsia" w:eastAsiaTheme="minorEastAsia"/>
                <w:lang w:val="en-US" w:eastAsia="zh-CN"/>
              </w:rPr>
              <w:t>4.</w:t>
            </w:r>
            <w:r>
              <w:rPr>
                <w:rFonts w:hint="eastAsia" w:cs="Times New Roman" w:asciiTheme="minorEastAsia" w:hAnsiTheme="minorEastAsia" w:eastAsiaTheme="minorEastAsia"/>
                <w:lang w:eastAsia="zh-CN"/>
              </w:rPr>
              <w:t>向任何第三方提供赞助、捐赠（经批准的公益性捐赠除外）；</w:t>
            </w:r>
          </w:p>
          <w:p w14:paraId="367F38EB">
            <w:pPr>
              <w:spacing w:line="276" w:lineRule="auto"/>
              <w:rPr>
                <w:rFonts w:hint="eastAsia" w:cs="Times New Roman" w:asciiTheme="minorEastAsia" w:hAnsiTheme="minorEastAsia" w:eastAsiaTheme="minorEastAsia"/>
                <w:lang w:eastAsia="zh-CN"/>
              </w:rPr>
            </w:pPr>
            <w:r>
              <w:rPr>
                <w:rFonts w:hint="eastAsia" w:cs="Times New Roman" w:asciiTheme="minorEastAsia" w:hAnsiTheme="minorEastAsia" w:eastAsiaTheme="minorEastAsia"/>
                <w:lang w:val="en-US" w:eastAsia="zh-CN"/>
              </w:rPr>
              <w:t>5.</w:t>
            </w:r>
            <w:r>
              <w:rPr>
                <w:rFonts w:hint="eastAsia" w:cs="Times New Roman" w:asciiTheme="minorEastAsia" w:hAnsiTheme="minorEastAsia" w:eastAsiaTheme="minorEastAsia"/>
                <w:lang w:eastAsia="zh-CN"/>
              </w:rPr>
              <w:t>进行承担无限连带责任的对外投资；</w:t>
            </w:r>
          </w:p>
          <w:p w14:paraId="798F90D8">
            <w:pPr>
              <w:spacing w:line="276" w:lineRule="auto"/>
              <w:rPr>
                <w:rFonts w:hint="eastAsia" w:cs="Times New Roman" w:asciiTheme="minorEastAsia" w:hAnsiTheme="minorEastAsia" w:eastAsiaTheme="minorEastAsia"/>
                <w:lang w:eastAsia="zh-CN"/>
              </w:rPr>
            </w:pPr>
            <w:r>
              <w:rPr>
                <w:rFonts w:hint="eastAsia" w:cs="Times New Roman" w:asciiTheme="minorEastAsia" w:hAnsiTheme="minorEastAsia" w:eastAsiaTheme="minorEastAsia"/>
                <w:lang w:val="en-US" w:eastAsia="zh-CN"/>
              </w:rPr>
              <w:t>6.</w:t>
            </w:r>
            <w:r>
              <w:rPr>
                <w:rFonts w:hint="eastAsia" w:cs="Times New Roman" w:asciiTheme="minorEastAsia" w:hAnsiTheme="minorEastAsia" w:eastAsiaTheme="minorEastAsia"/>
                <w:lang w:eastAsia="zh-CN"/>
              </w:rPr>
              <w:t>直接或者间接投资于国家禁止或者限制投资的项目，不符合国家产业政策、环境保护政策、土地管理政策的项目；</w:t>
            </w:r>
          </w:p>
          <w:p w14:paraId="3CF4BC10">
            <w:pPr>
              <w:spacing w:line="276" w:lineRule="auto"/>
              <w:rPr>
                <w:rFonts w:hint="eastAsia" w:cs="Times New Roman" w:asciiTheme="minorEastAsia" w:hAnsiTheme="minorEastAsia" w:eastAsiaTheme="minorEastAsia"/>
                <w:lang w:eastAsia="zh-CN"/>
              </w:rPr>
            </w:pPr>
            <w:r>
              <w:rPr>
                <w:rFonts w:hint="eastAsia" w:cs="Times New Roman" w:asciiTheme="minorEastAsia" w:hAnsiTheme="minorEastAsia" w:eastAsiaTheme="minorEastAsia"/>
                <w:lang w:val="en-US" w:eastAsia="zh-CN"/>
              </w:rPr>
              <w:t>7.</w:t>
            </w:r>
            <w:r>
              <w:rPr>
                <w:rFonts w:hint="eastAsia" w:cs="Times New Roman" w:asciiTheme="minorEastAsia" w:hAnsiTheme="minorEastAsia" w:eastAsiaTheme="minorEastAsia"/>
                <w:lang w:eastAsia="zh-CN"/>
              </w:rPr>
              <w:t>发行信托或集合理财产品募集资金；</w:t>
            </w:r>
          </w:p>
          <w:p w14:paraId="5DE53C2E">
            <w:pPr>
              <w:spacing w:line="276" w:lineRule="auto"/>
              <w:rPr>
                <w:rFonts w:hint="eastAsia" w:cs="Times New Roman" w:asciiTheme="minorEastAsia" w:hAnsiTheme="minorEastAsia" w:eastAsiaTheme="minorEastAsia"/>
              </w:rPr>
            </w:pPr>
            <w:r>
              <w:rPr>
                <w:rFonts w:hint="eastAsia" w:cs="Times New Roman" w:asciiTheme="minorEastAsia" w:hAnsiTheme="minorEastAsia" w:eastAsiaTheme="minorEastAsia"/>
                <w:lang w:val="en-US" w:eastAsia="zh-CN"/>
              </w:rPr>
              <w:t>8.</w:t>
            </w:r>
            <w:r>
              <w:rPr>
                <w:rFonts w:hint="eastAsia" w:cs="Times New Roman" w:asciiTheme="minorEastAsia" w:hAnsiTheme="minorEastAsia" w:eastAsiaTheme="minorEastAsia"/>
                <w:lang w:eastAsia="zh-CN"/>
              </w:rPr>
              <w:t>其他法律、行政法规和中国证监会及其他监管机构禁止的其他业务及/或投资活动。</w:t>
            </w:r>
          </w:p>
        </w:tc>
        <w:tc>
          <w:tcPr>
            <w:tcW w:w="983" w:type="dxa"/>
            <w:shd w:val="clear" w:color="auto" w:fill="auto"/>
            <w:vAlign w:val="center"/>
          </w:tcPr>
          <w:p w14:paraId="646CC2DE">
            <w:pPr>
              <w:spacing w:line="276" w:lineRule="auto"/>
              <w:jc w:val="center"/>
            </w:pPr>
          </w:p>
        </w:tc>
        <w:tc>
          <w:tcPr>
            <w:tcW w:w="1323" w:type="dxa"/>
            <w:shd w:val="clear" w:color="auto" w:fill="auto"/>
            <w:vAlign w:val="center"/>
          </w:tcPr>
          <w:p w14:paraId="1BACFB0C">
            <w:pPr>
              <w:spacing w:line="276" w:lineRule="auto"/>
            </w:pPr>
          </w:p>
        </w:tc>
      </w:tr>
      <w:tr w14:paraId="24261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143" w:type="dxa"/>
            <w:shd w:val="clear" w:color="auto" w:fill="auto"/>
            <w:vAlign w:val="center"/>
          </w:tcPr>
          <w:p w14:paraId="7288D237">
            <w:pPr>
              <w:spacing w:line="276"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闲置资金管理</w:t>
            </w:r>
          </w:p>
          <w:p w14:paraId="77C36DAE">
            <w:pPr>
              <w:spacing w:line="276" w:lineRule="auto"/>
              <w:rPr>
                <w:rFonts w:hint="eastAsia" w:cs="Times New Roman" w:asciiTheme="minorEastAsia" w:hAnsiTheme="minorEastAsia" w:eastAsiaTheme="minorEastAsia"/>
              </w:rPr>
            </w:pPr>
          </w:p>
        </w:tc>
        <w:tc>
          <w:tcPr>
            <w:tcW w:w="5477" w:type="dxa"/>
            <w:shd w:val="clear" w:color="auto" w:fill="auto"/>
            <w:vAlign w:val="center"/>
          </w:tcPr>
          <w:p w14:paraId="41786C84">
            <w:pPr>
              <w:spacing w:line="276" w:lineRule="auto"/>
              <w:rPr>
                <w:rFonts w:hint="eastAsia" w:cs="Times New Roman" w:asciiTheme="minorEastAsia" w:hAnsiTheme="minorEastAsia" w:eastAsiaTheme="minorEastAsia"/>
              </w:rPr>
            </w:pPr>
            <w:r>
              <w:rPr>
                <w:rFonts w:hint="eastAsia" w:asciiTheme="minorEastAsia" w:hAnsiTheme="minorEastAsia" w:eastAsiaTheme="minorEastAsia"/>
                <w:sz w:val="21"/>
                <w:szCs w:val="22"/>
              </w:rPr>
              <w:t>子基金的闲置资金</w:t>
            </w:r>
            <w:r>
              <w:rPr>
                <w:rFonts w:hint="eastAsia" w:asciiTheme="minorEastAsia" w:hAnsiTheme="minorEastAsia" w:eastAsiaTheme="minorEastAsia"/>
                <w:sz w:val="21"/>
                <w:szCs w:val="22"/>
                <w:lang w:val="en-US" w:eastAsia="zh-CN"/>
              </w:rPr>
              <w:t>可以以现金管理为目的，</w:t>
            </w:r>
            <w:r>
              <w:rPr>
                <w:rFonts w:hint="eastAsia" w:asciiTheme="minorEastAsia" w:hAnsiTheme="minorEastAsia" w:eastAsiaTheme="minorEastAsia"/>
                <w:sz w:val="21"/>
                <w:szCs w:val="22"/>
              </w:rPr>
              <w:t>投资于银行</w:t>
            </w:r>
            <w:r>
              <w:rPr>
                <w:rFonts w:hint="eastAsia" w:asciiTheme="minorEastAsia" w:hAnsiTheme="minorEastAsia" w:eastAsiaTheme="minorEastAsia"/>
                <w:sz w:val="21"/>
                <w:szCs w:val="22"/>
                <w:lang w:val="en-US" w:eastAsia="zh-CN"/>
              </w:rPr>
              <w:t>活期</w:t>
            </w:r>
            <w:r>
              <w:rPr>
                <w:rFonts w:hint="eastAsia" w:asciiTheme="minorEastAsia" w:hAnsiTheme="minorEastAsia" w:eastAsiaTheme="minorEastAsia"/>
                <w:sz w:val="21"/>
                <w:szCs w:val="22"/>
              </w:rPr>
              <w:t>存款、国债、</w:t>
            </w:r>
            <w:r>
              <w:rPr>
                <w:rFonts w:hint="eastAsia" w:asciiTheme="minorEastAsia" w:hAnsiTheme="minorEastAsia" w:eastAsiaTheme="minorEastAsia"/>
                <w:sz w:val="21"/>
                <w:szCs w:val="22"/>
                <w:lang w:val="en-US" w:eastAsia="zh-CN"/>
              </w:rPr>
              <w:t>中央银行票据、货币市场基金等中国证监会认可的现金管理工具</w:t>
            </w:r>
            <w:r>
              <w:rPr>
                <w:rFonts w:hint="eastAsia" w:asciiTheme="minorEastAsia" w:hAnsiTheme="minorEastAsia" w:eastAsiaTheme="minorEastAsia"/>
                <w:sz w:val="21"/>
                <w:szCs w:val="22"/>
                <w:lang w:val="en-US" w:eastAsia="zh-CN"/>
              </w:rPr>
              <w:t>。</w:t>
            </w:r>
          </w:p>
        </w:tc>
        <w:tc>
          <w:tcPr>
            <w:tcW w:w="983" w:type="dxa"/>
            <w:shd w:val="clear" w:color="auto" w:fill="auto"/>
            <w:vAlign w:val="center"/>
          </w:tcPr>
          <w:p w14:paraId="26815B6E">
            <w:pPr>
              <w:spacing w:line="276" w:lineRule="auto"/>
              <w:jc w:val="center"/>
            </w:pPr>
          </w:p>
        </w:tc>
        <w:tc>
          <w:tcPr>
            <w:tcW w:w="1323" w:type="dxa"/>
            <w:shd w:val="clear" w:color="auto" w:fill="auto"/>
            <w:vAlign w:val="center"/>
          </w:tcPr>
          <w:p w14:paraId="14F78E6D">
            <w:pPr>
              <w:spacing w:line="276" w:lineRule="auto"/>
            </w:pPr>
          </w:p>
        </w:tc>
      </w:tr>
      <w:tr w14:paraId="08FF6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143" w:type="dxa"/>
            <w:shd w:val="clear" w:color="auto" w:fill="auto"/>
            <w:vAlign w:val="center"/>
          </w:tcPr>
          <w:p w14:paraId="1F579BDB">
            <w:pPr>
              <w:spacing w:line="276"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资金托管</w:t>
            </w:r>
          </w:p>
          <w:p w14:paraId="1D29690D">
            <w:pPr>
              <w:spacing w:line="276" w:lineRule="auto"/>
              <w:rPr>
                <w:rFonts w:hint="eastAsia" w:cs="Times New Roman" w:asciiTheme="minorEastAsia" w:hAnsiTheme="minorEastAsia" w:eastAsiaTheme="minorEastAsia"/>
              </w:rPr>
            </w:pPr>
          </w:p>
        </w:tc>
        <w:tc>
          <w:tcPr>
            <w:tcW w:w="5477" w:type="dxa"/>
            <w:shd w:val="clear" w:color="auto" w:fill="auto"/>
            <w:vAlign w:val="center"/>
          </w:tcPr>
          <w:p w14:paraId="54FF4673">
            <w:pPr>
              <w:spacing w:line="276"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子基金资产应委托一家在中国境内设立、具有合法资质且具有基金托管经验的商业银行进行托管。</w:t>
            </w:r>
          </w:p>
          <w:p w14:paraId="207AE502">
            <w:pPr>
              <w:pStyle w:val="2"/>
              <w:ind w:firstLine="0" w:firstLineChars="0"/>
              <w:rPr>
                <w:rFonts w:hint="eastAsia"/>
              </w:rPr>
            </w:pPr>
            <w:r>
              <w:rPr>
                <w:rFonts w:hint="eastAsia"/>
              </w:rPr>
              <w:t>托管银行接受子基金委托并签订资金托管协议，按照托管协议开展资产保管、资金拨付和结算等日常工作，对托管资金进行动态监管，确保子基金按约定方向投资，并定期向子基金管理机构提交资金收支情况报告。</w:t>
            </w:r>
          </w:p>
        </w:tc>
        <w:tc>
          <w:tcPr>
            <w:tcW w:w="983" w:type="dxa"/>
            <w:shd w:val="clear" w:color="auto" w:fill="auto"/>
            <w:vAlign w:val="center"/>
          </w:tcPr>
          <w:p w14:paraId="109C3614">
            <w:pPr>
              <w:spacing w:line="276" w:lineRule="auto"/>
              <w:jc w:val="center"/>
            </w:pPr>
          </w:p>
        </w:tc>
        <w:tc>
          <w:tcPr>
            <w:tcW w:w="1323" w:type="dxa"/>
            <w:shd w:val="clear" w:color="auto" w:fill="auto"/>
            <w:vAlign w:val="center"/>
          </w:tcPr>
          <w:p w14:paraId="49A2B33A">
            <w:pPr>
              <w:spacing w:line="276" w:lineRule="auto"/>
            </w:pPr>
          </w:p>
        </w:tc>
      </w:tr>
      <w:tr w14:paraId="63C16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143" w:type="dxa"/>
            <w:shd w:val="clear" w:color="auto" w:fill="auto"/>
            <w:vAlign w:val="center"/>
          </w:tcPr>
          <w:p w14:paraId="0759F4AD">
            <w:pPr>
              <w:spacing w:line="276"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代表委派</w:t>
            </w:r>
          </w:p>
          <w:p w14:paraId="077248E6">
            <w:pPr>
              <w:spacing w:line="276" w:lineRule="auto"/>
              <w:rPr>
                <w:rFonts w:hint="eastAsia" w:cs="Times New Roman" w:asciiTheme="minorEastAsia" w:hAnsiTheme="minorEastAsia" w:eastAsiaTheme="minorEastAsia"/>
              </w:rPr>
            </w:pPr>
          </w:p>
        </w:tc>
        <w:tc>
          <w:tcPr>
            <w:tcW w:w="5477" w:type="dxa"/>
            <w:shd w:val="clear" w:color="auto" w:fill="auto"/>
            <w:vAlign w:val="center"/>
          </w:tcPr>
          <w:p w14:paraId="179DBF3F">
            <w:pPr>
              <w:spacing w:line="276" w:lineRule="auto"/>
              <w:rPr>
                <w:rFonts w:hint="eastAsia" w:cs="Times New Roman" w:asciiTheme="minorEastAsia" w:hAnsiTheme="minorEastAsia" w:eastAsiaTheme="minorEastAsia"/>
              </w:rPr>
            </w:pPr>
            <w:r>
              <w:rPr>
                <w:rFonts w:hint="eastAsia" w:cs="Times New Roman" w:asciiTheme="minorEastAsia" w:hAnsiTheme="minorEastAsia" w:eastAsiaTheme="minorEastAsia"/>
                <w:kern w:val="2"/>
                <w:sz w:val="21"/>
                <w:szCs w:val="22"/>
                <w:lang w:eastAsia="zh-CN"/>
              </w:rPr>
              <w:t>湖北文旅基金</w:t>
            </w:r>
            <w:r>
              <w:rPr>
                <w:rFonts w:hint="eastAsia" w:cs="Times New Roman" w:asciiTheme="minorEastAsia" w:hAnsiTheme="minorEastAsia" w:eastAsiaTheme="minorEastAsia"/>
                <w:kern w:val="2"/>
                <w:sz w:val="21"/>
                <w:szCs w:val="22"/>
                <w:lang w:val="en-US" w:eastAsia="zh-CN"/>
              </w:rPr>
              <w:t>根据子基金的</w:t>
            </w:r>
            <w:r>
              <w:rPr>
                <w:rFonts w:hint="eastAsia" w:asciiTheme="minorEastAsia" w:hAnsiTheme="minorEastAsia" w:eastAsiaTheme="minorEastAsia"/>
                <w:sz w:val="21"/>
              </w:rPr>
              <w:t>基金合同、合伙协议或公司章程</w:t>
            </w:r>
            <w:r>
              <w:rPr>
                <w:rFonts w:hint="eastAsia" w:cs="Times New Roman" w:asciiTheme="minorEastAsia" w:hAnsiTheme="minorEastAsia" w:eastAsiaTheme="minorEastAsia"/>
                <w:kern w:val="2"/>
                <w:sz w:val="21"/>
                <w:szCs w:val="22"/>
                <w:lang w:val="en-US" w:eastAsia="zh-CN"/>
              </w:rPr>
              <w:t>约定向子基金委派相应代表行使出资人权利</w:t>
            </w:r>
            <w:r>
              <w:rPr>
                <w:rFonts w:hint="eastAsia" w:cs="Times New Roman" w:asciiTheme="minorEastAsia" w:hAnsiTheme="minorEastAsia" w:eastAsiaTheme="minorEastAsia"/>
                <w:kern w:val="2"/>
                <w:sz w:val="21"/>
                <w:szCs w:val="22"/>
                <w:lang w:val="en-US" w:eastAsia="zh-CN"/>
              </w:rPr>
              <w:t>。</w:t>
            </w:r>
          </w:p>
        </w:tc>
        <w:tc>
          <w:tcPr>
            <w:tcW w:w="983" w:type="dxa"/>
            <w:shd w:val="clear" w:color="auto" w:fill="auto"/>
            <w:vAlign w:val="center"/>
          </w:tcPr>
          <w:p w14:paraId="1A960CD6">
            <w:pPr>
              <w:spacing w:line="276" w:lineRule="auto"/>
              <w:jc w:val="center"/>
            </w:pPr>
          </w:p>
        </w:tc>
        <w:tc>
          <w:tcPr>
            <w:tcW w:w="1323" w:type="dxa"/>
            <w:shd w:val="clear" w:color="auto" w:fill="auto"/>
            <w:vAlign w:val="center"/>
          </w:tcPr>
          <w:p w14:paraId="0E1A7F3E">
            <w:pPr>
              <w:spacing w:line="276" w:lineRule="auto"/>
            </w:pPr>
          </w:p>
        </w:tc>
      </w:tr>
      <w:tr w14:paraId="52AE0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143" w:type="dxa"/>
            <w:shd w:val="clear" w:color="auto" w:fill="auto"/>
            <w:vAlign w:val="center"/>
          </w:tcPr>
          <w:p w14:paraId="251AD279">
            <w:pPr>
              <w:spacing w:line="276"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强制退出权</w:t>
            </w:r>
          </w:p>
          <w:p w14:paraId="5863D0CD">
            <w:pPr>
              <w:spacing w:line="276" w:lineRule="auto"/>
              <w:rPr>
                <w:rFonts w:hint="eastAsia" w:cs="Times New Roman" w:asciiTheme="minorEastAsia" w:hAnsiTheme="minorEastAsia" w:eastAsiaTheme="minorEastAsia"/>
              </w:rPr>
            </w:pPr>
          </w:p>
        </w:tc>
        <w:tc>
          <w:tcPr>
            <w:tcW w:w="5477" w:type="dxa"/>
            <w:shd w:val="clear" w:color="auto" w:fill="auto"/>
            <w:vAlign w:val="center"/>
          </w:tcPr>
          <w:p w14:paraId="5A2C5756">
            <w:pPr>
              <w:snapToGrid/>
              <w:spacing w:line="276" w:lineRule="auto"/>
              <w:ind w:firstLine="0" w:firstLineChars="0"/>
              <w:jc w:val="left"/>
              <w:rPr>
                <w:rFonts w:hint="eastAsia" w:cs="Times New Roman" w:asciiTheme="minorEastAsia" w:hAnsiTheme="minorEastAsia" w:eastAsiaTheme="minorEastAsia"/>
                <w:sz w:val="21"/>
                <w:szCs w:val="22"/>
              </w:rPr>
            </w:pPr>
            <w:r>
              <w:rPr>
                <w:rFonts w:hint="eastAsia" w:cs="Times New Roman" w:asciiTheme="minorEastAsia" w:hAnsiTheme="minorEastAsia" w:eastAsiaTheme="minorEastAsia"/>
                <w:sz w:val="21"/>
                <w:szCs w:val="22"/>
              </w:rPr>
              <w:t>在如下情况发生时，</w:t>
            </w:r>
            <w:r>
              <w:rPr>
                <w:rFonts w:hint="eastAsia" w:cs="Times New Roman" w:asciiTheme="minorEastAsia" w:hAnsiTheme="minorEastAsia" w:eastAsiaTheme="minorEastAsia"/>
                <w:sz w:val="21"/>
                <w:szCs w:val="22"/>
                <w:lang w:val="en-US" w:eastAsia="zh-CN"/>
              </w:rPr>
              <w:t>湖北文旅基金</w:t>
            </w:r>
            <w:r>
              <w:rPr>
                <w:rFonts w:hint="eastAsia" w:cs="Times New Roman" w:asciiTheme="minorEastAsia" w:hAnsiTheme="minorEastAsia" w:eastAsiaTheme="minorEastAsia"/>
                <w:sz w:val="21"/>
                <w:szCs w:val="22"/>
              </w:rPr>
              <w:t>有权要求退伙或者将其基金份额转让给合伙人/合伙人以外的人，且不视为</w:t>
            </w:r>
            <w:r>
              <w:rPr>
                <w:rFonts w:hint="eastAsia" w:cs="Times New Roman" w:asciiTheme="minorEastAsia" w:hAnsiTheme="minorEastAsia" w:eastAsiaTheme="minorEastAsia"/>
                <w:sz w:val="21"/>
                <w:szCs w:val="22"/>
                <w:lang w:val="en-US" w:eastAsia="zh-CN"/>
              </w:rPr>
              <w:t>湖北文旅基金</w:t>
            </w:r>
            <w:r>
              <w:rPr>
                <w:rFonts w:hint="eastAsia" w:cs="Times New Roman" w:asciiTheme="minorEastAsia" w:hAnsiTheme="minorEastAsia" w:eastAsiaTheme="minorEastAsia"/>
                <w:sz w:val="21"/>
                <w:szCs w:val="22"/>
              </w:rPr>
              <w:t>违约，应由</w:t>
            </w:r>
            <w:r>
              <w:rPr>
                <w:rFonts w:hint="eastAsia" w:cs="Times New Roman" w:asciiTheme="minorEastAsia" w:hAnsiTheme="minorEastAsia" w:eastAsiaTheme="minorEastAsia"/>
                <w:sz w:val="21"/>
                <w:szCs w:val="22"/>
                <w:lang w:eastAsia="zh-CN"/>
              </w:rPr>
              <w:t>湖北文旅基金</w:t>
            </w:r>
            <w:r>
              <w:rPr>
                <w:rFonts w:hint="eastAsia" w:cs="Times New Roman" w:asciiTheme="minorEastAsia" w:hAnsiTheme="minorEastAsia" w:eastAsiaTheme="minorEastAsia"/>
                <w:sz w:val="21"/>
                <w:szCs w:val="22"/>
              </w:rPr>
              <w:t>聘请具备资质的中介机构对所持基金份额进行专项审计和资产评估，作为确定退出价格的依据。届时，</w:t>
            </w:r>
            <w:r>
              <w:rPr>
                <w:rFonts w:hint="eastAsia" w:cs="Times New Roman" w:asciiTheme="minorEastAsia" w:hAnsiTheme="minorEastAsia" w:eastAsiaTheme="minorEastAsia"/>
                <w:sz w:val="21"/>
                <w:szCs w:val="22"/>
                <w:lang w:val="en-US" w:eastAsia="zh-CN"/>
              </w:rPr>
              <w:t>子基金</w:t>
            </w:r>
            <w:r>
              <w:rPr>
                <w:rFonts w:hint="eastAsia" w:cs="Times New Roman" w:asciiTheme="minorEastAsia" w:hAnsiTheme="minorEastAsia" w:eastAsiaTheme="minorEastAsia"/>
                <w:sz w:val="21"/>
                <w:szCs w:val="22"/>
              </w:rPr>
              <w:t>其他合伙人应签署一切必要的文件或履行所有必要的程序以确保</w:t>
            </w:r>
            <w:r>
              <w:rPr>
                <w:rFonts w:hint="eastAsia" w:cs="Times New Roman" w:asciiTheme="minorEastAsia" w:hAnsiTheme="minorEastAsia" w:eastAsiaTheme="minorEastAsia"/>
                <w:sz w:val="21"/>
                <w:szCs w:val="22"/>
                <w:lang w:eastAsia="zh-CN"/>
              </w:rPr>
              <w:t>湖北文旅基金</w:t>
            </w:r>
            <w:r>
              <w:rPr>
                <w:rFonts w:hint="eastAsia" w:cs="Times New Roman" w:asciiTheme="minorEastAsia" w:hAnsiTheme="minorEastAsia" w:eastAsiaTheme="minorEastAsia"/>
                <w:sz w:val="21"/>
                <w:szCs w:val="22"/>
              </w:rPr>
              <w:t>的上述权利。这些情况包括：</w:t>
            </w:r>
          </w:p>
          <w:p w14:paraId="36A0D236">
            <w:pPr>
              <w:snapToGrid/>
              <w:spacing w:line="276" w:lineRule="auto"/>
              <w:ind w:firstLine="0" w:firstLineChars="0"/>
              <w:jc w:val="left"/>
              <w:rPr>
                <w:rFonts w:hint="eastAsia" w:cs="Times New Roman" w:asciiTheme="minorEastAsia" w:hAnsiTheme="minorEastAsia" w:eastAsiaTheme="minorEastAsia"/>
                <w:sz w:val="21"/>
                <w:szCs w:val="22"/>
              </w:rPr>
            </w:pPr>
            <w:r>
              <w:rPr>
                <w:rFonts w:hint="eastAsia" w:cs="Times New Roman" w:asciiTheme="minorEastAsia" w:hAnsiTheme="minorEastAsia" w:eastAsiaTheme="minorEastAsia"/>
                <w:sz w:val="21"/>
                <w:szCs w:val="22"/>
              </w:rPr>
              <w:t>（1）</w:t>
            </w:r>
            <w:r>
              <w:rPr>
                <w:rFonts w:hint="eastAsia" w:cs="Times New Roman" w:asciiTheme="minorEastAsia" w:hAnsiTheme="minorEastAsia" w:eastAsiaTheme="minorEastAsia"/>
                <w:sz w:val="21"/>
                <w:szCs w:val="22"/>
                <w:lang w:val="en-US" w:eastAsia="zh-CN"/>
              </w:rPr>
              <w:t>子</w:t>
            </w:r>
            <w:r>
              <w:rPr>
                <w:rFonts w:hint="eastAsia" w:cs="Times New Roman" w:asciiTheme="minorEastAsia" w:hAnsiTheme="minorEastAsia" w:eastAsiaTheme="minorEastAsia"/>
                <w:sz w:val="21"/>
                <w:szCs w:val="22"/>
              </w:rPr>
              <w:t>基金设立方案审批后超过一年，未按规定程序和时间要求完成设立手续的；</w:t>
            </w:r>
          </w:p>
          <w:p w14:paraId="205E6F15">
            <w:pPr>
              <w:snapToGrid/>
              <w:spacing w:line="276" w:lineRule="auto"/>
              <w:ind w:firstLine="0" w:firstLineChars="0"/>
              <w:jc w:val="left"/>
              <w:rPr>
                <w:rFonts w:hint="eastAsia" w:cs="Times New Roman" w:asciiTheme="minorEastAsia" w:hAnsiTheme="minorEastAsia" w:eastAsiaTheme="minorEastAsia"/>
                <w:sz w:val="21"/>
                <w:szCs w:val="22"/>
              </w:rPr>
            </w:pPr>
            <w:r>
              <w:rPr>
                <w:rFonts w:hint="eastAsia" w:cs="Times New Roman" w:asciiTheme="minorEastAsia" w:hAnsiTheme="minorEastAsia" w:eastAsiaTheme="minorEastAsia"/>
                <w:sz w:val="21"/>
                <w:szCs w:val="22"/>
              </w:rPr>
              <w:t>（2）</w:t>
            </w:r>
            <w:r>
              <w:rPr>
                <w:rFonts w:hint="eastAsia" w:cs="Times New Roman" w:asciiTheme="minorEastAsia" w:hAnsiTheme="minorEastAsia" w:eastAsiaTheme="minorEastAsia"/>
                <w:sz w:val="21"/>
                <w:szCs w:val="22"/>
                <w:lang w:val="en-US" w:eastAsia="zh-CN"/>
              </w:rPr>
              <w:t>子基金</w:t>
            </w:r>
            <w:r>
              <w:rPr>
                <w:rFonts w:hint="eastAsia" w:cs="Times New Roman" w:asciiTheme="minorEastAsia" w:hAnsiTheme="minorEastAsia" w:eastAsiaTheme="minorEastAsia"/>
                <w:sz w:val="21"/>
                <w:szCs w:val="22"/>
              </w:rPr>
              <w:t>未按照基金合同、合伙协议约定或公司章程约定投资的；</w:t>
            </w:r>
          </w:p>
          <w:p w14:paraId="4788FD7E">
            <w:pPr>
              <w:snapToGrid/>
              <w:spacing w:line="276" w:lineRule="auto"/>
              <w:ind w:firstLine="0" w:firstLineChars="0"/>
              <w:jc w:val="left"/>
              <w:rPr>
                <w:rFonts w:hint="eastAsia" w:cs="Times New Roman" w:asciiTheme="minorEastAsia" w:hAnsiTheme="minorEastAsia" w:eastAsiaTheme="minorEastAsia"/>
                <w:sz w:val="21"/>
                <w:szCs w:val="22"/>
              </w:rPr>
            </w:pPr>
            <w:r>
              <w:rPr>
                <w:rFonts w:hint="eastAsia" w:cs="Times New Roman" w:asciiTheme="minorEastAsia" w:hAnsiTheme="minorEastAsia" w:eastAsiaTheme="minorEastAsia"/>
                <w:sz w:val="21"/>
                <w:szCs w:val="22"/>
              </w:rPr>
              <w:t>（3）</w:t>
            </w:r>
            <w:r>
              <w:rPr>
                <w:rFonts w:hint="eastAsia" w:cs="Times New Roman" w:asciiTheme="minorEastAsia" w:hAnsiTheme="minorEastAsia" w:eastAsiaTheme="minorEastAsia"/>
                <w:sz w:val="21"/>
                <w:szCs w:val="22"/>
                <w:lang w:eastAsia="zh-CN"/>
              </w:rPr>
              <w:t>湖北文旅基金</w:t>
            </w:r>
            <w:r>
              <w:rPr>
                <w:rFonts w:hint="eastAsia" w:cs="Times New Roman" w:asciiTheme="minorEastAsia" w:hAnsiTheme="minorEastAsia" w:eastAsiaTheme="minorEastAsia"/>
                <w:sz w:val="21"/>
                <w:szCs w:val="22"/>
              </w:rPr>
              <w:t>出资资金</w:t>
            </w:r>
            <w:r>
              <w:rPr>
                <w:rFonts w:hint="eastAsia" w:cs="Times New Roman" w:asciiTheme="minorEastAsia" w:hAnsiTheme="minorEastAsia" w:eastAsiaTheme="minorEastAsia"/>
                <w:b w:val="0"/>
                <w:sz w:val="21"/>
                <w:szCs w:val="22"/>
              </w:rPr>
              <w:t>拨付</w:t>
            </w:r>
            <w:r>
              <w:rPr>
                <w:rFonts w:hint="eastAsia" w:cs="Times New Roman" w:asciiTheme="minorEastAsia" w:hAnsiTheme="minorEastAsia" w:eastAsiaTheme="minorEastAsia"/>
                <w:b w:val="0"/>
                <w:sz w:val="21"/>
                <w:szCs w:val="22"/>
                <w:lang w:val="en-US" w:eastAsia="zh-CN"/>
              </w:rPr>
              <w:t>子基金</w:t>
            </w:r>
            <w:r>
              <w:rPr>
                <w:rFonts w:hint="eastAsia" w:cs="Times New Roman" w:asciiTheme="minorEastAsia" w:hAnsiTheme="minorEastAsia" w:eastAsiaTheme="minorEastAsia"/>
                <w:b w:val="0"/>
                <w:sz w:val="21"/>
                <w:szCs w:val="22"/>
              </w:rPr>
              <w:t>账户</w:t>
            </w:r>
            <w:r>
              <w:rPr>
                <w:rFonts w:hint="eastAsia" w:cs="Times New Roman" w:asciiTheme="minorEastAsia" w:hAnsiTheme="minorEastAsia" w:eastAsiaTheme="minorEastAsia"/>
                <w:sz w:val="21"/>
                <w:szCs w:val="22"/>
              </w:rPr>
              <w:t>一年以上，</w:t>
            </w:r>
            <w:r>
              <w:rPr>
                <w:rFonts w:hint="eastAsia" w:cs="Times New Roman" w:asciiTheme="minorEastAsia" w:hAnsiTheme="minorEastAsia" w:eastAsiaTheme="minorEastAsia"/>
                <w:sz w:val="21"/>
                <w:szCs w:val="22"/>
                <w:lang w:val="en-US" w:eastAsia="zh-CN"/>
              </w:rPr>
              <w:t>子基金</w:t>
            </w:r>
            <w:r>
              <w:rPr>
                <w:rFonts w:hint="eastAsia" w:cs="Times New Roman" w:asciiTheme="minorEastAsia" w:hAnsiTheme="minorEastAsia" w:eastAsiaTheme="minorEastAsia"/>
                <w:sz w:val="21"/>
                <w:szCs w:val="22"/>
              </w:rPr>
              <w:t>未开展投资业务的；</w:t>
            </w:r>
          </w:p>
          <w:p w14:paraId="7F11FFAE">
            <w:pPr>
              <w:snapToGrid/>
              <w:spacing w:line="276" w:lineRule="auto"/>
              <w:ind w:firstLine="0" w:firstLineChars="0"/>
              <w:jc w:val="left"/>
              <w:rPr>
                <w:rFonts w:hint="eastAsia" w:cs="Times New Roman" w:asciiTheme="minorEastAsia" w:hAnsiTheme="minorEastAsia" w:eastAsiaTheme="minorEastAsia"/>
                <w:sz w:val="21"/>
                <w:szCs w:val="22"/>
              </w:rPr>
            </w:pPr>
            <w:r>
              <w:rPr>
                <w:rFonts w:hint="eastAsia" w:cs="Times New Roman" w:asciiTheme="minorEastAsia" w:hAnsiTheme="minorEastAsia" w:eastAsiaTheme="minorEastAsia"/>
                <w:sz w:val="21"/>
                <w:szCs w:val="22"/>
              </w:rPr>
              <w:t>（4）</w:t>
            </w:r>
            <w:r>
              <w:rPr>
                <w:rFonts w:hint="eastAsia" w:cs="Times New Roman" w:asciiTheme="minorEastAsia" w:hAnsiTheme="minorEastAsia" w:eastAsiaTheme="minorEastAsia"/>
                <w:sz w:val="21"/>
                <w:szCs w:val="22"/>
                <w:lang w:val="en-US" w:eastAsia="zh-CN"/>
              </w:rPr>
              <w:t>子基金的</w:t>
            </w:r>
            <w:r>
              <w:rPr>
                <w:rFonts w:hint="eastAsia" w:cs="Times New Roman" w:asciiTheme="minorEastAsia" w:hAnsiTheme="minorEastAsia" w:eastAsiaTheme="minorEastAsia"/>
                <w:sz w:val="21"/>
                <w:szCs w:val="22"/>
              </w:rPr>
              <w:t>基金管理人本身或其管理团队发生实质性变化的（实质性变化包括但不限于：基金管理人的主要股东发生实质性变化；锁定的基金投委会委员或管理团队核心成员半数（含）以上发生变化等情况）；</w:t>
            </w:r>
          </w:p>
          <w:p w14:paraId="51BF391B">
            <w:pPr>
              <w:snapToGrid/>
              <w:spacing w:line="276" w:lineRule="auto"/>
              <w:ind w:firstLine="0" w:firstLineChars="0"/>
              <w:jc w:val="left"/>
              <w:rPr>
                <w:rFonts w:hint="eastAsia" w:cs="Times New Roman" w:asciiTheme="minorEastAsia" w:hAnsiTheme="minorEastAsia" w:eastAsiaTheme="minorEastAsia"/>
                <w:sz w:val="21"/>
                <w:szCs w:val="22"/>
              </w:rPr>
            </w:pPr>
            <w:r>
              <w:rPr>
                <w:rFonts w:hint="eastAsia" w:cs="Times New Roman" w:asciiTheme="minorEastAsia" w:hAnsiTheme="minorEastAsia" w:eastAsiaTheme="minorEastAsia"/>
                <w:sz w:val="21"/>
                <w:szCs w:val="22"/>
              </w:rPr>
              <w:t>（</w:t>
            </w:r>
            <w:r>
              <w:rPr>
                <w:rFonts w:hint="eastAsia" w:cs="Times New Roman" w:asciiTheme="minorEastAsia" w:hAnsiTheme="minorEastAsia" w:eastAsiaTheme="minorEastAsia"/>
                <w:sz w:val="21"/>
                <w:szCs w:val="22"/>
                <w:lang w:val="en-US" w:eastAsia="zh-CN"/>
              </w:rPr>
              <w:t>5</w:t>
            </w:r>
            <w:r>
              <w:rPr>
                <w:rFonts w:hint="eastAsia" w:cs="Times New Roman" w:asciiTheme="minorEastAsia" w:hAnsiTheme="minorEastAsia" w:eastAsiaTheme="minorEastAsia"/>
                <w:sz w:val="21"/>
                <w:szCs w:val="22"/>
              </w:rPr>
              <w:t>）</w:t>
            </w:r>
            <w:r>
              <w:rPr>
                <w:rFonts w:hint="eastAsia" w:cs="Times New Roman" w:asciiTheme="minorEastAsia" w:hAnsiTheme="minorEastAsia" w:eastAsiaTheme="minorEastAsia"/>
                <w:sz w:val="21"/>
                <w:szCs w:val="22"/>
                <w:lang w:val="en-US" w:eastAsia="zh-CN"/>
              </w:rPr>
              <w:t>子基金</w:t>
            </w:r>
            <w:r>
              <w:rPr>
                <w:rFonts w:hint="eastAsia" w:cs="Times New Roman" w:asciiTheme="minorEastAsia" w:hAnsiTheme="minorEastAsia" w:eastAsiaTheme="minorEastAsia"/>
                <w:sz w:val="21"/>
                <w:szCs w:val="22"/>
              </w:rPr>
              <w:t>普通合伙人、基金管理人及/或合伙企业因违反其各自适用的监管法律、法规、规章与行业监管指导意见、自律规则及监管要求等规定，或被监管部门、基金业协会采取重大处罚措施或其他重大措施的；</w:t>
            </w:r>
          </w:p>
          <w:p w14:paraId="23D055F5">
            <w:pPr>
              <w:snapToGrid/>
              <w:spacing w:line="276" w:lineRule="auto"/>
              <w:ind w:firstLine="0" w:firstLineChars="0"/>
              <w:jc w:val="left"/>
              <w:rPr>
                <w:rFonts w:hint="eastAsia" w:cs="Times New Roman" w:asciiTheme="minorEastAsia" w:hAnsiTheme="minorEastAsia" w:eastAsiaTheme="minorEastAsia"/>
                <w:sz w:val="21"/>
                <w:szCs w:val="22"/>
              </w:rPr>
            </w:pPr>
            <w:r>
              <w:rPr>
                <w:rFonts w:hint="eastAsia" w:cs="Times New Roman" w:asciiTheme="minorEastAsia" w:hAnsiTheme="minorEastAsia" w:eastAsiaTheme="minorEastAsia"/>
                <w:sz w:val="21"/>
                <w:szCs w:val="22"/>
              </w:rPr>
              <w:t>（</w:t>
            </w:r>
            <w:r>
              <w:rPr>
                <w:rFonts w:hint="eastAsia" w:cs="Times New Roman" w:asciiTheme="minorEastAsia" w:hAnsiTheme="minorEastAsia" w:eastAsiaTheme="minorEastAsia"/>
                <w:sz w:val="21"/>
                <w:szCs w:val="22"/>
                <w:lang w:val="en-US" w:eastAsia="zh-CN"/>
              </w:rPr>
              <w:t>6</w:t>
            </w:r>
            <w:r>
              <w:rPr>
                <w:rFonts w:hint="eastAsia" w:cs="Times New Roman" w:asciiTheme="minorEastAsia" w:hAnsiTheme="minorEastAsia" w:eastAsiaTheme="minorEastAsia"/>
                <w:sz w:val="21"/>
                <w:szCs w:val="22"/>
              </w:rPr>
              <w:t>）如果</w:t>
            </w:r>
            <w:r>
              <w:rPr>
                <w:rFonts w:hint="eastAsia" w:cs="Times New Roman" w:asciiTheme="minorEastAsia" w:hAnsiTheme="minorEastAsia" w:eastAsiaTheme="minorEastAsia"/>
                <w:sz w:val="21"/>
                <w:szCs w:val="22"/>
                <w:lang w:val="en-US" w:eastAsia="zh-CN"/>
              </w:rPr>
              <w:t>湖北文旅基金的出资方之一</w:t>
            </w:r>
            <w:r>
              <w:rPr>
                <w:rFonts w:hint="eastAsia" w:cs="Times New Roman" w:asciiTheme="minorEastAsia" w:hAnsiTheme="minorEastAsia" w:eastAsiaTheme="minorEastAsia"/>
                <w:sz w:val="21"/>
                <w:szCs w:val="22"/>
              </w:rPr>
              <w:t>引导基金因适用的相关法律法规、政策性规定发生变化，或者根据行政命令或监管部门的明确要求而不得不退出。</w:t>
            </w:r>
          </w:p>
          <w:p w14:paraId="4967855F">
            <w:pPr>
              <w:spacing w:line="276" w:lineRule="auto"/>
              <w:jc w:val="left"/>
              <w:rPr>
                <w:rFonts w:hint="eastAsia" w:cs="Times New Roman" w:asciiTheme="minorEastAsia" w:hAnsiTheme="minorEastAsia" w:eastAsiaTheme="minorEastAsia"/>
              </w:rPr>
            </w:pPr>
            <w:r>
              <w:rPr>
                <w:rFonts w:hint="eastAsia" w:cs="Times New Roman" w:asciiTheme="minorEastAsia" w:hAnsiTheme="minorEastAsia" w:eastAsiaTheme="minorEastAsia"/>
                <w:kern w:val="2"/>
                <w:sz w:val="21"/>
                <w:szCs w:val="22"/>
                <w:lang w:val="en-US" w:eastAsia="zh-CN"/>
              </w:rPr>
              <w:t>另外，</w:t>
            </w:r>
            <w:r>
              <w:rPr>
                <w:rFonts w:hint="eastAsia" w:cs="Times New Roman" w:asciiTheme="minorEastAsia" w:hAnsiTheme="minorEastAsia" w:eastAsiaTheme="minorEastAsia"/>
                <w:kern w:val="2"/>
                <w:sz w:val="21"/>
                <w:szCs w:val="22"/>
              </w:rPr>
              <w:t>子基金设立方案自公示期结束且无异议之日起超过半年，子基金管理机构或其关联方仍未与</w:t>
            </w:r>
            <w:r>
              <w:rPr>
                <w:rFonts w:hint="eastAsia" w:cs="Times New Roman" w:asciiTheme="minorEastAsia" w:hAnsiTheme="minorEastAsia" w:eastAsiaTheme="minorEastAsia"/>
                <w:kern w:val="2"/>
                <w:sz w:val="21"/>
                <w:szCs w:val="22"/>
                <w:lang w:eastAsia="zh-CN"/>
              </w:rPr>
              <w:t>湖北文旅基金</w:t>
            </w:r>
            <w:r>
              <w:rPr>
                <w:rFonts w:hint="eastAsia" w:cs="Times New Roman" w:asciiTheme="minorEastAsia" w:hAnsiTheme="minorEastAsia" w:eastAsiaTheme="minorEastAsia"/>
                <w:kern w:val="2"/>
                <w:sz w:val="21"/>
                <w:szCs w:val="22"/>
              </w:rPr>
              <w:t>签署基金</w:t>
            </w:r>
            <w:r>
              <w:rPr>
                <w:rFonts w:hint="eastAsia" w:cs="Times New Roman" w:asciiTheme="minorEastAsia" w:hAnsiTheme="minorEastAsia" w:eastAsiaTheme="minorEastAsia"/>
                <w:kern w:val="2"/>
                <w:sz w:val="21"/>
                <w:szCs w:val="22"/>
                <w:lang w:val="en-US" w:eastAsia="zh-CN"/>
              </w:rPr>
              <w:t>合同、</w:t>
            </w:r>
            <w:r>
              <w:rPr>
                <w:rFonts w:hint="eastAsia" w:cs="Times New Roman" w:asciiTheme="minorEastAsia" w:hAnsiTheme="minorEastAsia" w:eastAsiaTheme="minorEastAsia"/>
                <w:kern w:val="2"/>
                <w:sz w:val="21"/>
                <w:szCs w:val="22"/>
              </w:rPr>
              <w:t>合伙协议或公司章程的，</w:t>
            </w:r>
            <w:r>
              <w:rPr>
                <w:rFonts w:hint="eastAsia" w:cs="Times New Roman" w:asciiTheme="minorEastAsia" w:hAnsiTheme="minorEastAsia" w:eastAsiaTheme="minorEastAsia"/>
                <w:kern w:val="2"/>
                <w:sz w:val="21"/>
                <w:szCs w:val="22"/>
                <w:lang w:eastAsia="zh-CN"/>
              </w:rPr>
              <w:t>湖北文旅基金</w:t>
            </w:r>
            <w:r>
              <w:rPr>
                <w:rFonts w:hint="eastAsia" w:cs="Times New Roman" w:asciiTheme="minorEastAsia" w:hAnsiTheme="minorEastAsia" w:eastAsiaTheme="minorEastAsia"/>
                <w:kern w:val="2"/>
                <w:sz w:val="21"/>
                <w:szCs w:val="22"/>
              </w:rPr>
              <w:t>有权视相关投资决策文件失效。</w:t>
            </w:r>
          </w:p>
        </w:tc>
        <w:tc>
          <w:tcPr>
            <w:tcW w:w="983" w:type="dxa"/>
            <w:shd w:val="clear" w:color="auto" w:fill="auto"/>
            <w:vAlign w:val="center"/>
          </w:tcPr>
          <w:p w14:paraId="05183737">
            <w:pPr>
              <w:spacing w:line="276" w:lineRule="auto"/>
              <w:jc w:val="center"/>
            </w:pPr>
          </w:p>
        </w:tc>
        <w:tc>
          <w:tcPr>
            <w:tcW w:w="1323" w:type="dxa"/>
            <w:shd w:val="clear" w:color="auto" w:fill="auto"/>
            <w:vAlign w:val="center"/>
          </w:tcPr>
          <w:p w14:paraId="576AAF12">
            <w:pPr>
              <w:spacing w:line="276" w:lineRule="auto"/>
            </w:pPr>
          </w:p>
        </w:tc>
      </w:tr>
      <w:tr w14:paraId="6FB35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143" w:type="dxa"/>
            <w:shd w:val="clear" w:color="auto" w:fill="auto"/>
            <w:vAlign w:val="center"/>
          </w:tcPr>
          <w:p w14:paraId="402C2746">
            <w:pPr>
              <w:spacing w:line="276"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信息披露</w:t>
            </w:r>
          </w:p>
          <w:p w14:paraId="736585F7">
            <w:pPr>
              <w:spacing w:line="276" w:lineRule="auto"/>
              <w:rPr>
                <w:rFonts w:hint="eastAsia" w:cs="Times New Roman" w:asciiTheme="minorEastAsia" w:hAnsiTheme="minorEastAsia" w:eastAsiaTheme="minorEastAsia"/>
              </w:rPr>
            </w:pPr>
          </w:p>
        </w:tc>
        <w:tc>
          <w:tcPr>
            <w:tcW w:w="5477" w:type="dxa"/>
            <w:shd w:val="clear" w:color="auto" w:fill="auto"/>
            <w:vAlign w:val="center"/>
          </w:tcPr>
          <w:p w14:paraId="3B02AF63">
            <w:pPr>
              <w:spacing w:line="276" w:lineRule="auto"/>
              <w:jc w:val="left"/>
              <w:rPr>
                <w:rFonts w:hint="eastAsia" w:cs="Times New Roman" w:asciiTheme="minorEastAsia" w:hAnsiTheme="minorEastAsia" w:eastAsiaTheme="minorEastAsia"/>
              </w:rPr>
            </w:pPr>
            <w:r>
              <w:rPr>
                <w:rFonts w:hint="eastAsia" w:asciiTheme="minorEastAsia" w:hAnsiTheme="minorEastAsia" w:eastAsiaTheme="minorEastAsia"/>
                <w:sz w:val="21"/>
              </w:rPr>
              <w:t>子基金管理机构应按照中国证券投资基金业协会</w:t>
            </w:r>
            <w:r>
              <w:rPr>
                <w:rFonts w:hint="eastAsia" w:asciiTheme="minorEastAsia" w:hAnsiTheme="minorEastAsia" w:eastAsiaTheme="minorEastAsia"/>
                <w:sz w:val="21"/>
                <w:lang w:eastAsia="zh-CN"/>
              </w:rPr>
              <w:t>、</w:t>
            </w:r>
            <w:r>
              <w:rPr>
                <w:rFonts w:hint="eastAsia" w:asciiTheme="minorEastAsia" w:hAnsiTheme="minorEastAsia" w:eastAsiaTheme="minorEastAsia"/>
                <w:sz w:val="21"/>
              </w:rPr>
              <w:t>相关法律法规的要求</w:t>
            </w:r>
            <w:r>
              <w:rPr>
                <w:rFonts w:hint="eastAsia" w:asciiTheme="minorEastAsia" w:hAnsiTheme="minorEastAsia" w:eastAsiaTheme="minorEastAsia"/>
                <w:sz w:val="21"/>
                <w:lang w:val="en-US" w:eastAsia="zh-CN"/>
              </w:rPr>
              <w:t>以及</w:t>
            </w:r>
            <w:r>
              <w:rPr>
                <w:rFonts w:hint="eastAsia" w:asciiTheme="minorEastAsia" w:hAnsiTheme="minorEastAsia" w:eastAsiaTheme="minorEastAsia"/>
                <w:sz w:val="21"/>
                <w:lang w:eastAsia="zh-CN"/>
              </w:rPr>
              <w:t>基金合同、合伙协议或公司章程约定</w:t>
            </w:r>
            <w:r>
              <w:rPr>
                <w:rFonts w:hint="eastAsia" w:asciiTheme="minorEastAsia" w:hAnsiTheme="minorEastAsia" w:eastAsiaTheme="minorEastAsia"/>
                <w:sz w:val="21"/>
              </w:rPr>
              <w:t>履行</w:t>
            </w:r>
            <w:r>
              <w:rPr>
                <w:rFonts w:hint="eastAsia" w:asciiTheme="minorEastAsia" w:hAnsiTheme="minorEastAsia" w:eastAsiaTheme="minorEastAsia"/>
                <w:sz w:val="21"/>
                <w:lang w:val="en-US" w:eastAsia="zh-CN"/>
              </w:rPr>
              <w:t>信息</w:t>
            </w:r>
            <w:r>
              <w:rPr>
                <w:rFonts w:hint="eastAsia" w:asciiTheme="minorEastAsia" w:hAnsiTheme="minorEastAsia" w:eastAsiaTheme="minorEastAsia"/>
                <w:sz w:val="21"/>
              </w:rPr>
              <w:t>披露义务。</w:t>
            </w:r>
          </w:p>
        </w:tc>
        <w:tc>
          <w:tcPr>
            <w:tcW w:w="983" w:type="dxa"/>
            <w:shd w:val="clear" w:color="auto" w:fill="auto"/>
            <w:vAlign w:val="center"/>
          </w:tcPr>
          <w:p w14:paraId="6797C0D0">
            <w:pPr>
              <w:spacing w:line="276" w:lineRule="auto"/>
              <w:jc w:val="center"/>
            </w:pPr>
          </w:p>
        </w:tc>
        <w:tc>
          <w:tcPr>
            <w:tcW w:w="1323" w:type="dxa"/>
            <w:shd w:val="clear" w:color="auto" w:fill="auto"/>
            <w:vAlign w:val="center"/>
          </w:tcPr>
          <w:p w14:paraId="49253559">
            <w:pPr>
              <w:spacing w:line="276" w:lineRule="auto"/>
            </w:pPr>
          </w:p>
        </w:tc>
      </w:tr>
    </w:tbl>
    <w:p w14:paraId="4DA9BD02">
      <w:pPr>
        <w:rPr>
          <w:b/>
        </w:rPr>
      </w:pPr>
      <w:r>
        <w:rPr>
          <w:b/>
        </w:rPr>
        <w:t>注</w:t>
      </w:r>
      <w:r>
        <w:rPr>
          <w:rFonts w:hint="eastAsia"/>
          <w:b/>
        </w:rPr>
        <w:t>：</w:t>
      </w:r>
      <w:r>
        <w:rPr>
          <w:b/>
        </w:rPr>
        <w:t>拟申请的子基金应开展合规性自查</w:t>
      </w:r>
      <w:r>
        <w:rPr>
          <w:rFonts w:hint="eastAsia"/>
          <w:b/>
        </w:rPr>
        <w:t>，</w:t>
      </w:r>
      <w:r>
        <w:rPr>
          <w:b/>
        </w:rPr>
        <w:t>并在是否符合一栏填写</w:t>
      </w:r>
      <w:r>
        <w:rPr>
          <w:rFonts w:hint="eastAsia"/>
          <w:b/>
        </w:rPr>
        <w:t>“</w:t>
      </w:r>
      <w:r>
        <w:rPr>
          <w:rFonts w:hint="eastAsia" w:ascii="宋体" w:hAnsi="宋体"/>
          <w:b/>
        </w:rPr>
        <w:t>√</w:t>
      </w:r>
      <w:r>
        <w:rPr>
          <w:rFonts w:hint="eastAsia"/>
          <w:b/>
        </w:rPr>
        <w:t>”或“</w:t>
      </w:r>
      <w:r>
        <w:rPr>
          <w:rFonts w:hint="eastAsia" w:ascii="宋体" w:hAnsi="宋体"/>
          <w:b/>
        </w:rPr>
        <w:t>х</w:t>
      </w:r>
      <w:r>
        <w:rPr>
          <w:rFonts w:hint="eastAsia"/>
          <w:b/>
        </w:rPr>
        <w:t>”，需要进一步说明的事项请填写在备注栏。原则上，表中所列条件，子基金应全部符合或接受。</w:t>
      </w:r>
    </w:p>
    <w:p w14:paraId="56F634A9">
      <w:pPr>
        <w:rPr>
          <w:b/>
        </w:rPr>
      </w:pPr>
    </w:p>
    <w:p w14:paraId="087A4297">
      <w:pPr>
        <w:ind w:firstLine="4176" w:firstLineChars="1300"/>
      </w:pPr>
      <w:r>
        <w:rPr>
          <w:rFonts w:hint="eastAsia" w:ascii="仿宋_GB2312" w:eastAsia="仿宋_GB2312"/>
          <w:b/>
          <w:sz w:val="32"/>
          <w:szCs w:val="32"/>
        </w:rPr>
        <w:t>申请机构盖章：</w:t>
      </w:r>
    </w:p>
    <w:bookmarkEnd w:id="2"/>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03D9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E2AF5D">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1E2AF5D">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EyNmQxZjQ1NWQ5N2FhMTVkNmI2MTVkMzQ5MjVmMTEifQ=="/>
  </w:docVars>
  <w:rsids>
    <w:rsidRoot w:val="0042619E"/>
    <w:rsid w:val="000A4A5D"/>
    <w:rsid w:val="000B4142"/>
    <w:rsid w:val="000C0974"/>
    <w:rsid w:val="000D3181"/>
    <w:rsid w:val="000D4025"/>
    <w:rsid w:val="000E797F"/>
    <w:rsid w:val="000F7A56"/>
    <w:rsid w:val="00153449"/>
    <w:rsid w:val="0015521A"/>
    <w:rsid w:val="0016588F"/>
    <w:rsid w:val="0019342B"/>
    <w:rsid w:val="001D3A0D"/>
    <w:rsid w:val="001E71A8"/>
    <w:rsid w:val="001F73C8"/>
    <w:rsid w:val="00211E55"/>
    <w:rsid w:val="00241EED"/>
    <w:rsid w:val="00241F74"/>
    <w:rsid w:val="00267E99"/>
    <w:rsid w:val="002B3000"/>
    <w:rsid w:val="002C1301"/>
    <w:rsid w:val="002D726A"/>
    <w:rsid w:val="002E6C9B"/>
    <w:rsid w:val="00381D76"/>
    <w:rsid w:val="0039208E"/>
    <w:rsid w:val="003B7D2B"/>
    <w:rsid w:val="003D0126"/>
    <w:rsid w:val="003D0D4F"/>
    <w:rsid w:val="004172FA"/>
    <w:rsid w:val="00423682"/>
    <w:rsid w:val="0042619E"/>
    <w:rsid w:val="00477A80"/>
    <w:rsid w:val="00497ECB"/>
    <w:rsid w:val="004A7543"/>
    <w:rsid w:val="004D66C5"/>
    <w:rsid w:val="004F67E5"/>
    <w:rsid w:val="004F690F"/>
    <w:rsid w:val="00592E6B"/>
    <w:rsid w:val="00611B63"/>
    <w:rsid w:val="00616173"/>
    <w:rsid w:val="00671A92"/>
    <w:rsid w:val="00695410"/>
    <w:rsid w:val="006B5367"/>
    <w:rsid w:val="006E6D27"/>
    <w:rsid w:val="00712A54"/>
    <w:rsid w:val="00726530"/>
    <w:rsid w:val="00733623"/>
    <w:rsid w:val="007A2E0A"/>
    <w:rsid w:val="007B7594"/>
    <w:rsid w:val="007C22E8"/>
    <w:rsid w:val="00804412"/>
    <w:rsid w:val="00836F4F"/>
    <w:rsid w:val="008378BF"/>
    <w:rsid w:val="0085106E"/>
    <w:rsid w:val="0087520F"/>
    <w:rsid w:val="008803A3"/>
    <w:rsid w:val="00885967"/>
    <w:rsid w:val="008D026D"/>
    <w:rsid w:val="008D3686"/>
    <w:rsid w:val="008D637F"/>
    <w:rsid w:val="00903DAA"/>
    <w:rsid w:val="009167F4"/>
    <w:rsid w:val="00953F79"/>
    <w:rsid w:val="00996B56"/>
    <w:rsid w:val="00997181"/>
    <w:rsid w:val="009C15FE"/>
    <w:rsid w:val="009D1B4C"/>
    <w:rsid w:val="009D57E4"/>
    <w:rsid w:val="00A6155F"/>
    <w:rsid w:val="00A7147F"/>
    <w:rsid w:val="00A73D18"/>
    <w:rsid w:val="00A97E94"/>
    <w:rsid w:val="00B42DC1"/>
    <w:rsid w:val="00B76B76"/>
    <w:rsid w:val="00B809D0"/>
    <w:rsid w:val="00B82211"/>
    <w:rsid w:val="00B94FCE"/>
    <w:rsid w:val="00BA5242"/>
    <w:rsid w:val="00BA71FD"/>
    <w:rsid w:val="00BB7983"/>
    <w:rsid w:val="00BC2F95"/>
    <w:rsid w:val="00BD34C1"/>
    <w:rsid w:val="00BE58DD"/>
    <w:rsid w:val="00C17F7A"/>
    <w:rsid w:val="00C93504"/>
    <w:rsid w:val="00CB4909"/>
    <w:rsid w:val="00CE2EC9"/>
    <w:rsid w:val="00D47CC3"/>
    <w:rsid w:val="00E167A0"/>
    <w:rsid w:val="00E4571B"/>
    <w:rsid w:val="00E5216D"/>
    <w:rsid w:val="00E74D75"/>
    <w:rsid w:val="00E803DB"/>
    <w:rsid w:val="00E90565"/>
    <w:rsid w:val="00EA296B"/>
    <w:rsid w:val="00EA68DB"/>
    <w:rsid w:val="00EC3C7B"/>
    <w:rsid w:val="00ED4FA5"/>
    <w:rsid w:val="00F77385"/>
    <w:rsid w:val="00F95E44"/>
    <w:rsid w:val="010158D6"/>
    <w:rsid w:val="03172868"/>
    <w:rsid w:val="049802FF"/>
    <w:rsid w:val="05774027"/>
    <w:rsid w:val="092D26F2"/>
    <w:rsid w:val="095916CA"/>
    <w:rsid w:val="09D924C7"/>
    <w:rsid w:val="0ACE4A7B"/>
    <w:rsid w:val="0B5A4284"/>
    <w:rsid w:val="0C6A2581"/>
    <w:rsid w:val="12F17558"/>
    <w:rsid w:val="145D6F72"/>
    <w:rsid w:val="14A44CFB"/>
    <w:rsid w:val="14DD2683"/>
    <w:rsid w:val="1525173B"/>
    <w:rsid w:val="17045380"/>
    <w:rsid w:val="190B0C48"/>
    <w:rsid w:val="1AC77D0E"/>
    <w:rsid w:val="1B6A37B6"/>
    <w:rsid w:val="1C11693B"/>
    <w:rsid w:val="1CE2268E"/>
    <w:rsid w:val="26881B2A"/>
    <w:rsid w:val="272A498F"/>
    <w:rsid w:val="27A26C1B"/>
    <w:rsid w:val="2CBA70E3"/>
    <w:rsid w:val="2D377E06"/>
    <w:rsid w:val="30A20A77"/>
    <w:rsid w:val="3578417D"/>
    <w:rsid w:val="3B0A6B5A"/>
    <w:rsid w:val="3BCB62E9"/>
    <w:rsid w:val="3EEBB131"/>
    <w:rsid w:val="3FB778B9"/>
    <w:rsid w:val="419453CF"/>
    <w:rsid w:val="42375AEF"/>
    <w:rsid w:val="4B1A6945"/>
    <w:rsid w:val="4EC70B92"/>
    <w:rsid w:val="50CF0688"/>
    <w:rsid w:val="50FA2C7A"/>
    <w:rsid w:val="51FC1DAC"/>
    <w:rsid w:val="560721BC"/>
    <w:rsid w:val="56134E4C"/>
    <w:rsid w:val="5717642E"/>
    <w:rsid w:val="57230894"/>
    <w:rsid w:val="581B1F4E"/>
    <w:rsid w:val="597F51C4"/>
    <w:rsid w:val="5B702F8B"/>
    <w:rsid w:val="5C292C21"/>
    <w:rsid w:val="5F7FB121"/>
    <w:rsid w:val="65D06536"/>
    <w:rsid w:val="67E265E5"/>
    <w:rsid w:val="6A6B6E6C"/>
    <w:rsid w:val="6B1E5B86"/>
    <w:rsid w:val="6F761E3B"/>
    <w:rsid w:val="7113328C"/>
    <w:rsid w:val="7289760B"/>
    <w:rsid w:val="738C34B8"/>
    <w:rsid w:val="743C0252"/>
    <w:rsid w:val="7919547F"/>
    <w:rsid w:val="7967694A"/>
    <w:rsid w:val="7A94602E"/>
    <w:rsid w:val="7B6F6E06"/>
    <w:rsid w:val="7B7B492E"/>
    <w:rsid w:val="7DEC53A6"/>
    <w:rsid w:val="7E5C0A47"/>
    <w:rsid w:val="7EAB72D9"/>
    <w:rsid w:val="7EFD784C"/>
    <w:rsid w:val="7F7B61D7"/>
    <w:rsid w:val="7FF05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annotation text"/>
    <w:basedOn w:val="1"/>
    <w:qFormat/>
    <w:uiPriority w:val="0"/>
    <w:pPr>
      <w:jc w:val="left"/>
    </w:pPr>
  </w:style>
  <w:style w:type="paragraph" w:styleId="4">
    <w:name w:val="Balloon Text"/>
    <w:basedOn w:val="1"/>
    <w:link w:val="12"/>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List Paragraph"/>
    <w:basedOn w:val="1"/>
    <w:qFormat/>
    <w:uiPriority w:val="34"/>
    <w:pPr>
      <w:spacing w:line="440" w:lineRule="exact"/>
      <w:ind w:firstLine="420" w:firstLineChars="200"/>
    </w:pPr>
    <w:rPr>
      <w:rFonts w:ascii="Arial" w:hAnsi="Arial"/>
      <w:szCs w:val="24"/>
    </w:rPr>
  </w:style>
  <w:style w:type="character" w:customStyle="1" w:styleId="10">
    <w:name w:val="页眉 字符"/>
    <w:basedOn w:val="8"/>
    <w:link w:val="6"/>
    <w:qFormat/>
    <w:uiPriority w:val="99"/>
    <w:rPr>
      <w:sz w:val="18"/>
      <w:szCs w:val="18"/>
    </w:rPr>
  </w:style>
  <w:style w:type="character" w:customStyle="1" w:styleId="11">
    <w:name w:val="页脚 字符"/>
    <w:basedOn w:val="8"/>
    <w:link w:val="5"/>
    <w:qFormat/>
    <w:uiPriority w:val="99"/>
    <w:rPr>
      <w:sz w:val="18"/>
      <w:szCs w:val="18"/>
    </w:rPr>
  </w:style>
  <w:style w:type="character" w:customStyle="1" w:styleId="12">
    <w:name w:val="批注框文本 字符"/>
    <w:basedOn w:val="8"/>
    <w:link w:val="4"/>
    <w:semiHidden/>
    <w:qFormat/>
    <w:uiPriority w:val="99"/>
    <w:rPr>
      <w:rFonts w:ascii="Calibri" w:hAnsi="Calibri"/>
      <w:kern w:val="2"/>
      <w:sz w:val="18"/>
      <w:szCs w:val="18"/>
    </w:rPr>
  </w:style>
  <w:style w:type="paragraph" w:customStyle="1" w:styleId="13">
    <w:name w:val="修订1"/>
    <w:hidden/>
    <w:semiHidden/>
    <w:qFormat/>
    <w:uiPriority w:val="99"/>
    <w:rPr>
      <w:rFonts w:ascii="Calibri" w:hAnsi="Calibri" w:eastAsia="宋体" w:cs="Times New Roman"/>
      <w:kern w:val="2"/>
      <w:sz w:val="21"/>
      <w:szCs w:val="22"/>
      <w:lang w:val="en-US" w:eastAsia="zh-CN" w:bidi="ar-SA"/>
    </w:rPr>
  </w:style>
  <w:style w:type="paragraph" w:customStyle="1" w:styleId="14">
    <w:name w:val="Revision"/>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4274</Words>
  <Characters>4333</Characters>
  <Lines>18</Lines>
  <Paragraphs>5</Paragraphs>
  <TotalTime>4</TotalTime>
  <ScaleCrop>false</ScaleCrop>
  <LinksUpToDate>false</LinksUpToDate>
  <CharactersWithSpaces>4338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2022-11-24T17:20:00Z</dcterms:created>
  <dc:creator>admin</dc:creator>
  <cp:lastModifiedBy>张泷.</cp:lastModifiedBy>
  <cp:lastPrinted>2022-11-24T17:32:00Z</cp:lastPrinted>
  <dcterms:modified xsi:type="dcterms:W3CDTF">2025-02-10T01:54:11Z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ED63927DE59D4C849BDFF4D542B20D28_13</vt:lpwstr>
  </property>
  <property fmtid="{D5CDD505-2E9C-101B-9397-08002B2CF9AE}" pid="4" name="KSOTemplateDocerSaveRecord">
    <vt:lpwstr>eyJoZGlkIjoiNDM0MjRiNmRlMzUyM2E1ZjIxOWVhNTYxMDlkNzYzYjIiLCJ1c2VySWQiOiI1NjE3OTEwMjQifQ==</vt:lpwstr>
  </property>
</Properties>
</file>