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CAE83">
      <w:pPr>
        <w:pStyle w:val="2"/>
        <w:adjustRightInd w:val="0"/>
        <w:snapToGrid w:val="0"/>
        <w:spacing w:line="560" w:lineRule="exact"/>
        <w:rPr>
          <w:rFonts w:hint="eastAsia"/>
          <w:lang w:val="en-US"/>
        </w:rPr>
      </w:pPr>
      <w:r>
        <w:rPr>
          <w:rFonts w:hint="eastAsia"/>
          <w:lang w:val="en-US"/>
        </w:rPr>
        <w:t>山西天使股权投资基金</w:t>
      </w:r>
    </w:p>
    <w:p w14:paraId="0C5FD22D">
      <w:pPr>
        <w:pStyle w:val="2"/>
        <w:adjustRightInd w:val="0"/>
        <w:snapToGrid w:val="0"/>
        <w:spacing w:line="560" w:lineRule="exact"/>
        <w:rPr>
          <w:rFonts w:hint="eastAsia"/>
          <w:lang w:val="en-US"/>
        </w:rPr>
      </w:pPr>
      <w:r>
        <w:rPr>
          <w:rFonts w:hint="eastAsia"/>
          <w:lang w:val="en-US"/>
        </w:rPr>
        <w:t>管理机构公开遴选申报指南</w:t>
      </w:r>
    </w:p>
    <w:p w14:paraId="530EC21E">
      <w:pPr>
        <w:autoSpaceDE/>
        <w:autoSpaceDN/>
        <w:adjustRightInd w:val="0"/>
        <w:snapToGrid w:val="0"/>
        <w:spacing w:line="560" w:lineRule="exact"/>
        <w:ind w:firstLine="1285" w:firstLineChars="400"/>
        <w:rPr>
          <w:rFonts w:hint="eastAsia" w:ascii="黑体" w:hAnsi="黑体" w:eastAsia="黑体" w:cs="黑体"/>
          <w:b/>
          <w:bCs/>
          <w:kern w:val="2"/>
          <w:szCs w:val="32"/>
          <w:lang w:val="en-US" w:bidi="ar-SA"/>
        </w:rPr>
      </w:pPr>
    </w:p>
    <w:p w14:paraId="5D988B5B">
      <w:pPr>
        <w:pStyle w:val="3"/>
        <w:numPr>
          <w:ilvl w:val="0"/>
          <w:numId w:val="0"/>
        </w:numPr>
        <w:adjustRightInd w:val="0"/>
        <w:snapToGrid w:val="0"/>
        <w:spacing w:line="560" w:lineRule="exact"/>
        <w:ind w:firstLine="640" w:firstLineChars="200"/>
        <w:rPr>
          <w:rFonts w:hint="eastAsia" w:ascii="黑体" w:hAnsi="黑体" w:cs="黑体"/>
          <w:lang w:val="en-US"/>
        </w:rPr>
      </w:pPr>
      <w:r>
        <w:rPr>
          <w:rFonts w:hint="eastAsia" w:ascii="黑体" w:hAnsi="黑体" w:eastAsia="黑体" w:cs="黑体"/>
          <w:sz w:val="32"/>
          <w:szCs w:val="22"/>
          <w:lang w:val="en-US" w:eastAsia="zh-CN" w:bidi="zh-CN"/>
        </w:rPr>
        <w:t>一、</w:t>
      </w:r>
      <w:r>
        <w:rPr>
          <w:rFonts w:hint="eastAsia" w:ascii="黑体" w:hAnsi="黑体" w:cs="黑体"/>
          <w:lang w:val="en-US"/>
        </w:rPr>
        <w:t>基金要素</w:t>
      </w:r>
    </w:p>
    <w:p w14:paraId="40270FD4">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（一）基金名称</w:t>
      </w:r>
    </w:p>
    <w:p w14:paraId="359715D4">
      <w:pPr>
        <w:autoSpaceDE/>
        <w:autoSpaceDN/>
        <w:adjustRightInd w:val="0"/>
        <w:snapToGrid w:val="0"/>
        <w:spacing w:line="560" w:lineRule="exact"/>
        <w:ind w:firstLine="640"/>
        <w:rPr>
          <w:rFonts w:hint="eastAsia"/>
          <w:szCs w:val="32"/>
          <w:lang w:val="en-US"/>
        </w:rPr>
      </w:pPr>
      <w:r>
        <w:rPr>
          <w:rFonts w:hint="eastAsia"/>
          <w:szCs w:val="32"/>
          <w:lang w:val="en-US"/>
        </w:rPr>
        <w:t>山西天使股权投资基金合伙企业（有限合伙）。</w:t>
      </w:r>
    </w:p>
    <w:p w14:paraId="002D2961">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（二）组织类型</w:t>
      </w:r>
    </w:p>
    <w:p w14:paraId="5F992D07">
      <w:pPr>
        <w:autoSpaceDE/>
        <w:autoSpaceDN/>
        <w:adjustRightInd w:val="0"/>
        <w:snapToGrid w:val="0"/>
        <w:spacing w:line="560" w:lineRule="exact"/>
        <w:ind w:firstLine="640"/>
        <w:rPr>
          <w:rFonts w:hint="eastAsia"/>
          <w:szCs w:val="32"/>
          <w:lang w:val="en-US"/>
        </w:rPr>
      </w:pPr>
      <w:r>
        <w:rPr>
          <w:rFonts w:hint="eastAsia"/>
          <w:szCs w:val="32"/>
          <w:lang w:val="en-US"/>
        </w:rPr>
        <w:t>有限合伙制。</w:t>
      </w:r>
    </w:p>
    <w:p w14:paraId="126147A1">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（三）基金规模</w:t>
      </w:r>
    </w:p>
    <w:p w14:paraId="3905A46F">
      <w:pPr>
        <w:autoSpaceDE/>
        <w:autoSpaceDN/>
        <w:adjustRightInd w:val="0"/>
        <w:snapToGrid w:val="0"/>
        <w:spacing w:line="560" w:lineRule="exact"/>
        <w:ind w:firstLine="640"/>
        <w:rPr>
          <w:rFonts w:hint="eastAsia"/>
          <w:szCs w:val="32"/>
          <w:lang w:val="en-US"/>
        </w:rPr>
      </w:pPr>
      <w:r>
        <w:rPr>
          <w:rFonts w:hint="eastAsia"/>
          <w:szCs w:val="32"/>
          <w:lang w:val="en-US"/>
        </w:rPr>
        <w:t>目标规模不低于</w:t>
      </w:r>
      <w:r>
        <w:rPr>
          <w:rFonts w:hint="default" w:ascii="Times New Roman" w:hAnsi="Times New Roman" w:cs="Times New Roman"/>
          <w:sz w:val="32"/>
          <w:szCs w:val="32"/>
          <w:lang w:val="en-US"/>
        </w:rPr>
        <w:t>20</w:t>
      </w:r>
      <w:r>
        <w:rPr>
          <w:rFonts w:hint="eastAsia"/>
          <w:szCs w:val="32"/>
          <w:lang w:val="en-US"/>
        </w:rPr>
        <w:t>亿元，首期规模</w:t>
      </w:r>
      <w:r>
        <w:rPr>
          <w:rFonts w:hint="default" w:ascii="Times New Roman" w:hAnsi="Times New Roman" w:cs="Times New Roman"/>
          <w:sz w:val="32"/>
          <w:szCs w:val="32"/>
          <w:lang w:val="en-US"/>
        </w:rPr>
        <w:t>2</w:t>
      </w:r>
      <w:r>
        <w:rPr>
          <w:rFonts w:hint="eastAsia"/>
          <w:szCs w:val="32"/>
          <w:lang w:val="en-US"/>
        </w:rPr>
        <w:t>.</w:t>
      </w:r>
      <w:r>
        <w:rPr>
          <w:rFonts w:hint="default" w:ascii="Times New Roman" w:hAnsi="Times New Roman" w:cs="Times New Roman"/>
          <w:sz w:val="32"/>
          <w:szCs w:val="32"/>
          <w:lang w:val="en-US"/>
        </w:rPr>
        <w:t>51</w:t>
      </w:r>
      <w:r>
        <w:rPr>
          <w:rFonts w:hint="eastAsia"/>
          <w:szCs w:val="32"/>
          <w:lang w:val="en-US"/>
        </w:rPr>
        <w:t>亿元。</w:t>
      </w:r>
    </w:p>
    <w:p w14:paraId="288211F7">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（四）出资结构和要求</w:t>
      </w:r>
    </w:p>
    <w:p w14:paraId="20F7E9D4">
      <w:pPr>
        <w:autoSpaceDE/>
        <w:autoSpaceDN/>
        <w:adjustRightInd w:val="0"/>
        <w:snapToGrid w:val="0"/>
        <w:spacing w:line="560" w:lineRule="exact"/>
        <w:ind w:firstLine="640"/>
        <w:rPr>
          <w:rFonts w:hint="eastAsia"/>
          <w:kern w:val="2"/>
          <w:szCs w:val="32"/>
          <w:lang w:val="en-US" w:bidi="ar-SA"/>
        </w:rPr>
      </w:pPr>
      <w:r>
        <w:rPr>
          <w:rFonts w:hint="eastAsia"/>
          <w:kern w:val="2"/>
          <w:szCs w:val="32"/>
          <w:lang w:val="en-US" w:bidi="ar-SA"/>
        </w:rPr>
        <w:t>管理机构需认缴出资不少于</w:t>
      </w:r>
      <w:r>
        <w:rPr>
          <w:rFonts w:hint="default" w:ascii="Times New Roman" w:hAnsi="Times New Roman" w:cs="Times New Roman"/>
          <w:kern w:val="2"/>
          <w:sz w:val="32"/>
          <w:szCs w:val="32"/>
          <w:lang w:val="en-US" w:bidi="ar-SA"/>
        </w:rPr>
        <w:t>100</w:t>
      </w:r>
      <w:r>
        <w:rPr>
          <w:rFonts w:hint="eastAsia"/>
          <w:kern w:val="2"/>
          <w:szCs w:val="32"/>
          <w:lang w:val="en-US" w:bidi="ar-SA"/>
        </w:rPr>
        <w:t>万元。</w:t>
      </w:r>
    </w:p>
    <w:p w14:paraId="61D22D39">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（五）存续期限</w:t>
      </w:r>
    </w:p>
    <w:p w14:paraId="571DE149">
      <w:pPr>
        <w:autoSpaceDE/>
        <w:autoSpaceDN/>
        <w:adjustRightInd w:val="0"/>
        <w:snapToGrid w:val="0"/>
        <w:spacing w:line="560" w:lineRule="exact"/>
        <w:ind w:firstLine="640"/>
        <w:rPr>
          <w:rFonts w:hint="eastAsia"/>
          <w:szCs w:val="32"/>
          <w:lang w:val="en-US"/>
        </w:rPr>
      </w:pPr>
      <w:r>
        <w:rPr>
          <w:rFonts w:hint="eastAsia"/>
          <w:szCs w:val="32"/>
          <w:lang w:val="en-US"/>
        </w:rPr>
        <w:t>存续期限原则上不超过</w:t>
      </w:r>
      <w:r>
        <w:rPr>
          <w:rFonts w:hint="default" w:ascii="Times New Roman" w:hAnsi="Times New Roman" w:cs="Times New Roman"/>
          <w:sz w:val="32"/>
          <w:szCs w:val="32"/>
          <w:lang w:val="en-US"/>
        </w:rPr>
        <w:t>12</w:t>
      </w:r>
      <w:r>
        <w:rPr>
          <w:rFonts w:hint="eastAsia"/>
          <w:szCs w:val="32"/>
          <w:lang w:val="en-US"/>
        </w:rPr>
        <w:t>年。</w:t>
      </w:r>
    </w:p>
    <w:p w14:paraId="305897D8">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w:t>
      </w:r>
      <w:r>
        <w:rPr>
          <w:rFonts w:hint="eastAsia" w:ascii="楷体_GB2312" w:hAnsi="楷体_GB2312" w:eastAsia="楷体_GB2312" w:cs="楷体_GB2312"/>
          <w:lang w:val="en-US" w:eastAsia="zh-CN"/>
        </w:rPr>
        <w:t>六</w:t>
      </w:r>
      <w:r>
        <w:rPr>
          <w:rFonts w:hint="eastAsia" w:ascii="楷体_GB2312" w:hAnsi="楷体_GB2312" w:eastAsia="楷体_GB2312" w:cs="楷体_GB2312"/>
          <w:lang w:val="en-US"/>
        </w:rPr>
        <w:t>）投资方式</w:t>
      </w:r>
    </w:p>
    <w:p w14:paraId="356CC00E">
      <w:pPr>
        <w:autoSpaceDE/>
        <w:autoSpaceDN/>
        <w:adjustRightInd w:val="0"/>
        <w:snapToGrid w:val="0"/>
        <w:spacing w:line="560" w:lineRule="exact"/>
        <w:ind w:firstLine="640"/>
        <w:rPr>
          <w:rFonts w:hint="eastAsia"/>
          <w:kern w:val="2"/>
          <w:szCs w:val="32"/>
          <w:lang w:val="en-US" w:bidi="ar-SA"/>
        </w:rPr>
      </w:pPr>
      <w:r>
        <w:rPr>
          <w:kern w:val="2"/>
          <w:szCs w:val="32"/>
          <w:lang w:val="en-US" w:bidi="ar-SA"/>
        </w:rPr>
        <w:t>通过参股出资子基金及直接</w:t>
      </w:r>
      <w:r>
        <w:rPr>
          <w:rFonts w:hint="eastAsia"/>
          <w:kern w:val="2"/>
          <w:szCs w:val="32"/>
          <w:lang w:val="en-US" w:eastAsia="zh-CN" w:bidi="ar-SA"/>
        </w:rPr>
        <w:t>股权</w:t>
      </w:r>
      <w:r>
        <w:rPr>
          <w:kern w:val="2"/>
          <w:szCs w:val="32"/>
          <w:lang w:val="en-US" w:bidi="ar-SA"/>
        </w:rPr>
        <w:t>投资项目</w:t>
      </w:r>
      <w:r>
        <w:rPr>
          <w:rFonts w:hint="eastAsia"/>
          <w:kern w:val="2"/>
          <w:szCs w:val="32"/>
          <w:lang w:val="en-US" w:bidi="ar-SA"/>
        </w:rPr>
        <w:t>方式</w:t>
      </w:r>
      <w:r>
        <w:rPr>
          <w:kern w:val="2"/>
          <w:szCs w:val="32"/>
          <w:lang w:val="en-US" w:bidi="ar-SA"/>
        </w:rPr>
        <w:t>开展投资。其中：</w:t>
      </w:r>
    </w:p>
    <w:p w14:paraId="2810AD02">
      <w:pPr>
        <w:autoSpaceDE/>
        <w:autoSpaceDN/>
        <w:adjustRightInd w:val="0"/>
        <w:snapToGrid w:val="0"/>
        <w:spacing w:line="560" w:lineRule="exact"/>
        <w:ind w:firstLine="640"/>
        <w:rPr>
          <w:rFonts w:hint="eastAsia"/>
          <w:kern w:val="2"/>
          <w:szCs w:val="32"/>
          <w:lang w:val="en-US" w:bidi="ar-SA"/>
        </w:rPr>
      </w:pPr>
      <w:r>
        <w:rPr>
          <w:rFonts w:hint="eastAsia"/>
          <w:kern w:val="2"/>
          <w:szCs w:val="32"/>
          <w:lang w:val="en-US" w:bidi="ar-SA"/>
        </w:rPr>
        <w:t>母基金直接投资的规模不超过母基金实缴出资额的</w:t>
      </w:r>
      <w:r>
        <w:rPr>
          <w:rFonts w:hint="default" w:ascii="Times New Roman" w:hAnsi="Times New Roman" w:cs="Times New Roman"/>
          <w:kern w:val="2"/>
          <w:sz w:val="32"/>
          <w:szCs w:val="32"/>
          <w:lang w:val="en-US" w:bidi="ar-SA"/>
        </w:rPr>
        <w:t>20</w:t>
      </w:r>
      <w:r>
        <w:rPr>
          <w:rFonts w:hint="eastAsia"/>
          <w:kern w:val="2"/>
          <w:szCs w:val="32"/>
          <w:lang w:val="en-US" w:bidi="ar-SA"/>
        </w:rPr>
        <w:t>%，原则上要求对单一项目的持股比例不超</w:t>
      </w:r>
      <w:r>
        <w:rPr>
          <w:rFonts w:hint="default" w:ascii="Times New Roman" w:hAnsi="Times New Roman" w:cs="Times New Roman"/>
          <w:kern w:val="2"/>
          <w:sz w:val="32"/>
          <w:szCs w:val="32"/>
          <w:lang w:val="en-US" w:bidi="ar-SA"/>
        </w:rPr>
        <w:t>30</w:t>
      </w:r>
      <w:r>
        <w:rPr>
          <w:rFonts w:hint="eastAsia"/>
          <w:kern w:val="2"/>
          <w:szCs w:val="32"/>
          <w:lang w:val="en-US" w:bidi="ar-SA"/>
        </w:rPr>
        <w:t>%。</w:t>
      </w:r>
    </w:p>
    <w:p w14:paraId="22C9E9FD">
      <w:pPr>
        <w:autoSpaceDE/>
        <w:autoSpaceDN/>
        <w:adjustRightInd w:val="0"/>
        <w:snapToGrid w:val="0"/>
        <w:spacing w:line="560" w:lineRule="exact"/>
        <w:ind w:firstLine="640"/>
        <w:rPr>
          <w:rFonts w:hint="eastAsia"/>
          <w:kern w:val="2"/>
          <w:szCs w:val="32"/>
          <w:lang w:val="en-US" w:bidi="ar-SA"/>
        </w:rPr>
      </w:pPr>
      <w:r>
        <w:rPr>
          <w:rFonts w:hint="eastAsia"/>
          <w:kern w:val="2"/>
          <w:szCs w:val="32"/>
          <w:lang w:val="en-US" w:bidi="ar-SA"/>
        </w:rPr>
        <w:t>母基金投资子基金的规模不低于母基金实缴出资额的</w:t>
      </w:r>
      <w:r>
        <w:rPr>
          <w:rFonts w:hint="default" w:ascii="Times New Roman" w:hAnsi="Times New Roman" w:cs="Times New Roman"/>
          <w:kern w:val="2"/>
          <w:sz w:val="32"/>
          <w:szCs w:val="32"/>
          <w:lang w:val="en-US" w:bidi="ar-SA"/>
        </w:rPr>
        <w:t>80</w:t>
      </w:r>
      <w:r>
        <w:rPr>
          <w:rFonts w:hint="eastAsia"/>
          <w:kern w:val="2"/>
          <w:szCs w:val="32"/>
          <w:lang w:val="en-US" w:bidi="ar-SA"/>
        </w:rPr>
        <w:t>%；单只子基金规模原则上不低于</w:t>
      </w:r>
      <w:r>
        <w:rPr>
          <w:rFonts w:hint="default" w:ascii="Times New Roman" w:hAnsi="Times New Roman" w:cs="Times New Roman"/>
          <w:kern w:val="2"/>
          <w:sz w:val="32"/>
          <w:szCs w:val="32"/>
          <w:lang w:val="en-US" w:bidi="ar-SA"/>
        </w:rPr>
        <w:t>5000</w:t>
      </w:r>
      <w:r>
        <w:rPr>
          <w:rFonts w:hint="eastAsia"/>
          <w:kern w:val="2"/>
          <w:szCs w:val="32"/>
          <w:lang w:val="en-US" w:bidi="ar-SA"/>
        </w:rPr>
        <w:t>万元；母基金对单只子基金的投资额不得超过母基金总规模的</w:t>
      </w:r>
      <w:r>
        <w:rPr>
          <w:rFonts w:hint="default" w:ascii="Times New Roman" w:hAnsi="Times New Roman" w:cs="Times New Roman"/>
          <w:kern w:val="2"/>
          <w:sz w:val="32"/>
          <w:szCs w:val="32"/>
          <w:lang w:val="en-US" w:bidi="ar-SA"/>
        </w:rPr>
        <w:t>20</w:t>
      </w:r>
      <w:r>
        <w:rPr>
          <w:rFonts w:hint="eastAsia"/>
          <w:kern w:val="2"/>
          <w:szCs w:val="32"/>
          <w:lang w:val="en-US" w:bidi="ar-SA"/>
        </w:rPr>
        <w:t>%，且在单只子基金中的认缴出资比例原则上不超过该子基金总规模的</w:t>
      </w:r>
      <w:r>
        <w:rPr>
          <w:rFonts w:hint="default" w:ascii="Times New Roman" w:hAnsi="Times New Roman" w:cs="Times New Roman"/>
          <w:kern w:val="2"/>
          <w:sz w:val="32"/>
          <w:szCs w:val="32"/>
          <w:lang w:val="en-US" w:bidi="ar-SA"/>
        </w:rPr>
        <w:t>50</w:t>
      </w:r>
      <w:r>
        <w:rPr>
          <w:rFonts w:hint="eastAsia"/>
          <w:kern w:val="2"/>
          <w:szCs w:val="32"/>
          <w:lang w:val="en-US" w:bidi="ar-SA"/>
        </w:rPr>
        <w:t>%。</w:t>
      </w:r>
    </w:p>
    <w:p w14:paraId="37225498">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w:t>
      </w:r>
      <w:r>
        <w:rPr>
          <w:rFonts w:hint="eastAsia" w:ascii="楷体_GB2312" w:hAnsi="楷体_GB2312" w:eastAsia="楷体_GB2312" w:cs="楷体_GB2312"/>
          <w:lang w:val="en-US" w:eastAsia="zh-CN"/>
        </w:rPr>
        <w:t>七</w:t>
      </w:r>
      <w:r>
        <w:rPr>
          <w:rFonts w:hint="eastAsia" w:ascii="楷体_GB2312" w:hAnsi="楷体_GB2312" w:eastAsia="楷体_GB2312" w:cs="楷体_GB2312"/>
          <w:lang w:val="en-US"/>
        </w:rPr>
        <w:t>）投资领域</w:t>
      </w:r>
    </w:p>
    <w:p w14:paraId="3B142236">
      <w:pPr>
        <w:autoSpaceDE/>
        <w:autoSpaceDN/>
        <w:adjustRightInd w:val="0"/>
        <w:snapToGrid w:val="0"/>
        <w:spacing w:line="560" w:lineRule="exact"/>
        <w:ind w:firstLine="640"/>
        <w:rPr>
          <w:rFonts w:hint="eastAsia"/>
          <w:lang w:val="en-US"/>
        </w:rPr>
      </w:pPr>
      <w:r>
        <w:rPr>
          <w:rFonts w:hint="eastAsia"/>
          <w:szCs w:val="32"/>
          <w:lang w:val="en-US"/>
        </w:rPr>
        <w:t>山西省扶持和鼓励发展的战略性新兴产业，包括先进制造、能源和新能源、半导体材料等重点领域优质种子期、初创期项目，重点投资山西晋创谷初创期科技型企业。</w:t>
      </w:r>
    </w:p>
    <w:p w14:paraId="0E71470A">
      <w:pPr>
        <w:autoSpaceDE/>
        <w:autoSpaceDN/>
        <w:adjustRightInd w:val="0"/>
        <w:snapToGrid w:val="0"/>
        <w:spacing w:line="560" w:lineRule="exact"/>
        <w:ind w:firstLine="640"/>
        <w:rPr>
          <w:rFonts w:hint="eastAsia"/>
          <w:szCs w:val="32"/>
          <w:lang w:val="en-US"/>
        </w:rPr>
      </w:pPr>
      <w:r>
        <w:rPr>
          <w:rFonts w:hint="eastAsia"/>
          <w:szCs w:val="32"/>
          <w:lang w:val="en-US"/>
        </w:rPr>
        <w:t>拟投资企业原则上须同时满足以下条件</w:t>
      </w:r>
      <w:r>
        <w:rPr>
          <w:rFonts w:hint="eastAsia"/>
          <w:szCs w:val="32"/>
          <w:lang w:val="en-US" w:eastAsia="zh-CN"/>
        </w:rPr>
        <w:t>：</w:t>
      </w:r>
    </w:p>
    <w:p w14:paraId="2ABF00CF">
      <w:pPr>
        <w:adjustRightInd w:val="0"/>
        <w:snapToGrid w:val="0"/>
        <w:spacing w:line="560" w:lineRule="exact"/>
        <w:ind w:firstLine="640"/>
        <w:rPr>
          <w:rFonts w:hint="eastAsia"/>
          <w:lang w:val="en-US"/>
        </w:rPr>
      </w:pPr>
      <w:r>
        <w:rPr>
          <w:rFonts w:hint="eastAsia"/>
          <w:lang w:val="en-US"/>
        </w:rPr>
        <w:t>一是母子基金的投资须为其首两轮外部机构投资且接受投资时企业设立时间不超过</w:t>
      </w:r>
      <w:r>
        <w:rPr>
          <w:rFonts w:hint="default" w:ascii="Times New Roman" w:hAnsi="Times New Roman" w:cs="Times New Roman"/>
          <w:sz w:val="32"/>
          <w:szCs w:val="32"/>
          <w:lang w:val="en-US"/>
        </w:rPr>
        <w:t>5</w:t>
      </w:r>
      <w:r>
        <w:rPr>
          <w:rFonts w:hint="eastAsia"/>
          <w:lang w:val="en-US"/>
        </w:rPr>
        <w:t>年</w:t>
      </w:r>
      <w:r>
        <w:rPr>
          <w:rFonts w:hint="eastAsia"/>
          <w:lang w:val="en-US" w:eastAsia="zh-CN"/>
        </w:rPr>
        <w:t>（</w:t>
      </w:r>
      <w:r>
        <w:rPr>
          <w:rFonts w:hint="default" w:ascii="Times New Roman" w:hAnsi="Times New Roman" w:cs="Times New Roman"/>
          <w:sz w:val="32"/>
          <w:szCs w:val="32"/>
          <w:lang w:val="en-US"/>
        </w:rPr>
        <w:t>60</w:t>
      </w:r>
      <w:r>
        <w:rPr>
          <w:rFonts w:hint="eastAsia"/>
          <w:lang w:val="en-US"/>
        </w:rPr>
        <w:t>个月</w:t>
      </w:r>
      <w:r>
        <w:rPr>
          <w:rFonts w:hint="eastAsia"/>
          <w:lang w:val="en-US" w:eastAsia="zh-CN"/>
        </w:rPr>
        <w:t>）</w:t>
      </w:r>
      <w:r>
        <w:rPr>
          <w:rFonts w:hint="eastAsia"/>
          <w:lang w:val="en-US"/>
        </w:rPr>
        <w:t>;</w:t>
      </w:r>
    </w:p>
    <w:p w14:paraId="7C8EC52F">
      <w:pPr>
        <w:adjustRightInd w:val="0"/>
        <w:snapToGrid w:val="0"/>
        <w:spacing w:line="560" w:lineRule="exact"/>
        <w:ind w:firstLine="640"/>
        <w:rPr>
          <w:rFonts w:hint="eastAsia"/>
          <w:lang w:val="en-US"/>
        </w:rPr>
      </w:pPr>
      <w:r>
        <w:rPr>
          <w:rFonts w:hint="eastAsia"/>
          <w:lang w:val="en-US"/>
        </w:rPr>
        <w:t>二是从业人数不超过</w:t>
      </w:r>
      <w:r>
        <w:rPr>
          <w:rFonts w:hint="default" w:ascii="Times New Roman" w:hAnsi="Times New Roman" w:cs="Times New Roman"/>
          <w:sz w:val="32"/>
          <w:szCs w:val="32"/>
          <w:lang w:val="en-US"/>
        </w:rPr>
        <w:t>200</w:t>
      </w:r>
      <w:r>
        <w:rPr>
          <w:rFonts w:hint="eastAsia"/>
          <w:lang w:val="en-US"/>
        </w:rPr>
        <w:t>人，其中具有大学本科以上学历的从业人数不低于</w:t>
      </w:r>
      <w:r>
        <w:rPr>
          <w:rFonts w:hint="default" w:ascii="Times New Roman" w:hAnsi="Times New Roman" w:cs="Times New Roman"/>
          <w:sz w:val="32"/>
          <w:szCs w:val="32"/>
          <w:lang w:val="en-US"/>
        </w:rPr>
        <w:t>30</w:t>
      </w:r>
      <w:r>
        <w:rPr>
          <w:rFonts w:hint="eastAsia"/>
          <w:lang w:val="en-US"/>
        </w:rPr>
        <w:t>%，且接受投资时上一年度净资产或者年销售收入不超过</w:t>
      </w:r>
      <w:r>
        <w:rPr>
          <w:rFonts w:hint="default" w:ascii="Times New Roman" w:hAnsi="Times New Roman" w:cs="Times New Roman"/>
          <w:lang w:val="en-US"/>
        </w:rPr>
        <w:t>2</w:t>
      </w:r>
      <w:r>
        <w:rPr>
          <w:rFonts w:hint="eastAsia"/>
          <w:lang w:val="en-US"/>
        </w:rPr>
        <w:t>亿元人民币。</w:t>
      </w:r>
    </w:p>
    <w:p w14:paraId="0C2FA0ED">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w:t>
      </w:r>
      <w:r>
        <w:rPr>
          <w:rFonts w:hint="eastAsia" w:ascii="楷体_GB2312" w:hAnsi="楷体_GB2312" w:eastAsia="楷体_GB2312" w:cs="楷体_GB2312"/>
          <w:lang w:val="en-US" w:eastAsia="zh-CN"/>
        </w:rPr>
        <w:t>八</w:t>
      </w:r>
      <w:r>
        <w:rPr>
          <w:rFonts w:hint="eastAsia" w:ascii="楷体_GB2312" w:hAnsi="楷体_GB2312" w:eastAsia="楷体_GB2312" w:cs="楷体_GB2312"/>
          <w:lang w:val="en-US"/>
        </w:rPr>
        <w:t>）管理费</w:t>
      </w:r>
    </w:p>
    <w:p w14:paraId="1A3D5986">
      <w:pPr>
        <w:adjustRightInd w:val="0"/>
        <w:snapToGrid w:val="0"/>
        <w:spacing w:line="560" w:lineRule="exact"/>
        <w:ind w:firstLine="640"/>
        <w:rPr>
          <w:rFonts w:hint="eastAsia"/>
          <w:lang w:val="en-US"/>
        </w:rPr>
      </w:pPr>
      <w:r>
        <w:rPr>
          <w:rFonts w:hint="eastAsia"/>
          <w:lang w:val="en-US" w:eastAsia="zh-CN"/>
        </w:rPr>
        <w:t>母</w:t>
      </w:r>
      <w:r>
        <w:rPr>
          <w:rFonts w:hint="eastAsia"/>
          <w:lang w:val="en-US"/>
        </w:rPr>
        <w:t>基金存续期内，</w:t>
      </w:r>
      <w:r>
        <w:rPr>
          <w:rFonts w:hint="eastAsia"/>
          <w:lang w:val="en-US" w:eastAsia="zh-CN"/>
        </w:rPr>
        <w:t>母</w:t>
      </w:r>
      <w:r>
        <w:rPr>
          <w:rFonts w:hint="eastAsia"/>
          <w:lang w:val="en-US"/>
        </w:rPr>
        <w:t>基金管理费按不超过基金实缴出资额的</w:t>
      </w:r>
      <w:r>
        <w:rPr>
          <w:rFonts w:hint="default" w:ascii="Times New Roman" w:hAnsi="Times New Roman" w:cs="Times New Roman"/>
          <w:lang w:val="en-US"/>
        </w:rPr>
        <w:t>1</w:t>
      </w:r>
      <w:r>
        <w:rPr>
          <w:rFonts w:hint="eastAsia"/>
          <w:lang w:val="en-US"/>
        </w:rPr>
        <w:t>%</w:t>
      </w:r>
      <w:r>
        <w:rPr>
          <w:rFonts w:hint="eastAsia"/>
          <w:lang w:val="en-US" w:eastAsia="zh-CN"/>
        </w:rPr>
        <w:t>/年</w:t>
      </w:r>
      <w:r>
        <w:rPr>
          <w:rFonts w:hint="eastAsia"/>
          <w:lang w:val="en-US"/>
        </w:rPr>
        <w:t>提取，延长期不收取管理费。</w:t>
      </w:r>
      <w:r>
        <w:rPr>
          <w:rFonts w:hint="eastAsia"/>
          <w:lang w:val="en-US" w:eastAsia="zh-CN"/>
        </w:rPr>
        <w:t>母</w:t>
      </w:r>
      <w:r>
        <w:rPr>
          <w:rFonts w:hint="eastAsia"/>
          <w:lang w:val="en-US"/>
        </w:rPr>
        <w:t>基金所投资的子基金的管理费按照行业惯例确定，原则上不超过子基金实缴出资额的</w:t>
      </w:r>
      <w:r>
        <w:rPr>
          <w:rFonts w:hint="default" w:ascii="Times New Roman" w:hAnsi="Times New Roman" w:cs="Times New Roman"/>
          <w:lang w:val="en-US"/>
        </w:rPr>
        <w:t>2</w:t>
      </w:r>
      <w:r>
        <w:rPr>
          <w:rFonts w:hint="eastAsia"/>
          <w:lang w:val="en-US"/>
        </w:rPr>
        <w:t>%/年。</w:t>
      </w:r>
    </w:p>
    <w:p w14:paraId="3EA030B6">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w:t>
      </w:r>
      <w:r>
        <w:rPr>
          <w:rFonts w:hint="eastAsia" w:ascii="楷体_GB2312" w:hAnsi="楷体_GB2312" w:eastAsia="楷体_GB2312" w:cs="楷体_GB2312"/>
          <w:lang w:val="en-US" w:eastAsia="zh-CN"/>
        </w:rPr>
        <w:t>九</w:t>
      </w:r>
      <w:r>
        <w:rPr>
          <w:rFonts w:hint="eastAsia" w:ascii="楷体_GB2312" w:hAnsi="楷体_GB2312" w:eastAsia="楷体_GB2312" w:cs="楷体_GB2312"/>
          <w:lang w:val="en-US"/>
        </w:rPr>
        <w:t>）收益分配</w:t>
      </w:r>
    </w:p>
    <w:p w14:paraId="22799773">
      <w:pPr>
        <w:adjustRightInd w:val="0"/>
        <w:snapToGrid w:val="0"/>
        <w:spacing w:line="560" w:lineRule="exact"/>
        <w:ind w:firstLine="640"/>
        <w:rPr>
          <w:rFonts w:hint="eastAsia"/>
          <w:lang w:val="en-US"/>
        </w:rPr>
      </w:pPr>
      <w:r>
        <w:rPr>
          <w:rFonts w:hint="eastAsia"/>
          <w:lang w:val="en-US"/>
        </w:rPr>
        <w:t>母基金不进行循环投资，投资回收资金采取先回本后分利方式，先按照各出资人实缴出资比例分配给各出资人，直至各出资人收回全部实缴出资，剩余的投资收益再按照协议约定的方式予以分配。</w:t>
      </w:r>
    </w:p>
    <w:p w14:paraId="2DB3EEBF">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w:t>
      </w:r>
      <w:r>
        <w:rPr>
          <w:rFonts w:hint="eastAsia" w:ascii="楷体_GB2312" w:hAnsi="楷体_GB2312" w:eastAsia="楷体_GB2312" w:cs="楷体_GB2312"/>
          <w:lang w:val="en-US" w:eastAsia="zh-CN"/>
        </w:rPr>
        <w:t>十</w:t>
      </w:r>
      <w:r>
        <w:rPr>
          <w:rFonts w:hint="eastAsia" w:ascii="楷体_GB2312" w:hAnsi="楷体_GB2312" w:eastAsia="楷体_GB2312" w:cs="楷体_GB2312"/>
          <w:lang w:val="en-US"/>
        </w:rPr>
        <w:t>）容错机制</w:t>
      </w:r>
    </w:p>
    <w:p w14:paraId="6ADAD24D">
      <w:pPr>
        <w:adjustRightInd w:val="0"/>
        <w:snapToGrid w:val="0"/>
        <w:spacing w:line="560" w:lineRule="exact"/>
        <w:ind w:firstLine="640"/>
        <w:rPr>
          <w:rFonts w:hint="eastAsia" w:ascii="仿宋_GB2312" w:hAnsi="仿宋_GB2312" w:eastAsia="仿宋_GB2312" w:cs="仿宋_GB2312"/>
          <w:kern w:val="2"/>
          <w:szCs w:val="32"/>
          <w:shd w:val="clear" w:color="auto" w:fill="FFFFFF"/>
          <w:lang w:val="en-US" w:eastAsia="zh-CN" w:bidi="ar-SA"/>
        </w:rPr>
      </w:pPr>
      <w:r>
        <w:rPr>
          <w:rFonts w:hint="eastAsia" w:ascii="仿宋_GB2312" w:hAnsi="仿宋_GB2312" w:eastAsia="仿宋_GB2312" w:cs="仿宋_GB2312"/>
          <w:kern w:val="2"/>
          <w:szCs w:val="32"/>
          <w:shd w:val="clear" w:color="auto" w:fill="FFFFFF"/>
          <w:lang w:val="zh-CN" w:eastAsia="zh-CN" w:bidi="ar-SA"/>
        </w:rPr>
        <w:t>为提高管理机构的积极性，根据《山西省推动创新创业高质量发展</w:t>
      </w:r>
      <w:r>
        <w:rPr>
          <w:rFonts w:hint="default" w:ascii="Times New Roman" w:hAnsi="Times New Roman" w:eastAsia="仿宋_GB2312" w:cs="Times New Roman"/>
          <w:kern w:val="2"/>
          <w:sz w:val="32"/>
          <w:szCs w:val="32"/>
          <w:shd w:val="clear" w:color="auto" w:fill="FFFFFF"/>
          <w:lang w:val="zh-CN" w:eastAsia="zh-CN" w:bidi="ar-SA"/>
        </w:rPr>
        <w:t>20</w:t>
      </w:r>
      <w:r>
        <w:rPr>
          <w:rFonts w:hint="eastAsia" w:ascii="仿宋_GB2312" w:hAnsi="仿宋_GB2312" w:eastAsia="仿宋_GB2312" w:cs="仿宋_GB2312"/>
          <w:kern w:val="2"/>
          <w:szCs w:val="32"/>
          <w:shd w:val="clear" w:color="auto" w:fill="FFFFFF"/>
          <w:lang w:val="zh-CN" w:eastAsia="zh-CN" w:bidi="ar-SA"/>
        </w:rPr>
        <w:t>条措施》《晋创谷创新驱动平台建设三年行动计划（</w:t>
      </w:r>
      <w:r>
        <w:rPr>
          <w:rFonts w:hint="default" w:ascii="Times New Roman" w:hAnsi="Times New Roman" w:eastAsia="仿宋_GB2312" w:cs="Times New Roman"/>
          <w:kern w:val="2"/>
          <w:sz w:val="32"/>
          <w:szCs w:val="32"/>
          <w:shd w:val="clear" w:color="auto" w:fill="FFFFFF"/>
          <w:lang w:val="zh-CN" w:eastAsia="zh-CN" w:bidi="ar-SA"/>
        </w:rPr>
        <w:t>2024</w:t>
      </w:r>
      <w:r>
        <w:rPr>
          <w:rFonts w:hint="eastAsia" w:ascii="仿宋_GB2312" w:hAnsi="仿宋_GB2312" w:eastAsia="仿宋_GB2312" w:cs="仿宋_GB2312"/>
          <w:kern w:val="2"/>
          <w:szCs w:val="32"/>
          <w:shd w:val="clear" w:color="auto" w:fill="FFFFFF"/>
          <w:lang w:val="zh-CN" w:eastAsia="zh-CN" w:bidi="ar-SA"/>
        </w:rPr>
        <w:t>―</w:t>
      </w:r>
      <w:r>
        <w:rPr>
          <w:rFonts w:hint="default" w:ascii="Times New Roman" w:hAnsi="Times New Roman" w:eastAsia="仿宋_GB2312" w:cs="Times New Roman"/>
          <w:kern w:val="2"/>
          <w:sz w:val="32"/>
          <w:szCs w:val="32"/>
          <w:shd w:val="clear" w:color="auto" w:fill="FFFFFF"/>
          <w:lang w:val="zh-CN" w:eastAsia="zh-CN" w:bidi="ar-SA"/>
        </w:rPr>
        <w:t>2026</w:t>
      </w:r>
      <w:r>
        <w:rPr>
          <w:rFonts w:hint="eastAsia" w:ascii="仿宋_GB2312" w:hAnsi="仿宋_GB2312" w:eastAsia="仿宋_GB2312" w:cs="仿宋_GB2312"/>
          <w:kern w:val="2"/>
          <w:szCs w:val="32"/>
          <w:shd w:val="clear" w:color="auto" w:fill="FFFFFF"/>
          <w:lang w:val="zh-CN" w:eastAsia="zh-CN" w:bidi="ar-SA"/>
        </w:rPr>
        <w:t>年）》等文件精神，母基金</w:t>
      </w:r>
      <w:r>
        <w:rPr>
          <w:rFonts w:hint="eastAsia" w:ascii="仿宋_GB2312" w:hAnsi="仿宋_GB2312" w:eastAsia="仿宋_GB2312" w:cs="仿宋_GB2312"/>
          <w:kern w:val="2"/>
          <w:szCs w:val="32"/>
          <w:shd w:val="clear" w:color="auto" w:fill="FFFFFF"/>
          <w:lang w:val="en-US" w:eastAsia="zh-CN" w:bidi="ar-SA"/>
        </w:rPr>
        <w:t>可容忍</w:t>
      </w:r>
      <w:r>
        <w:rPr>
          <w:rFonts w:hint="eastAsia" w:ascii="仿宋_GB2312" w:hAnsi="仿宋_GB2312" w:eastAsia="仿宋_GB2312" w:cs="仿宋_GB2312"/>
          <w:kern w:val="2"/>
          <w:szCs w:val="32"/>
          <w:shd w:val="clear" w:color="auto" w:fill="FFFFFF"/>
          <w:lang w:val="zh-CN" w:eastAsia="zh-CN" w:bidi="ar-SA"/>
        </w:rPr>
        <w:t>投资损失。</w:t>
      </w:r>
      <w:r>
        <w:rPr>
          <w:rFonts w:hint="eastAsia" w:ascii="仿宋_GB2312" w:hAnsi="仿宋_GB2312" w:eastAsia="仿宋_GB2312" w:cs="仿宋_GB2312"/>
          <w:kern w:val="2"/>
          <w:szCs w:val="32"/>
          <w:shd w:val="clear" w:color="auto" w:fill="FFFFFF"/>
          <w:lang w:val="en-US" w:eastAsia="zh-CN" w:bidi="ar-SA"/>
        </w:rPr>
        <w:t>针对投资于晋创谷的早期项目，允许不超过</w:t>
      </w:r>
      <w:r>
        <w:rPr>
          <w:rFonts w:hint="default" w:ascii="Times New Roman" w:hAnsi="Times New Roman" w:eastAsia="仿宋_GB2312" w:cs="Times New Roman"/>
          <w:kern w:val="2"/>
          <w:szCs w:val="32"/>
          <w:shd w:val="clear" w:color="auto" w:fill="FFFFFF"/>
          <w:lang w:val="en-US" w:eastAsia="zh-CN" w:bidi="ar-SA"/>
        </w:rPr>
        <w:t>80</w:t>
      </w:r>
      <w:r>
        <w:rPr>
          <w:rFonts w:hint="eastAsia" w:ascii="仿宋_GB2312" w:hAnsi="仿宋_GB2312" w:eastAsia="仿宋_GB2312" w:cs="仿宋_GB2312"/>
          <w:kern w:val="2"/>
          <w:szCs w:val="32"/>
          <w:shd w:val="clear" w:color="auto" w:fill="FFFFFF"/>
          <w:lang w:val="en-US" w:eastAsia="zh-CN" w:bidi="ar-SA"/>
        </w:rPr>
        <w:t>%比例的项目失败率。</w:t>
      </w:r>
    </w:p>
    <w:p w14:paraId="67C2C7A9">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（十</w:t>
      </w:r>
      <w:r>
        <w:rPr>
          <w:rFonts w:hint="eastAsia" w:ascii="楷体_GB2312" w:hAnsi="楷体_GB2312" w:eastAsia="楷体_GB2312" w:cs="楷体_GB2312"/>
          <w:lang w:val="en-US" w:eastAsia="zh-CN"/>
        </w:rPr>
        <w:t>一</w:t>
      </w:r>
      <w:r>
        <w:rPr>
          <w:rFonts w:hint="eastAsia" w:ascii="楷体_GB2312" w:hAnsi="楷体_GB2312" w:eastAsia="楷体_GB2312" w:cs="楷体_GB2312"/>
          <w:lang w:val="en-US"/>
        </w:rPr>
        <w:t>）绩效评价</w:t>
      </w:r>
    </w:p>
    <w:p w14:paraId="609AC274">
      <w:pPr>
        <w:adjustRightInd w:val="0"/>
        <w:snapToGrid w:val="0"/>
        <w:spacing w:line="560" w:lineRule="exact"/>
        <w:ind w:firstLine="640"/>
        <w:rPr>
          <w:rFonts w:hint="eastAsia" w:hAnsi="Calibri"/>
          <w:kern w:val="2"/>
          <w:szCs w:val="32"/>
          <w:shd w:val="clear" w:color="auto" w:fill="FFFFFF"/>
          <w:lang w:bidi="ar-SA"/>
        </w:rPr>
      </w:pPr>
      <w:r>
        <w:rPr>
          <w:rFonts w:hint="eastAsia" w:hAnsi="Calibri"/>
          <w:kern w:val="2"/>
          <w:szCs w:val="32"/>
          <w:shd w:val="clear" w:color="auto" w:fill="FFFFFF"/>
          <w:lang w:bidi="ar-SA"/>
        </w:rPr>
        <w:t>政府投资基金将设置科学化、差异化、可量化的绩效指标体系，根据政策目标实现情况，对管理机构进行绩效评价，并综合采取调整管理费、收益分配等措施加强绩效评价结果应用。</w:t>
      </w:r>
    </w:p>
    <w:p w14:paraId="63164977">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（十</w:t>
      </w:r>
      <w:r>
        <w:rPr>
          <w:rFonts w:hint="eastAsia" w:ascii="楷体_GB2312" w:hAnsi="楷体_GB2312" w:eastAsia="楷体_GB2312" w:cs="楷体_GB2312"/>
          <w:lang w:val="en-US" w:eastAsia="zh-CN"/>
        </w:rPr>
        <w:t>二</w:t>
      </w:r>
      <w:r>
        <w:rPr>
          <w:rFonts w:hint="eastAsia" w:ascii="楷体_GB2312" w:hAnsi="楷体_GB2312" w:eastAsia="楷体_GB2312" w:cs="楷体_GB2312"/>
          <w:lang w:val="en-US"/>
        </w:rPr>
        <w:t>）让利机制</w:t>
      </w:r>
    </w:p>
    <w:p w14:paraId="249530C5">
      <w:pPr>
        <w:adjustRightInd w:val="0"/>
        <w:snapToGrid w:val="0"/>
        <w:spacing w:line="560" w:lineRule="exact"/>
        <w:ind w:firstLine="640"/>
        <w:rPr>
          <w:rFonts w:hint="eastAsia"/>
          <w:lang w:val="en-US"/>
        </w:rPr>
      </w:pPr>
      <w:r>
        <w:rPr>
          <w:rFonts w:hint="eastAsia"/>
          <w:lang w:val="en-US"/>
        </w:rPr>
        <w:t>基金清算时，可根据政策和整体绩效评价结果，以政府投资基金投资收益为限，予以适当让利。</w:t>
      </w:r>
    </w:p>
    <w:p w14:paraId="64A3447C">
      <w:pPr>
        <w:pStyle w:val="3"/>
        <w:numPr>
          <w:ilvl w:val="0"/>
          <w:numId w:val="0"/>
        </w:numPr>
        <w:adjustRightInd w:val="0"/>
        <w:snapToGrid w:val="0"/>
        <w:spacing w:line="560" w:lineRule="exact"/>
        <w:ind w:firstLine="640" w:firstLineChars="200"/>
        <w:rPr>
          <w:rFonts w:hint="eastAsia" w:ascii="黑体" w:hAnsi="黑体" w:eastAsia="黑体" w:cs="黑体"/>
          <w:sz w:val="32"/>
          <w:szCs w:val="22"/>
          <w:lang w:val="en-US" w:eastAsia="zh-CN" w:bidi="zh-CN"/>
        </w:rPr>
      </w:pPr>
      <w:r>
        <w:rPr>
          <w:rFonts w:hint="eastAsia" w:ascii="黑体" w:hAnsi="黑体" w:eastAsia="黑体" w:cs="黑体"/>
          <w:sz w:val="32"/>
          <w:szCs w:val="22"/>
          <w:lang w:val="en-US" w:eastAsia="zh-CN" w:bidi="zh-CN"/>
        </w:rPr>
        <w:t>二、申报要求</w:t>
      </w:r>
    </w:p>
    <w:p w14:paraId="66874341">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（一）基本要求</w:t>
      </w:r>
    </w:p>
    <w:p w14:paraId="6E2BF844">
      <w:pPr>
        <w:adjustRightInd w:val="0"/>
        <w:snapToGrid w:val="0"/>
        <w:spacing w:line="560" w:lineRule="exact"/>
        <w:ind w:firstLine="640"/>
        <w:rPr>
          <w:rFonts w:hAnsi="Calibri"/>
          <w:kern w:val="2"/>
          <w:szCs w:val="32"/>
          <w:shd w:val="clear" w:color="auto" w:fill="FFFFFF"/>
          <w:lang w:val="en-US" w:bidi="ar-SA"/>
        </w:rPr>
      </w:pPr>
      <w:r>
        <w:rPr>
          <w:rFonts w:hint="default" w:ascii="Times New Roman" w:hAnsi="Times New Roman" w:cs="Times New Roman"/>
          <w:kern w:val="2"/>
          <w:sz w:val="32"/>
          <w:szCs w:val="32"/>
          <w:shd w:val="clear" w:color="auto" w:fill="FFFFFF"/>
          <w:lang w:val="en-US" w:bidi="ar-SA"/>
        </w:rPr>
        <w:t>1</w:t>
      </w:r>
      <w:r>
        <w:rPr>
          <w:rFonts w:hint="eastAsia" w:hAnsi="Calibri"/>
          <w:kern w:val="2"/>
          <w:szCs w:val="32"/>
          <w:shd w:val="clear" w:color="auto" w:fill="FFFFFF"/>
          <w:lang w:val="en-US" w:bidi="ar-SA"/>
        </w:rPr>
        <w:t>.</w:t>
      </w:r>
      <w:r>
        <w:rPr>
          <w:rFonts w:hAnsi="Calibri"/>
          <w:kern w:val="2"/>
          <w:szCs w:val="32"/>
          <w:shd w:val="clear" w:color="auto" w:fill="FFFFFF"/>
          <w:lang w:val="en-US" w:bidi="ar-SA"/>
        </w:rPr>
        <w:t>在中华人民共和国境内注册</w:t>
      </w:r>
      <w:r>
        <w:rPr>
          <w:rFonts w:hint="eastAsia" w:hAnsi="Calibri"/>
          <w:kern w:val="2"/>
          <w:szCs w:val="32"/>
          <w:shd w:val="clear" w:color="auto" w:fill="FFFFFF"/>
          <w:lang w:val="en-US" w:bidi="ar-SA"/>
        </w:rPr>
        <w:t>，实缴注册资本不低于</w:t>
      </w:r>
      <w:r>
        <w:rPr>
          <w:rFonts w:hint="default" w:ascii="Times New Roman" w:hAnsi="Times New Roman" w:cs="Times New Roman"/>
          <w:kern w:val="2"/>
          <w:sz w:val="32"/>
          <w:szCs w:val="32"/>
          <w:shd w:val="clear" w:color="auto" w:fill="FFFFFF"/>
          <w:lang w:val="en-US" w:bidi="ar-SA"/>
        </w:rPr>
        <w:t>1000</w:t>
      </w:r>
      <w:r>
        <w:rPr>
          <w:rFonts w:hint="eastAsia" w:hAnsi="Calibri"/>
          <w:kern w:val="2"/>
          <w:szCs w:val="32"/>
          <w:shd w:val="clear" w:color="auto" w:fill="FFFFFF"/>
          <w:lang w:val="en-US" w:bidi="ar-SA"/>
        </w:rPr>
        <w:t>万元人民币（或等值货币）。</w:t>
      </w:r>
    </w:p>
    <w:p w14:paraId="27E038DF">
      <w:pPr>
        <w:adjustRightInd w:val="0"/>
        <w:snapToGrid w:val="0"/>
        <w:spacing w:line="560" w:lineRule="exact"/>
        <w:ind w:firstLine="640"/>
        <w:rPr>
          <w:rFonts w:hAnsi="Calibri"/>
          <w:kern w:val="2"/>
          <w:szCs w:val="32"/>
          <w:shd w:val="clear" w:color="auto" w:fill="FFFFFF"/>
          <w:lang w:val="en-US" w:bidi="ar-SA"/>
        </w:rPr>
      </w:pPr>
      <w:r>
        <w:rPr>
          <w:rFonts w:hint="default" w:ascii="Times New Roman" w:hAnsi="Times New Roman" w:cs="Times New Roman"/>
          <w:kern w:val="2"/>
          <w:sz w:val="32"/>
          <w:szCs w:val="32"/>
          <w:shd w:val="clear" w:color="auto" w:fill="FFFFFF"/>
          <w:lang w:val="en-US" w:bidi="ar-SA"/>
        </w:rPr>
        <w:t>2</w:t>
      </w:r>
      <w:r>
        <w:rPr>
          <w:rFonts w:hint="eastAsia" w:hAnsi="Calibri"/>
          <w:kern w:val="2"/>
          <w:szCs w:val="32"/>
          <w:shd w:val="clear" w:color="auto" w:fill="FFFFFF"/>
          <w:lang w:val="en-US" w:bidi="ar-SA"/>
        </w:rPr>
        <w:t>.</w:t>
      </w:r>
      <w:r>
        <w:rPr>
          <w:rFonts w:hint="eastAsia" w:hAnsi="Calibri"/>
          <w:kern w:val="2"/>
          <w:szCs w:val="32"/>
          <w:shd w:val="clear" w:color="auto" w:fill="FFFFFF"/>
          <w:lang w:val="en-US" w:eastAsia="zh-CN" w:bidi="ar-SA"/>
        </w:rPr>
        <w:t>申报</w:t>
      </w:r>
      <w:r>
        <w:rPr>
          <w:rFonts w:hint="eastAsia" w:hAnsi="Calibri"/>
          <w:kern w:val="2"/>
          <w:szCs w:val="32"/>
          <w:shd w:val="clear" w:color="auto" w:fill="FFFFFF"/>
          <w:lang w:val="en-US" w:bidi="ar-SA"/>
        </w:rPr>
        <w:t>机构应有至少</w:t>
      </w:r>
      <w:r>
        <w:rPr>
          <w:rFonts w:hint="default" w:ascii="Times New Roman" w:hAnsi="Times New Roman" w:cs="Times New Roman"/>
          <w:kern w:val="2"/>
          <w:sz w:val="32"/>
          <w:szCs w:val="32"/>
          <w:shd w:val="clear" w:color="auto" w:fill="FFFFFF"/>
          <w:lang w:val="en-US" w:bidi="ar-SA"/>
        </w:rPr>
        <w:t>10</w:t>
      </w:r>
      <w:r>
        <w:rPr>
          <w:rFonts w:hint="eastAsia" w:hAnsi="Calibri"/>
          <w:kern w:val="2"/>
          <w:szCs w:val="32"/>
          <w:shd w:val="clear" w:color="auto" w:fill="FFFFFF"/>
          <w:lang w:val="en-US" w:bidi="ar-SA"/>
        </w:rPr>
        <w:t>名专业投资人员（含风控），具有稳定管理团队。</w:t>
      </w:r>
    </w:p>
    <w:p w14:paraId="5FF299B4">
      <w:pPr>
        <w:adjustRightInd w:val="0"/>
        <w:snapToGrid w:val="0"/>
        <w:spacing w:line="560" w:lineRule="exact"/>
        <w:ind w:firstLine="640"/>
        <w:rPr>
          <w:rFonts w:hAnsi="Calibri"/>
          <w:kern w:val="2"/>
          <w:szCs w:val="32"/>
          <w:shd w:val="clear" w:color="auto" w:fill="FFFFFF"/>
          <w:lang w:val="en-US" w:bidi="ar-SA"/>
        </w:rPr>
      </w:pPr>
      <w:r>
        <w:rPr>
          <w:rFonts w:hint="default" w:ascii="Times New Roman" w:hAnsi="Times New Roman" w:cs="Times New Roman"/>
          <w:kern w:val="2"/>
          <w:sz w:val="32"/>
          <w:szCs w:val="32"/>
          <w:shd w:val="clear" w:color="auto" w:fill="FFFFFF"/>
          <w:lang w:val="en-US" w:bidi="ar-SA"/>
        </w:rPr>
        <w:t>3</w:t>
      </w:r>
      <w:r>
        <w:rPr>
          <w:rFonts w:hint="eastAsia" w:hAnsi="Calibri"/>
          <w:kern w:val="2"/>
          <w:szCs w:val="32"/>
          <w:shd w:val="clear" w:color="auto" w:fill="FFFFFF"/>
          <w:lang w:val="en-US" w:bidi="ar-SA"/>
        </w:rPr>
        <w:t>.已在中国证券投资基金业协会完成登记；未被中国证券投资基金业协会列为异常机构且不存在不良诚信记录等情形；</w:t>
      </w:r>
      <w:r>
        <w:rPr>
          <w:rFonts w:hint="eastAsia" w:hAnsi="Calibri"/>
          <w:kern w:val="2"/>
          <w:szCs w:val="32"/>
          <w:shd w:val="clear" w:color="auto" w:fill="FFFFFF"/>
          <w:lang w:val="en-US" w:eastAsia="zh-CN" w:bidi="ar-SA"/>
        </w:rPr>
        <w:t>申报</w:t>
      </w:r>
      <w:r>
        <w:rPr>
          <w:rFonts w:hint="eastAsia" w:hAnsi="Calibri"/>
          <w:kern w:val="2"/>
          <w:szCs w:val="32"/>
          <w:shd w:val="clear" w:color="auto" w:fill="FFFFFF"/>
          <w:lang w:val="en-US" w:bidi="ar-SA"/>
        </w:rPr>
        <w:t>机构及其工作人员无被行政主管机关或司法机关处罚的不良记录。</w:t>
      </w:r>
    </w:p>
    <w:p w14:paraId="78FF6E4C">
      <w:pPr>
        <w:adjustRightInd w:val="0"/>
        <w:snapToGrid w:val="0"/>
        <w:spacing w:line="560" w:lineRule="exact"/>
        <w:ind w:firstLine="640"/>
        <w:rPr>
          <w:rFonts w:hAnsi="Calibri"/>
          <w:kern w:val="2"/>
          <w:szCs w:val="32"/>
          <w:shd w:val="clear" w:color="auto" w:fill="FFFFFF"/>
          <w:lang w:val="en-US" w:bidi="ar-SA"/>
        </w:rPr>
      </w:pPr>
      <w:r>
        <w:rPr>
          <w:rFonts w:hint="default" w:ascii="Times New Roman" w:hAnsi="Times New Roman" w:cs="Times New Roman"/>
          <w:kern w:val="2"/>
          <w:sz w:val="32"/>
          <w:szCs w:val="32"/>
          <w:shd w:val="clear" w:color="auto" w:fill="FFFFFF"/>
          <w:lang w:val="en-US" w:bidi="ar-SA"/>
        </w:rPr>
        <w:t>4</w:t>
      </w:r>
      <w:r>
        <w:rPr>
          <w:rFonts w:hint="eastAsia" w:hAnsi="Calibri"/>
          <w:kern w:val="2"/>
          <w:szCs w:val="32"/>
          <w:shd w:val="clear" w:color="auto" w:fill="FFFFFF"/>
          <w:lang w:val="en-US" w:bidi="ar-SA"/>
        </w:rPr>
        <w:t>.有完善的股权投资管理和风险控制流程、规范的项目筛选机制和投资决策机制、健全的内部财务管理制度。</w:t>
      </w:r>
    </w:p>
    <w:p w14:paraId="0697E764">
      <w:pPr>
        <w:adjustRightInd w:val="0"/>
        <w:snapToGrid w:val="0"/>
        <w:spacing w:line="560" w:lineRule="exact"/>
        <w:ind w:firstLine="640"/>
        <w:rPr>
          <w:rFonts w:hAnsi="Calibri"/>
          <w:kern w:val="2"/>
          <w:szCs w:val="32"/>
          <w:shd w:val="clear" w:color="auto" w:fill="FFFFFF"/>
          <w:lang w:val="en-US" w:bidi="ar-SA"/>
        </w:rPr>
      </w:pPr>
      <w:r>
        <w:rPr>
          <w:rFonts w:hint="default" w:ascii="Times New Roman" w:hAnsi="Times New Roman" w:cs="Times New Roman"/>
          <w:kern w:val="2"/>
          <w:sz w:val="32"/>
          <w:szCs w:val="32"/>
          <w:shd w:val="clear" w:color="auto" w:fill="FFFFFF"/>
          <w:lang w:val="en-US" w:bidi="ar-SA"/>
        </w:rPr>
        <w:t>5</w:t>
      </w:r>
      <w:r>
        <w:rPr>
          <w:rFonts w:hint="eastAsia" w:hAnsi="Calibri"/>
          <w:kern w:val="2"/>
          <w:szCs w:val="32"/>
          <w:shd w:val="clear" w:color="auto" w:fill="FFFFFF"/>
          <w:lang w:val="en-US" w:bidi="ar-SA"/>
        </w:rPr>
        <w:t>.具有相匹配的投资管理经验和优质项目储备。</w:t>
      </w:r>
      <w:r>
        <w:rPr>
          <w:rFonts w:hint="eastAsia" w:hAnsi="Calibri"/>
          <w:kern w:val="2"/>
          <w:szCs w:val="32"/>
          <w:shd w:val="clear" w:color="auto" w:fill="FFFFFF"/>
          <w:lang w:val="en-US" w:eastAsia="zh-CN" w:bidi="ar-SA"/>
        </w:rPr>
        <w:t>申报</w:t>
      </w:r>
      <w:r>
        <w:rPr>
          <w:rFonts w:hint="eastAsia" w:hAnsi="Calibri"/>
          <w:kern w:val="2"/>
          <w:szCs w:val="32"/>
          <w:shd w:val="clear" w:color="auto" w:fill="FFFFFF"/>
          <w:lang w:val="en-US" w:bidi="ar-SA"/>
        </w:rPr>
        <w:t>机构至少有</w:t>
      </w:r>
      <w:r>
        <w:rPr>
          <w:rFonts w:hint="default" w:ascii="Times New Roman" w:hAnsi="Times New Roman" w:cs="Times New Roman"/>
          <w:kern w:val="2"/>
          <w:sz w:val="32"/>
          <w:szCs w:val="32"/>
          <w:shd w:val="clear" w:color="auto" w:fill="FFFFFF"/>
          <w:lang w:val="en-US" w:bidi="ar-SA"/>
        </w:rPr>
        <w:t>3</w:t>
      </w:r>
      <w:r>
        <w:rPr>
          <w:rFonts w:hint="eastAsia" w:hAnsi="Calibri"/>
          <w:kern w:val="2"/>
          <w:szCs w:val="32"/>
          <w:shd w:val="clear" w:color="auto" w:fill="FFFFFF"/>
          <w:lang w:val="en-US" w:bidi="ar-SA"/>
        </w:rPr>
        <w:t>名具备</w:t>
      </w:r>
      <w:r>
        <w:rPr>
          <w:rFonts w:hint="default" w:ascii="Times New Roman" w:hAnsi="Times New Roman" w:cs="Times New Roman"/>
          <w:kern w:val="2"/>
          <w:sz w:val="32"/>
          <w:szCs w:val="32"/>
          <w:shd w:val="clear" w:color="auto" w:fill="FFFFFF"/>
          <w:lang w:val="en-US" w:bidi="ar-SA"/>
        </w:rPr>
        <w:t>3</w:t>
      </w:r>
      <w:r>
        <w:rPr>
          <w:rFonts w:hint="eastAsia" w:hAnsi="Calibri"/>
          <w:kern w:val="2"/>
          <w:szCs w:val="32"/>
          <w:shd w:val="clear" w:color="auto" w:fill="FFFFFF"/>
          <w:lang w:val="en-US" w:bidi="ar-SA"/>
        </w:rPr>
        <w:t>年以上基金管理工作经验的专职高级管理人员</w:t>
      </w:r>
      <w:r>
        <w:rPr>
          <w:rFonts w:hint="eastAsia" w:hAnsi="Calibri"/>
          <w:kern w:val="2"/>
          <w:szCs w:val="32"/>
          <w:shd w:val="clear" w:color="auto" w:fill="FFFFFF"/>
          <w:lang w:val="en-US" w:eastAsia="zh-CN" w:bidi="ar-SA"/>
        </w:rPr>
        <w:t>，</w:t>
      </w:r>
      <w:r>
        <w:rPr>
          <w:rFonts w:hint="eastAsia" w:hAnsi="Calibri"/>
          <w:kern w:val="2"/>
          <w:szCs w:val="32"/>
          <w:shd w:val="clear" w:color="auto" w:fill="FFFFFF"/>
          <w:lang w:val="en-US" w:bidi="ar-SA"/>
        </w:rPr>
        <w:t>且至少有</w:t>
      </w:r>
      <w:r>
        <w:rPr>
          <w:rFonts w:hint="default" w:ascii="Times New Roman" w:hAnsi="Times New Roman" w:cs="Times New Roman"/>
          <w:kern w:val="2"/>
          <w:sz w:val="32"/>
          <w:szCs w:val="32"/>
          <w:shd w:val="clear" w:color="auto" w:fill="FFFFFF"/>
          <w:lang w:val="en-US" w:bidi="ar-SA"/>
        </w:rPr>
        <w:t>3</w:t>
      </w:r>
      <w:r>
        <w:rPr>
          <w:rFonts w:hint="eastAsia" w:hAnsi="Calibri"/>
          <w:kern w:val="2"/>
          <w:szCs w:val="32"/>
          <w:shd w:val="clear" w:color="auto" w:fill="FFFFFF"/>
          <w:lang w:val="en-US" w:bidi="ar-SA"/>
        </w:rPr>
        <w:t>个以上股权投资的成功案例（</w:t>
      </w:r>
      <w:r>
        <w:rPr>
          <w:rFonts w:hint="eastAsia" w:ascii="仿宋_GB2312" w:eastAsia="仿宋_GB2312"/>
          <w:sz w:val="32"/>
          <w:szCs w:val="40"/>
          <w:lang w:val="en-US" w:eastAsia="zh-CN"/>
        </w:rPr>
        <w:t>指已投项目实现</w:t>
      </w:r>
      <w:r>
        <w:rPr>
          <w:rFonts w:hint="eastAsia" w:ascii="仿宋_GB2312" w:eastAsia="仿宋_GB2312"/>
          <w:sz w:val="32"/>
          <w:szCs w:val="40"/>
        </w:rPr>
        <w:t>上市</w:t>
      </w:r>
      <w:r>
        <w:rPr>
          <w:rFonts w:hint="eastAsia" w:ascii="仿宋_GB2312" w:eastAsia="仿宋_GB2312"/>
          <w:sz w:val="32"/>
          <w:szCs w:val="40"/>
          <w:lang w:val="en-US" w:eastAsia="zh-CN"/>
        </w:rPr>
        <w:t>或被</w:t>
      </w:r>
      <w:r>
        <w:rPr>
          <w:rFonts w:hint="eastAsia" w:ascii="仿宋_GB2312" w:eastAsia="仿宋_GB2312"/>
          <w:sz w:val="32"/>
          <w:szCs w:val="40"/>
        </w:rPr>
        <w:t>并购</w:t>
      </w:r>
      <w:r>
        <w:rPr>
          <w:rFonts w:hint="eastAsia"/>
          <w:sz w:val="32"/>
          <w:szCs w:val="40"/>
          <w:lang w:eastAsia="zh-CN"/>
        </w:rPr>
        <w:t>，</w:t>
      </w:r>
      <w:r>
        <w:rPr>
          <w:rFonts w:hint="eastAsia"/>
          <w:sz w:val="32"/>
          <w:szCs w:val="40"/>
          <w:lang w:val="en-US" w:eastAsia="zh-CN"/>
        </w:rPr>
        <w:t>或项目退出所形成的</w:t>
      </w:r>
      <w:bookmarkStart w:id="0" w:name="_GoBack"/>
      <w:bookmarkEnd w:id="0"/>
      <w:r>
        <w:rPr>
          <w:rFonts w:hint="eastAsia"/>
          <w:sz w:val="32"/>
          <w:szCs w:val="40"/>
          <w:lang w:val="en-US" w:eastAsia="zh-CN"/>
        </w:rPr>
        <w:t>年平均收益率不低于</w:t>
      </w:r>
      <w:r>
        <w:rPr>
          <w:rFonts w:hint="default" w:ascii="Times New Roman" w:hAnsi="Times New Roman" w:cs="Times New Roman"/>
          <w:sz w:val="32"/>
          <w:szCs w:val="40"/>
          <w:lang w:val="en-US" w:eastAsia="zh-CN"/>
        </w:rPr>
        <w:t>10</w:t>
      </w:r>
      <w:r>
        <w:rPr>
          <w:rFonts w:hint="eastAsia"/>
          <w:sz w:val="32"/>
          <w:szCs w:val="40"/>
          <w:lang w:val="en-US" w:eastAsia="zh-CN"/>
        </w:rPr>
        <w:t>%</w:t>
      </w:r>
      <w:r>
        <w:rPr>
          <w:rFonts w:hint="eastAsia" w:hAnsi="Calibri"/>
          <w:kern w:val="2"/>
          <w:szCs w:val="32"/>
          <w:shd w:val="clear" w:color="auto" w:fill="FFFFFF"/>
          <w:lang w:val="en-US" w:bidi="ar-SA"/>
        </w:rPr>
        <w:t>），其中至少有</w:t>
      </w:r>
      <w:r>
        <w:rPr>
          <w:rFonts w:hint="default" w:ascii="Times New Roman" w:hAnsi="Times New Roman" w:cs="Times New Roman"/>
          <w:kern w:val="2"/>
          <w:sz w:val="32"/>
          <w:szCs w:val="32"/>
          <w:shd w:val="clear" w:color="auto" w:fill="FFFFFF"/>
          <w:lang w:val="en-US" w:bidi="ar-SA"/>
        </w:rPr>
        <w:t>2</w:t>
      </w:r>
      <w:r>
        <w:rPr>
          <w:rFonts w:hint="eastAsia" w:hAnsi="Calibri"/>
          <w:kern w:val="2"/>
          <w:szCs w:val="32"/>
          <w:shd w:val="clear" w:color="auto" w:fill="FFFFFF"/>
          <w:lang w:val="en-US" w:bidi="ar-SA"/>
        </w:rPr>
        <w:t>名具有</w:t>
      </w:r>
      <w:r>
        <w:rPr>
          <w:rFonts w:hint="default" w:ascii="Times New Roman" w:hAnsi="Times New Roman" w:cs="Times New Roman"/>
          <w:kern w:val="2"/>
          <w:sz w:val="32"/>
          <w:szCs w:val="32"/>
          <w:shd w:val="clear" w:color="auto" w:fill="FFFFFF"/>
          <w:lang w:val="en-US" w:bidi="ar-SA"/>
        </w:rPr>
        <w:t>3</w:t>
      </w:r>
      <w:r>
        <w:rPr>
          <w:rFonts w:hint="eastAsia" w:hAnsi="Calibri"/>
          <w:kern w:val="2"/>
          <w:szCs w:val="32"/>
          <w:shd w:val="clear" w:color="auto" w:fill="FFFFFF"/>
          <w:lang w:val="en-US" w:bidi="ar-SA"/>
        </w:rPr>
        <w:t>年以上天使阶段项目投资经验的专职高级管理人员，高级管理人员是指在</w:t>
      </w:r>
      <w:r>
        <w:rPr>
          <w:rFonts w:hint="eastAsia" w:hAnsi="Calibri"/>
          <w:kern w:val="2"/>
          <w:szCs w:val="32"/>
          <w:shd w:val="clear" w:color="auto" w:fill="FFFFFF"/>
          <w:lang w:val="en-US" w:eastAsia="zh-CN" w:bidi="ar-SA"/>
        </w:rPr>
        <w:t>申报</w:t>
      </w:r>
      <w:r>
        <w:rPr>
          <w:rFonts w:hint="eastAsia" w:hAnsi="Calibri"/>
          <w:kern w:val="2"/>
          <w:szCs w:val="32"/>
          <w:shd w:val="clear" w:color="auto" w:fill="FFFFFF"/>
          <w:lang w:val="en-US" w:bidi="ar-SA"/>
        </w:rPr>
        <w:t>机构担任中层及以上职务的管理人员。</w:t>
      </w:r>
    </w:p>
    <w:p w14:paraId="14179414">
      <w:pPr>
        <w:adjustRightInd w:val="0"/>
        <w:snapToGrid w:val="0"/>
        <w:spacing w:line="560" w:lineRule="exact"/>
        <w:rPr>
          <w:rFonts w:hint="eastAsia" w:ascii="楷体_GB2312" w:hAnsi="楷体_GB2312" w:eastAsia="楷体_GB2312" w:cs="楷体_GB2312"/>
          <w:lang w:val="en-US"/>
        </w:rPr>
      </w:pPr>
      <w:r>
        <w:rPr>
          <w:rFonts w:hint="eastAsia" w:ascii="楷体_GB2312" w:hAnsi="楷体_GB2312" w:eastAsia="楷体_GB2312" w:cs="楷体_GB2312"/>
          <w:lang w:val="en-US"/>
        </w:rPr>
        <w:t>（二）管理要求</w:t>
      </w:r>
    </w:p>
    <w:p w14:paraId="6798729E">
      <w:pPr>
        <w:adjustRightInd w:val="0"/>
        <w:snapToGrid w:val="0"/>
        <w:spacing w:line="560" w:lineRule="exact"/>
        <w:ind w:firstLine="643"/>
        <w:rPr>
          <w:rFonts w:hint="eastAsia"/>
          <w:lang w:val="en-US"/>
        </w:rPr>
      </w:pPr>
      <w:r>
        <w:rPr>
          <w:rFonts w:hint="default" w:ascii="Times New Roman" w:hAnsi="Times New Roman" w:cs="Times New Roman"/>
          <w:b/>
          <w:bCs/>
          <w:sz w:val="32"/>
          <w:szCs w:val="32"/>
          <w:lang w:val="en-US" w:bidi="ar-SA"/>
        </w:rPr>
        <w:t>1</w:t>
      </w:r>
      <w:r>
        <w:rPr>
          <w:rFonts w:hint="eastAsia"/>
          <w:b/>
          <w:bCs/>
          <w:lang w:val="en-US" w:bidi="ar-SA"/>
        </w:rPr>
        <w:t>.团队配备要求</w:t>
      </w:r>
      <w:r>
        <w:rPr>
          <w:rFonts w:hint="eastAsia"/>
          <w:lang w:val="en-US"/>
        </w:rPr>
        <w:t>：</w:t>
      </w:r>
    </w:p>
    <w:p w14:paraId="58D54E11">
      <w:pPr>
        <w:adjustRightInd w:val="0"/>
        <w:snapToGrid w:val="0"/>
        <w:spacing w:line="560" w:lineRule="exact"/>
        <w:ind w:firstLine="640"/>
        <w:rPr>
          <w:rFonts w:hint="eastAsia"/>
          <w:lang w:val="en-US"/>
        </w:rPr>
      </w:pPr>
      <w:r>
        <w:rPr>
          <w:rFonts w:hint="eastAsia"/>
          <w:lang w:val="en-US"/>
        </w:rPr>
        <w:t>（</w:t>
      </w:r>
      <w:r>
        <w:rPr>
          <w:rFonts w:hint="default" w:ascii="Times New Roman" w:hAnsi="Times New Roman" w:cs="Times New Roman"/>
          <w:sz w:val="32"/>
          <w:szCs w:val="32"/>
          <w:lang w:val="en-US"/>
        </w:rPr>
        <w:t>1</w:t>
      </w:r>
      <w:r>
        <w:rPr>
          <w:rFonts w:hint="eastAsia"/>
          <w:lang w:val="en-US"/>
        </w:rPr>
        <w:t>）为母基金至少配备</w:t>
      </w:r>
      <w:r>
        <w:rPr>
          <w:rFonts w:hint="default" w:ascii="Times New Roman" w:hAnsi="Times New Roman" w:cs="Times New Roman"/>
          <w:sz w:val="32"/>
          <w:szCs w:val="32"/>
          <w:lang w:val="en-US"/>
        </w:rPr>
        <w:t>3</w:t>
      </w:r>
      <w:r>
        <w:rPr>
          <w:rFonts w:hint="eastAsia"/>
          <w:lang w:val="en-US"/>
        </w:rPr>
        <w:t>名具备</w:t>
      </w:r>
      <w:r>
        <w:rPr>
          <w:rFonts w:hint="default" w:ascii="Times New Roman" w:hAnsi="Times New Roman" w:cs="Times New Roman"/>
          <w:sz w:val="32"/>
          <w:szCs w:val="32"/>
          <w:lang w:val="en-US"/>
        </w:rPr>
        <w:t>3</w:t>
      </w:r>
      <w:r>
        <w:rPr>
          <w:rFonts w:hint="eastAsia"/>
          <w:lang w:val="en-US"/>
        </w:rPr>
        <w:t>年以上股权投资经验的</w:t>
      </w:r>
      <w:r>
        <w:rPr>
          <w:rFonts w:hint="eastAsia"/>
          <w:lang w:val="en-US" w:eastAsia="zh-CN"/>
        </w:rPr>
        <w:t>团队成员</w:t>
      </w:r>
      <w:r>
        <w:rPr>
          <w:rFonts w:hint="eastAsia"/>
          <w:lang w:val="en-US"/>
        </w:rPr>
        <w:t>，原则上团队成员应有良好的合作共事经历</w:t>
      </w:r>
      <w:r>
        <w:rPr>
          <w:rFonts w:hint="eastAsia"/>
          <w:lang w:val="en-US" w:eastAsia="zh-CN"/>
        </w:rPr>
        <w:t>，同时</w:t>
      </w:r>
      <w:r>
        <w:rPr>
          <w:rFonts w:hint="eastAsia"/>
          <w:lang w:val="en-US"/>
        </w:rPr>
        <w:t>在山西省内配备稳定的投资团队</w:t>
      </w:r>
      <w:r>
        <w:rPr>
          <w:rFonts w:hint="eastAsia"/>
          <w:lang w:val="en-US" w:eastAsia="zh-CN"/>
        </w:rPr>
        <w:t>。</w:t>
      </w:r>
    </w:p>
    <w:p w14:paraId="0A20C22A">
      <w:pPr>
        <w:adjustRightInd w:val="0"/>
        <w:snapToGrid w:val="0"/>
        <w:spacing w:line="560" w:lineRule="exact"/>
        <w:ind w:firstLine="640"/>
        <w:rPr>
          <w:rFonts w:hint="eastAsia"/>
          <w:bCs/>
          <w:lang w:val="en-US"/>
        </w:rPr>
      </w:pPr>
      <w:r>
        <w:rPr>
          <w:rFonts w:hint="eastAsia"/>
          <w:lang w:val="en-US"/>
        </w:rPr>
        <w:t>（</w:t>
      </w:r>
      <w:r>
        <w:rPr>
          <w:rFonts w:hint="default" w:ascii="Times New Roman" w:hAnsi="Times New Roman" w:cs="Times New Roman"/>
          <w:sz w:val="32"/>
          <w:szCs w:val="32"/>
          <w:lang w:val="en-US" w:eastAsia="zh-CN"/>
        </w:rPr>
        <w:t>2</w:t>
      </w:r>
      <w:r>
        <w:rPr>
          <w:rFonts w:hint="eastAsia"/>
          <w:lang w:val="en-US"/>
        </w:rPr>
        <w:t>）</w:t>
      </w:r>
      <w:r>
        <w:rPr>
          <w:rFonts w:hint="eastAsia"/>
          <w:bCs/>
          <w:lang w:val="en-US"/>
        </w:rPr>
        <w:t>为母基金至少配备</w:t>
      </w:r>
      <w:r>
        <w:rPr>
          <w:rFonts w:hint="default" w:ascii="Times New Roman" w:hAnsi="Times New Roman" w:cs="Times New Roman"/>
          <w:bCs/>
          <w:sz w:val="32"/>
          <w:szCs w:val="32"/>
          <w:lang w:val="en-US"/>
        </w:rPr>
        <w:t>1</w:t>
      </w:r>
      <w:r>
        <w:rPr>
          <w:rFonts w:hint="eastAsia"/>
          <w:bCs/>
          <w:lang w:val="en-US"/>
        </w:rPr>
        <w:t>名关键人士，关键人士原则上应为申报</w:t>
      </w:r>
      <w:r>
        <w:rPr>
          <w:rFonts w:hint="eastAsia"/>
          <w:bCs/>
          <w:lang w:val="en-US" w:eastAsia="zh-CN"/>
        </w:rPr>
        <w:t>机构</w:t>
      </w:r>
      <w:r>
        <w:rPr>
          <w:rFonts w:hint="eastAsia"/>
          <w:bCs/>
          <w:lang w:val="en-US"/>
        </w:rPr>
        <w:t>担任合伙人或副总经理及以上职务的管理人员，关键人士必须参与母基金投委会或担任执行事务合伙人委派代表。</w:t>
      </w:r>
    </w:p>
    <w:p w14:paraId="21E10B0D">
      <w:pPr>
        <w:adjustRightInd w:val="0"/>
        <w:snapToGrid w:val="0"/>
        <w:spacing w:line="560" w:lineRule="exact"/>
        <w:ind w:firstLine="643"/>
        <w:rPr>
          <w:rFonts w:hint="eastAsia"/>
          <w:b/>
          <w:bCs/>
          <w:lang w:val="en-US"/>
        </w:rPr>
      </w:pPr>
      <w:r>
        <w:rPr>
          <w:rFonts w:hint="default" w:ascii="Times New Roman" w:hAnsi="Times New Roman" w:cs="Times New Roman"/>
          <w:b/>
          <w:bCs/>
          <w:sz w:val="32"/>
          <w:szCs w:val="32"/>
          <w:lang w:val="en-US"/>
        </w:rPr>
        <w:t>2</w:t>
      </w:r>
      <w:r>
        <w:rPr>
          <w:rFonts w:hint="eastAsia"/>
          <w:b/>
          <w:bCs/>
          <w:lang w:val="en-US"/>
        </w:rPr>
        <w:t>.专注度要求。</w:t>
      </w:r>
      <w:r>
        <w:rPr>
          <w:rFonts w:hint="eastAsia"/>
          <w:lang w:val="en-US"/>
        </w:rPr>
        <w:t>在基金</w:t>
      </w:r>
      <w:r>
        <w:rPr>
          <w:rFonts w:hint="eastAsia"/>
          <w:bCs/>
          <w:lang w:val="en-US"/>
        </w:rPr>
        <w:t>投资期内应保证关键人士的稳定性，未经</w:t>
      </w:r>
      <w:r>
        <w:rPr>
          <w:rFonts w:hint="eastAsia" w:hAnsi="Calibri"/>
          <w:kern w:val="2"/>
          <w:szCs w:val="32"/>
          <w:shd w:val="clear" w:color="auto" w:fill="FFFFFF"/>
          <w:lang w:bidi="ar-SA"/>
        </w:rPr>
        <w:t>政府投资基金</w:t>
      </w:r>
      <w:r>
        <w:rPr>
          <w:rFonts w:hint="eastAsia"/>
          <w:bCs/>
          <w:lang w:val="en-US"/>
        </w:rPr>
        <w:t>同意，不得随意变动。</w:t>
      </w:r>
    </w:p>
    <w:p w14:paraId="5171B84E">
      <w:pPr>
        <w:adjustRightInd w:val="0"/>
        <w:snapToGrid w:val="0"/>
        <w:spacing w:line="560" w:lineRule="exact"/>
        <w:ind w:firstLine="643"/>
        <w:rPr>
          <w:rFonts w:hint="eastAsia"/>
          <w:lang w:val="en-US"/>
        </w:rPr>
      </w:pPr>
      <w:r>
        <w:rPr>
          <w:rFonts w:hint="default" w:ascii="Times New Roman" w:hAnsi="Times New Roman" w:cs="Times New Roman"/>
          <w:b/>
          <w:bCs/>
          <w:sz w:val="32"/>
          <w:szCs w:val="32"/>
          <w:lang w:val="en-US"/>
        </w:rPr>
        <w:t>3</w:t>
      </w:r>
      <w:r>
        <w:rPr>
          <w:rFonts w:hint="eastAsia"/>
          <w:b/>
          <w:bCs/>
          <w:lang w:val="en-US"/>
        </w:rPr>
        <w:t>.产业服务要求。</w:t>
      </w:r>
      <w:r>
        <w:rPr>
          <w:rFonts w:hint="eastAsia"/>
          <w:lang w:val="en-US"/>
        </w:rPr>
        <w:t>中选机构积极服务</w:t>
      </w:r>
      <w:r>
        <w:rPr>
          <w:rFonts w:hint="eastAsia" w:hAnsi="Calibri"/>
          <w:kern w:val="2"/>
          <w:szCs w:val="32"/>
          <w:shd w:val="clear" w:color="auto" w:fill="FFFFFF"/>
          <w:lang w:bidi="ar-SA"/>
        </w:rPr>
        <w:t>政府投资基金</w:t>
      </w:r>
      <w:r>
        <w:rPr>
          <w:rFonts w:hint="eastAsia"/>
          <w:lang w:val="en-US"/>
        </w:rPr>
        <w:t>，参与产业发展规划研究、提供产业战略咨询意见、对具体项目提出研判意见等。</w:t>
      </w:r>
    </w:p>
    <w:p w14:paraId="12B86639">
      <w:pPr>
        <w:pStyle w:val="3"/>
        <w:numPr>
          <w:ilvl w:val="0"/>
          <w:numId w:val="0"/>
        </w:numPr>
        <w:adjustRightInd w:val="0"/>
        <w:snapToGrid w:val="0"/>
        <w:spacing w:line="560" w:lineRule="exact"/>
        <w:ind w:firstLine="640" w:firstLineChars="200"/>
        <w:rPr>
          <w:rFonts w:hint="eastAsia" w:ascii="黑体" w:hAnsi="黑体" w:eastAsia="黑体" w:cs="黑体"/>
          <w:sz w:val="32"/>
          <w:szCs w:val="22"/>
          <w:lang w:val="en-US" w:eastAsia="zh-CN" w:bidi="zh-CN"/>
        </w:rPr>
      </w:pPr>
      <w:r>
        <w:rPr>
          <w:rFonts w:hint="eastAsia" w:ascii="黑体" w:hAnsi="黑体" w:eastAsia="黑体" w:cs="黑体"/>
          <w:sz w:val="32"/>
          <w:szCs w:val="22"/>
          <w:lang w:val="en-US" w:eastAsia="zh-CN" w:bidi="zh-CN"/>
        </w:rPr>
        <w:t>三、限制性安排</w:t>
      </w:r>
    </w:p>
    <w:p w14:paraId="75257C9C">
      <w:pPr>
        <w:adjustRightInd w:val="0"/>
        <w:snapToGrid w:val="0"/>
        <w:spacing w:line="560" w:lineRule="exact"/>
        <w:ind w:firstLine="640"/>
        <w:rPr>
          <w:rFonts w:hint="eastAsia" w:hAnsi="Microsoft JhengHei Light" w:cs="Microsoft JhengHei Light"/>
          <w:szCs w:val="32"/>
          <w:lang w:val="en-US"/>
        </w:rPr>
      </w:pPr>
      <w:r>
        <w:rPr>
          <w:rFonts w:hint="eastAsia" w:hAnsi="Microsoft JhengHei Light" w:cs="Microsoft JhengHei Light"/>
          <w:szCs w:val="32"/>
          <w:lang w:val="en-US"/>
        </w:rPr>
        <w:t>有下列情况之一的，</w:t>
      </w:r>
      <w:r>
        <w:rPr>
          <w:rFonts w:hint="eastAsia"/>
          <w:lang w:val="en-US"/>
        </w:rPr>
        <w:t>政府投资基金</w:t>
      </w:r>
      <w:r>
        <w:rPr>
          <w:rFonts w:hint="eastAsia" w:hAnsi="Microsoft JhengHei Light" w:cs="Microsoft JhengHei Light"/>
          <w:szCs w:val="32"/>
          <w:lang w:val="en-US"/>
        </w:rPr>
        <w:t>有权重新遴选更换管理机构</w:t>
      </w:r>
      <w:r>
        <w:rPr>
          <w:rFonts w:hint="eastAsia" w:hAnsi="Microsoft JhengHei Light" w:cs="Microsoft JhengHei Light"/>
          <w:szCs w:val="32"/>
          <w:lang w:val="en-US" w:eastAsia="zh-CN"/>
        </w:rPr>
        <w:t>，</w:t>
      </w:r>
      <w:r>
        <w:rPr>
          <w:rFonts w:hint="eastAsia" w:hAnsi="Microsoft JhengHei Light" w:cs="Microsoft JhengHei Light"/>
          <w:szCs w:val="32"/>
          <w:lang w:val="en-US"/>
        </w:rPr>
        <w:t>并可采取要求管理机构退还管理费、扣减收益分成、取消让利及后续合作资格等惩罚措施。</w:t>
      </w:r>
    </w:p>
    <w:p w14:paraId="3A2A5DE4">
      <w:pPr>
        <w:adjustRightInd w:val="0"/>
        <w:snapToGrid w:val="0"/>
        <w:spacing w:line="560" w:lineRule="exact"/>
        <w:ind w:firstLine="640"/>
        <w:rPr>
          <w:rFonts w:hint="eastAsia"/>
          <w:szCs w:val="32"/>
          <w:shd w:val="clear" w:color="auto" w:fill="FFFFFF"/>
          <w:lang w:val="en-US"/>
        </w:rPr>
      </w:pPr>
      <w:r>
        <w:rPr>
          <w:rFonts w:hint="default" w:ascii="Times New Roman" w:hAnsi="Times New Roman" w:cs="Times New Roman"/>
          <w:sz w:val="32"/>
          <w:szCs w:val="32"/>
          <w:shd w:val="clear" w:color="auto" w:fill="FFFFFF"/>
          <w:lang w:val="en-US" w:eastAsia="zh-CN"/>
        </w:rPr>
        <w:t>1</w:t>
      </w:r>
      <w:r>
        <w:rPr>
          <w:rFonts w:hint="eastAsia"/>
          <w:szCs w:val="32"/>
          <w:shd w:val="clear" w:color="auto" w:fill="FFFFFF"/>
          <w:lang w:val="en-US" w:eastAsia="zh-CN"/>
        </w:rPr>
        <w:t>.</w:t>
      </w:r>
      <w:r>
        <w:rPr>
          <w:rFonts w:hint="eastAsia"/>
          <w:szCs w:val="32"/>
          <w:shd w:val="clear" w:color="auto" w:fill="FFFFFF"/>
          <w:lang w:val="en-US"/>
        </w:rPr>
        <w:t>管理机构</w:t>
      </w:r>
      <w:r>
        <w:rPr>
          <w:rFonts w:hint="eastAsia"/>
          <w:szCs w:val="32"/>
          <w:shd w:val="clear" w:color="auto" w:fill="FFFFFF"/>
        </w:rPr>
        <w:t>在公示期满收到中选确认函之日起</w:t>
      </w:r>
      <w:r>
        <w:rPr>
          <w:rFonts w:hint="default" w:ascii="Times New Roman" w:hAnsi="Times New Roman" w:cs="Times New Roman"/>
          <w:sz w:val="32"/>
          <w:szCs w:val="32"/>
          <w:shd w:val="clear" w:color="auto" w:fill="FFFFFF"/>
          <w:lang w:val="en-US"/>
        </w:rPr>
        <w:t>3</w:t>
      </w:r>
      <w:r>
        <w:rPr>
          <w:rFonts w:hint="eastAsia"/>
          <w:szCs w:val="32"/>
          <w:shd w:val="clear" w:color="auto" w:fill="FFFFFF"/>
        </w:rPr>
        <w:t>个月内，</w:t>
      </w:r>
      <w:r>
        <w:rPr>
          <w:rFonts w:hint="eastAsia"/>
          <w:szCs w:val="32"/>
          <w:shd w:val="clear" w:color="auto" w:fill="FFFFFF"/>
          <w:lang w:val="en-US"/>
        </w:rPr>
        <w:t>未</w:t>
      </w:r>
      <w:r>
        <w:rPr>
          <w:rFonts w:hint="eastAsia"/>
          <w:szCs w:val="32"/>
          <w:shd w:val="clear" w:color="auto" w:fill="FFFFFF"/>
        </w:rPr>
        <w:t>完成</w:t>
      </w:r>
      <w:r>
        <w:rPr>
          <w:rFonts w:hint="eastAsia"/>
          <w:szCs w:val="32"/>
          <w:shd w:val="clear" w:color="auto" w:fill="FFFFFF"/>
          <w:lang w:val="en-US"/>
        </w:rPr>
        <w:t>基金协议签署；</w:t>
      </w:r>
    </w:p>
    <w:p w14:paraId="0660B8FE">
      <w:pPr>
        <w:adjustRightInd w:val="0"/>
        <w:snapToGrid w:val="0"/>
        <w:spacing w:line="560" w:lineRule="exact"/>
        <w:ind w:firstLine="640"/>
        <w:rPr>
          <w:rFonts w:hint="eastAsia"/>
          <w:szCs w:val="32"/>
          <w:shd w:val="clear" w:color="auto" w:fill="FFFFFF"/>
        </w:rPr>
      </w:pPr>
      <w:r>
        <w:rPr>
          <w:rFonts w:hint="default" w:ascii="Times New Roman" w:hAnsi="Times New Roman" w:cs="Times New Roman"/>
          <w:sz w:val="32"/>
          <w:szCs w:val="32"/>
          <w:shd w:val="clear" w:color="auto" w:fill="FFFFFF"/>
          <w:lang w:val="en-US" w:eastAsia="zh-CN"/>
        </w:rPr>
        <w:t>2</w:t>
      </w:r>
      <w:r>
        <w:rPr>
          <w:rFonts w:hint="eastAsia"/>
          <w:szCs w:val="32"/>
          <w:shd w:val="clear" w:color="auto" w:fill="FFFFFF"/>
          <w:lang w:val="en-US" w:eastAsia="zh-CN"/>
        </w:rPr>
        <w:t>.</w:t>
      </w:r>
      <w:r>
        <w:rPr>
          <w:rFonts w:hint="eastAsia"/>
          <w:szCs w:val="32"/>
          <w:shd w:val="clear" w:color="auto" w:fill="FFFFFF"/>
          <w:lang w:val="en-US"/>
        </w:rPr>
        <w:t>基金工商变更登记后</w:t>
      </w:r>
      <w:r>
        <w:rPr>
          <w:rFonts w:hint="default" w:ascii="Times New Roman" w:hAnsi="Times New Roman" w:cs="Times New Roman"/>
          <w:sz w:val="32"/>
          <w:szCs w:val="32"/>
          <w:shd w:val="clear" w:color="auto" w:fill="FFFFFF"/>
          <w:lang w:val="en-US"/>
        </w:rPr>
        <w:t>3</w:t>
      </w:r>
      <w:r>
        <w:rPr>
          <w:rFonts w:hint="eastAsia"/>
          <w:szCs w:val="32"/>
          <w:shd w:val="clear" w:color="auto" w:fill="FFFFFF"/>
          <w:lang w:val="en-US"/>
        </w:rPr>
        <w:t>个月内，管理机构未</w:t>
      </w:r>
      <w:r>
        <w:rPr>
          <w:rFonts w:hint="eastAsia"/>
          <w:szCs w:val="32"/>
          <w:shd w:val="clear" w:color="auto" w:fill="FFFFFF"/>
        </w:rPr>
        <w:t>完成首期出资款缴付；</w:t>
      </w:r>
    </w:p>
    <w:p w14:paraId="47A58E7D">
      <w:pPr>
        <w:adjustRightInd w:val="0"/>
        <w:snapToGrid w:val="0"/>
        <w:spacing w:line="560" w:lineRule="exact"/>
        <w:ind w:firstLine="640"/>
        <w:rPr>
          <w:rFonts w:hint="eastAsia" w:hAnsi="Microsoft JhengHei Light" w:cs="Microsoft JhengHei Light"/>
          <w:szCs w:val="32"/>
          <w:lang w:val="en-US"/>
        </w:rPr>
      </w:pPr>
      <w:r>
        <w:rPr>
          <w:rFonts w:hint="default" w:ascii="Times New Roman" w:hAnsi="Times New Roman" w:cs="Times New Roman"/>
          <w:sz w:val="32"/>
          <w:szCs w:val="32"/>
          <w:shd w:val="clear" w:color="auto" w:fill="FFFFFF"/>
          <w:lang w:val="en-US" w:eastAsia="zh-CN"/>
        </w:rPr>
        <w:t>3</w:t>
      </w:r>
      <w:r>
        <w:rPr>
          <w:rFonts w:hint="eastAsia"/>
          <w:szCs w:val="32"/>
          <w:shd w:val="clear" w:color="auto" w:fill="FFFFFF"/>
          <w:lang w:val="en-US" w:eastAsia="zh-CN"/>
        </w:rPr>
        <w:t>.</w:t>
      </w:r>
      <w:r>
        <w:rPr>
          <w:rFonts w:hint="eastAsia"/>
          <w:szCs w:val="32"/>
          <w:shd w:val="clear" w:color="auto" w:fill="FFFFFF"/>
        </w:rPr>
        <w:t>首期</w:t>
      </w:r>
      <w:r>
        <w:rPr>
          <w:rFonts w:hint="eastAsia" w:hAnsi="Microsoft JhengHei Light" w:cs="Microsoft JhengHei Light"/>
          <w:szCs w:val="32"/>
          <w:lang w:val="en-US"/>
        </w:rPr>
        <w:t>出资拨付至基金账户后，</w:t>
      </w:r>
      <w:r>
        <w:rPr>
          <w:rFonts w:hint="default" w:ascii="Times New Roman" w:hAnsi="Times New Roman" w:cs="Times New Roman"/>
          <w:sz w:val="32"/>
          <w:szCs w:val="32"/>
          <w:lang w:val="en-US"/>
        </w:rPr>
        <w:t>6</w:t>
      </w:r>
      <w:r>
        <w:rPr>
          <w:rFonts w:hint="eastAsia" w:hAnsi="Microsoft JhengHei Light" w:cs="Microsoft JhengHei Light"/>
          <w:szCs w:val="32"/>
          <w:lang w:val="en-US"/>
        </w:rPr>
        <w:t>个月</w:t>
      </w:r>
      <w:r>
        <w:rPr>
          <w:rFonts w:hint="eastAsia" w:hAnsi="Microsoft JhengHei Light" w:cs="Microsoft JhengHei Light"/>
          <w:szCs w:val="32"/>
          <w:lang w:val="en-US" w:eastAsia="zh-CN"/>
        </w:rPr>
        <w:t>内</w:t>
      </w:r>
      <w:r>
        <w:rPr>
          <w:rFonts w:hint="eastAsia" w:hAnsi="Microsoft JhengHei Light" w:cs="Microsoft JhengHei Light"/>
          <w:szCs w:val="32"/>
          <w:lang w:val="en-US"/>
        </w:rPr>
        <w:t>未开展投资业务</w:t>
      </w:r>
      <w:r>
        <w:rPr>
          <w:rFonts w:hint="eastAsia" w:hAnsi="Microsoft JhengHei Light" w:cs="Microsoft JhengHei Light"/>
          <w:szCs w:val="32"/>
          <w:lang w:val="en-US" w:eastAsia="zh-CN"/>
        </w:rPr>
        <w:t>；</w:t>
      </w:r>
    </w:p>
    <w:p w14:paraId="35581D50">
      <w:pPr>
        <w:adjustRightInd w:val="0"/>
        <w:snapToGrid w:val="0"/>
        <w:spacing w:line="560" w:lineRule="exact"/>
        <w:ind w:firstLine="640"/>
        <w:rPr>
          <w:rFonts w:hint="eastAsia" w:hAnsi="Microsoft JhengHei Light" w:cs="Microsoft JhengHei Light"/>
          <w:szCs w:val="32"/>
          <w:lang w:val="en-US"/>
        </w:rPr>
      </w:pPr>
      <w:r>
        <w:rPr>
          <w:rFonts w:hint="default" w:ascii="Times New Roman" w:hAnsi="Times New Roman" w:cs="Times New Roman"/>
          <w:sz w:val="32"/>
          <w:szCs w:val="32"/>
          <w:lang w:val="en-US" w:eastAsia="zh-CN"/>
        </w:rPr>
        <w:t>4</w:t>
      </w:r>
      <w:r>
        <w:rPr>
          <w:rFonts w:hint="eastAsia" w:hAnsi="Microsoft JhengHei Light" w:cs="Microsoft JhengHei Light"/>
          <w:szCs w:val="32"/>
          <w:lang w:val="en-US" w:eastAsia="zh-CN"/>
        </w:rPr>
        <w:t>.</w:t>
      </w:r>
      <w:r>
        <w:rPr>
          <w:rFonts w:hint="eastAsia" w:hAnsi="Microsoft JhengHei Light" w:cs="Microsoft JhengHei Light"/>
          <w:szCs w:val="32"/>
          <w:lang w:val="en-US"/>
        </w:rPr>
        <w:t>基金未按合伙协议约定投资且未能有效整改</w:t>
      </w:r>
      <w:r>
        <w:rPr>
          <w:rFonts w:hint="eastAsia" w:hAnsi="Microsoft JhengHei Light" w:cs="Microsoft JhengHei Light"/>
          <w:szCs w:val="32"/>
          <w:lang w:val="en-US" w:eastAsia="zh-CN"/>
        </w:rPr>
        <w:t>；</w:t>
      </w:r>
    </w:p>
    <w:p w14:paraId="10695FFB">
      <w:pPr>
        <w:adjustRightInd w:val="0"/>
        <w:snapToGrid w:val="0"/>
        <w:spacing w:line="560" w:lineRule="exact"/>
        <w:ind w:firstLine="640"/>
        <w:rPr>
          <w:rFonts w:hint="eastAsia" w:hAnsi="Microsoft JhengHei Light" w:cs="Microsoft JhengHei Light"/>
          <w:szCs w:val="32"/>
          <w:lang w:val="en-US"/>
        </w:rPr>
      </w:pPr>
      <w:r>
        <w:rPr>
          <w:rFonts w:hint="default" w:ascii="Times New Roman" w:hAnsi="Times New Roman" w:cs="Times New Roman"/>
          <w:sz w:val="32"/>
          <w:szCs w:val="32"/>
          <w:lang w:val="en-US" w:eastAsia="zh-CN"/>
        </w:rPr>
        <w:t>5</w:t>
      </w:r>
      <w:r>
        <w:rPr>
          <w:rFonts w:hint="eastAsia" w:hAnsi="Microsoft JhengHei Light" w:cs="Microsoft JhengHei Light"/>
          <w:szCs w:val="32"/>
          <w:lang w:val="en-US" w:eastAsia="zh-CN"/>
        </w:rPr>
        <w:t>.</w:t>
      </w:r>
      <w:r>
        <w:rPr>
          <w:rFonts w:hint="eastAsia" w:hAnsi="Microsoft JhengHei Light" w:cs="Microsoft JhengHei Light"/>
          <w:szCs w:val="32"/>
          <w:lang w:val="en-US"/>
        </w:rPr>
        <w:t>管理机构因重大违法违规行为被依法查处</w:t>
      </w:r>
      <w:r>
        <w:rPr>
          <w:rFonts w:hint="eastAsia" w:hAnsi="Microsoft JhengHei Light" w:cs="Microsoft JhengHei Light"/>
          <w:szCs w:val="32"/>
          <w:lang w:val="en-US" w:eastAsia="zh-CN"/>
        </w:rPr>
        <w:t>；</w:t>
      </w:r>
    </w:p>
    <w:p w14:paraId="02FDCE24">
      <w:pPr>
        <w:adjustRightInd w:val="0"/>
        <w:snapToGrid w:val="0"/>
        <w:spacing w:line="560" w:lineRule="exact"/>
        <w:ind w:firstLine="640"/>
        <w:rPr>
          <w:rFonts w:hint="eastAsia" w:hAnsi="Microsoft JhengHei Light" w:cs="Microsoft JhengHei Light"/>
          <w:szCs w:val="32"/>
          <w:lang w:val="en-US"/>
        </w:rPr>
      </w:pPr>
      <w:r>
        <w:rPr>
          <w:rFonts w:hint="default" w:ascii="Times New Roman" w:hAnsi="Times New Roman" w:cs="Times New Roman"/>
          <w:sz w:val="32"/>
          <w:szCs w:val="32"/>
          <w:lang w:val="en-US" w:eastAsia="zh-CN"/>
        </w:rPr>
        <w:t>6</w:t>
      </w:r>
      <w:r>
        <w:rPr>
          <w:rFonts w:hint="eastAsia" w:hAnsi="Microsoft JhengHei Light" w:cs="Microsoft JhengHei Light"/>
          <w:szCs w:val="32"/>
          <w:lang w:val="en-US" w:eastAsia="zh-CN"/>
        </w:rPr>
        <w:t>.</w:t>
      </w:r>
      <w:r>
        <w:rPr>
          <w:rFonts w:hint="eastAsia" w:hAnsi="Microsoft JhengHei Light" w:cs="Microsoft JhengHei Light"/>
          <w:szCs w:val="32"/>
          <w:lang w:val="en-US"/>
        </w:rPr>
        <w:t>管理机构连续</w:t>
      </w:r>
      <w:r>
        <w:rPr>
          <w:rFonts w:hint="default" w:ascii="Times New Roman" w:hAnsi="Times New Roman" w:cs="Times New Roman"/>
          <w:sz w:val="32"/>
          <w:szCs w:val="32"/>
          <w:lang w:val="en-US"/>
        </w:rPr>
        <w:t>2</w:t>
      </w:r>
      <w:r>
        <w:rPr>
          <w:rFonts w:hint="eastAsia" w:hAnsi="Microsoft JhengHei Light" w:cs="Microsoft JhengHei Light"/>
          <w:szCs w:val="32"/>
          <w:lang w:val="en-US"/>
        </w:rPr>
        <w:t>年绩效评价不合格且整改未达标</w:t>
      </w:r>
      <w:r>
        <w:rPr>
          <w:rFonts w:hint="eastAsia" w:hAnsi="Microsoft JhengHei Light" w:cs="Microsoft JhengHei Light"/>
          <w:szCs w:val="32"/>
          <w:lang w:val="en-US" w:eastAsia="zh-CN"/>
        </w:rPr>
        <w:t>；</w:t>
      </w:r>
    </w:p>
    <w:p w14:paraId="3030BFC4">
      <w:pPr>
        <w:adjustRightInd w:val="0"/>
        <w:snapToGrid w:val="0"/>
        <w:spacing w:line="560" w:lineRule="exact"/>
        <w:ind w:firstLine="640"/>
        <w:rPr>
          <w:rFonts w:hAnsi="Microsoft JhengHei Light" w:cs="Microsoft JhengHei Light"/>
          <w:szCs w:val="32"/>
          <w:lang w:val="en-US"/>
        </w:rPr>
      </w:pPr>
      <w:r>
        <w:rPr>
          <w:rFonts w:hint="default" w:ascii="Times New Roman" w:hAnsi="Times New Roman" w:cs="Times New Roman"/>
          <w:sz w:val="32"/>
          <w:szCs w:val="32"/>
          <w:lang w:val="en-US" w:eastAsia="zh-CN"/>
        </w:rPr>
        <w:t>7</w:t>
      </w:r>
      <w:r>
        <w:rPr>
          <w:rFonts w:hint="eastAsia" w:hAnsi="Microsoft JhengHei Light" w:cs="Microsoft JhengHei Light"/>
          <w:szCs w:val="32"/>
          <w:lang w:val="en-US" w:eastAsia="zh-CN"/>
        </w:rPr>
        <w:t>.</w:t>
      </w:r>
      <w:r>
        <w:rPr>
          <w:rFonts w:hint="eastAsia" w:hAnsi="Microsoft JhengHei Light" w:cs="Microsoft JhengHei Light"/>
          <w:szCs w:val="32"/>
          <w:lang w:val="en-US"/>
        </w:rPr>
        <w:t>基金出现重大审计问题且整改未达标；</w:t>
      </w:r>
    </w:p>
    <w:p w14:paraId="5DD9E350">
      <w:pPr>
        <w:adjustRightInd w:val="0"/>
        <w:snapToGrid w:val="0"/>
        <w:spacing w:line="560" w:lineRule="exact"/>
        <w:ind w:firstLine="640"/>
        <w:rPr>
          <w:rFonts w:hint="eastAsia" w:hAnsi="Microsoft JhengHei Light" w:cs="Microsoft JhengHei Light"/>
          <w:szCs w:val="32"/>
          <w:lang w:val="en-US"/>
        </w:rPr>
      </w:pPr>
      <w:r>
        <w:rPr>
          <w:rFonts w:hint="default" w:ascii="Times New Roman" w:hAnsi="Times New Roman" w:cs="Times New Roman"/>
          <w:sz w:val="32"/>
          <w:szCs w:val="32"/>
          <w:lang w:val="en-US" w:eastAsia="zh-CN"/>
        </w:rPr>
        <w:t>8</w:t>
      </w:r>
      <w:r>
        <w:rPr>
          <w:rFonts w:hint="eastAsia" w:hAnsi="Microsoft JhengHei Light" w:cs="Microsoft JhengHei Light"/>
          <w:szCs w:val="32"/>
          <w:lang w:val="en-US" w:eastAsia="zh-CN"/>
        </w:rPr>
        <w:t>.</w:t>
      </w:r>
      <w:r>
        <w:rPr>
          <w:rFonts w:hint="eastAsia" w:hAnsi="Microsoft JhengHei Light" w:cs="Microsoft JhengHei Light"/>
          <w:szCs w:val="32"/>
          <w:lang w:val="en-US"/>
        </w:rPr>
        <w:t>其他影响</w:t>
      </w:r>
      <w:r>
        <w:rPr>
          <w:rFonts w:hint="eastAsia"/>
          <w:lang w:val="en-US"/>
        </w:rPr>
        <w:t>政府投资基金</w:t>
      </w:r>
      <w:r>
        <w:rPr>
          <w:rFonts w:hint="eastAsia" w:hAnsi="Microsoft JhengHei Light" w:cs="Microsoft JhengHei Light"/>
          <w:szCs w:val="32"/>
          <w:lang w:val="en-US"/>
        </w:rPr>
        <w:t>出资安全的情形。</w:t>
      </w:r>
    </w:p>
    <w:p w14:paraId="0AF262AA">
      <w:pPr>
        <w:pStyle w:val="3"/>
        <w:numPr>
          <w:ilvl w:val="0"/>
          <w:numId w:val="0"/>
        </w:numPr>
        <w:adjustRightInd w:val="0"/>
        <w:snapToGrid w:val="0"/>
        <w:spacing w:line="560" w:lineRule="exact"/>
        <w:ind w:firstLine="640" w:firstLineChars="200"/>
        <w:rPr>
          <w:rFonts w:hint="eastAsia" w:ascii="黑体" w:hAnsi="黑体" w:eastAsia="黑体" w:cs="黑体"/>
          <w:sz w:val="32"/>
          <w:szCs w:val="22"/>
          <w:lang w:val="en-US" w:eastAsia="zh-CN" w:bidi="zh-CN"/>
        </w:rPr>
      </w:pPr>
      <w:r>
        <w:rPr>
          <w:rFonts w:hint="eastAsia" w:ascii="黑体" w:hAnsi="黑体" w:eastAsia="黑体" w:cs="黑体"/>
          <w:sz w:val="32"/>
          <w:szCs w:val="22"/>
          <w:lang w:val="en-US" w:eastAsia="zh-CN" w:bidi="zh-CN"/>
        </w:rPr>
        <w:t>四、附则</w:t>
      </w:r>
    </w:p>
    <w:p w14:paraId="0FBFBBC6">
      <w:pPr>
        <w:adjustRightInd w:val="0"/>
        <w:snapToGrid w:val="0"/>
        <w:spacing w:line="560" w:lineRule="exact"/>
        <w:ind w:firstLine="640"/>
        <w:rPr>
          <w:rFonts w:hint="eastAsia"/>
          <w:lang w:val="en-US"/>
        </w:rPr>
      </w:pPr>
      <w:r>
        <w:rPr>
          <w:rFonts w:hint="default" w:ascii="Times New Roman" w:hAnsi="Times New Roman" w:cs="Times New Roman"/>
          <w:sz w:val="32"/>
          <w:szCs w:val="32"/>
          <w:lang w:val="en-US" w:eastAsia="zh-CN"/>
        </w:rPr>
        <w:t>1</w:t>
      </w:r>
      <w:r>
        <w:rPr>
          <w:rFonts w:hint="eastAsia"/>
          <w:lang w:val="en-US" w:eastAsia="zh-CN"/>
        </w:rPr>
        <w:t>.</w:t>
      </w:r>
      <w:r>
        <w:rPr>
          <w:rFonts w:hint="eastAsia"/>
          <w:lang w:val="en-US"/>
        </w:rPr>
        <w:t>山西金控资本管理有限公司承诺对接收的</w:t>
      </w:r>
      <w:r>
        <w:rPr>
          <w:rFonts w:hint="eastAsia"/>
          <w:lang w:val="en-US" w:eastAsia="zh-CN"/>
        </w:rPr>
        <w:t>申报</w:t>
      </w:r>
      <w:r>
        <w:rPr>
          <w:rFonts w:hint="eastAsia"/>
          <w:lang w:val="en-US"/>
        </w:rPr>
        <w:t>材料保密，除非该等信息于披露时属于可公开获取的信息或因相关法律规定而必须披露的信息。</w:t>
      </w:r>
    </w:p>
    <w:p w14:paraId="49934E41">
      <w:pPr>
        <w:adjustRightInd w:val="0"/>
        <w:snapToGrid w:val="0"/>
        <w:spacing w:line="560" w:lineRule="exact"/>
        <w:ind w:firstLine="640"/>
        <w:rPr>
          <w:rFonts w:hint="eastAsia"/>
          <w:lang w:val="en-US"/>
        </w:rPr>
      </w:pPr>
      <w:r>
        <w:rPr>
          <w:rFonts w:hint="default" w:ascii="Times New Roman" w:hAnsi="Times New Roman" w:cs="Times New Roman"/>
          <w:sz w:val="32"/>
          <w:szCs w:val="32"/>
          <w:lang w:val="en-US" w:eastAsia="zh-CN"/>
        </w:rPr>
        <w:t>2</w:t>
      </w:r>
      <w:r>
        <w:rPr>
          <w:rFonts w:hint="eastAsia"/>
          <w:lang w:val="en-US" w:eastAsia="zh-CN"/>
        </w:rPr>
        <w:t>.</w:t>
      </w:r>
      <w:r>
        <w:rPr>
          <w:rFonts w:hint="eastAsia"/>
          <w:lang w:val="en-US"/>
        </w:rPr>
        <w:t>山西金控资本管理有限公司对各申报</w:t>
      </w:r>
      <w:r>
        <w:rPr>
          <w:rFonts w:hint="eastAsia"/>
          <w:lang w:val="en-US" w:eastAsia="zh-CN"/>
        </w:rPr>
        <w:t>机构</w:t>
      </w:r>
      <w:r>
        <w:rPr>
          <w:rFonts w:hint="eastAsia"/>
          <w:lang w:val="en-US"/>
        </w:rPr>
        <w:t>提交的申报材料及按要求提供的</w:t>
      </w:r>
      <w:r>
        <w:rPr>
          <w:rFonts w:hint="eastAsia"/>
          <w:lang w:val="en-US" w:eastAsia="zh-CN"/>
        </w:rPr>
        <w:t>反馈</w:t>
      </w:r>
      <w:r>
        <w:rPr>
          <w:rFonts w:hint="eastAsia"/>
          <w:lang w:val="en-US"/>
        </w:rPr>
        <w:t>材料，均不予退回；对未进入下一环节或未中选申报</w:t>
      </w:r>
      <w:r>
        <w:rPr>
          <w:rFonts w:hint="eastAsia"/>
          <w:lang w:val="en-US" w:eastAsia="zh-CN"/>
        </w:rPr>
        <w:t>机构</w:t>
      </w:r>
      <w:r>
        <w:rPr>
          <w:rFonts w:hint="eastAsia"/>
          <w:lang w:val="en-US"/>
        </w:rPr>
        <w:t>不另行通知。</w:t>
      </w:r>
    </w:p>
    <w:p w14:paraId="332DFDB6">
      <w:pPr>
        <w:adjustRightInd w:val="0"/>
        <w:snapToGrid w:val="0"/>
        <w:spacing w:line="560" w:lineRule="exact"/>
        <w:ind w:firstLine="640"/>
        <w:rPr>
          <w:rFonts w:hint="eastAsia"/>
          <w:lang w:val="en-US"/>
        </w:rPr>
      </w:pPr>
      <w:r>
        <w:rPr>
          <w:rFonts w:hint="default" w:ascii="Times New Roman" w:hAnsi="Times New Roman" w:cs="Times New Roman"/>
          <w:sz w:val="32"/>
          <w:szCs w:val="32"/>
          <w:lang w:val="en-US" w:eastAsia="zh-CN"/>
        </w:rPr>
        <w:t>3</w:t>
      </w:r>
      <w:r>
        <w:rPr>
          <w:rFonts w:hint="eastAsia"/>
          <w:lang w:val="en-US" w:eastAsia="zh-CN"/>
        </w:rPr>
        <w:t>.</w:t>
      </w:r>
      <w:r>
        <w:rPr>
          <w:lang w:val="en-US"/>
        </w:rPr>
        <w:t>本申报指南（含附件）由</w:t>
      </w:r>
      <w:r>
        <w:rPr>
          <w:rFonts w:hint="eastAsia"/>
          <w:lang w:val="en-US"/>
        </w:rPr>
        <w:t>山西金控资本管理有限公司</w:t>
      </w:r>
      <w:r>
        <w:rPr>
          <w:lang w:val="en-US"/>
        </w:rPr>
        <w:t>解释。</w:t>
      </w:r>
    </w:p>
    <w:p w14:paraId="066B10C1">
      <w:pPr>
        <w:adjustRightInd w:val="0"/>
        <w:snapToGrid w:val="0"/>
        <w:spacing w:line="560" w:lineRule="exact"/>
        <w:ind w:firstLine="640"/>
        <w:rPr>
          <w:rFonts w:hint="eastAsia"/>
          <w:lang w:val="en-US"/>
        </w:rPr>
      </w:pPr>
    </w:p>
    <w:p w14:paraId="546E633A">
      <w:pPr>
        <w:adjustRightInd w:val="0"/>
        <w:snapToGrid w:val="0"/>
        <w:spacing w:line="560" w:lineRule="exact"/>
        <w:ind w:firstLine="640"/>
        <w:rPr>
          <w:rFonts w:hint="eastAsia"/>
          <w:lang w:val="en-US"/>
        </w:rPr>
      </w:pPr>
      <w:r>
        <w:rPr>
          <w:rFonts w:hint="eastAsia"/>
          <w:lang w:val="en-US"/>
        </w:rPr>
        <w:t>附件：</w:t>
      </w:r>
      <w:r>
        <w:rPr>
          <w:rFonts w:hint="default" w:ascii="Times New Roman" w:hAnsi="Times New Roman" w:cs="Times New Roman"/>
          <w:sz w:val="32"/>
          <w:szCs w:val="32"/>
          <w:lang w:val="en-US"/>
        </w:rPr>
        <w:t>1</w:t>
      </w:r>
      <w:r>
        <w:rPr>
          <w:rFonts w:hint="eastAsia"/>
          <w:lang w:val="en-US"/>
        </w:rPr>
        <w:t>.申报材料编制及报送说明</w:t>
      </w:r>
    </w:p>
    <w:p w14:paraId="29E17ADE">
      <w:pPr>
        <w:adjustRightInd w:val="0"/>
        <w:snapToGrid w:val="0"/>
        <w:spacing w:line="560" w:lineRule="exact"/>
        <w:ind w:firstLine="1600" w:firstLineChars="500"/>
        <w:rPr>
          <w:rFonts w:hint="eastAsia"/>
          <w:lang w:val="en-US"/>
        </w:rPr>
      </w:pPr>
      <w:r>
        <w:rPr>
          <w:rFonts w:hint="default" w:ascii="Times New Roman" w:hAnsi="Times New Roman" w:cs="Times New Roman"/>
          <w:sz w:val="32"/>
          <w:szCs w:val="32"/>
          <w:lang w:val="en-US"/>
        </w:rPr>
        <w:t>2</w:t>
      </w:r>
      <w:r>
        <w:rPr>
          <w:rFonts w:hint="eastAsia"/>
          <w:lang w:val="en-US"/>
        </w:rPr>
        <w:t>.申报材料封面及顺序目录</w:t>
      </w:r>
    </w:p>
    <w:p w14:paraId="4A336579">
      <w:pPr>
        <w:adjustRightInd w:val="0"/>
        <w:snapToGrid w:val="0"/>
        <w:spacing w:line="560" w:lineRule="exact"/>
        <w:ind w:firstLine="1600" w:firstLineChars="500"/>
        <w:rPr>
          <w:rFonts w:hint="eastAsia" w:eastAsia="仿宋_GB2312"/>
          <w:lang w:val="en-US" w:eastAsia="zh-CN"/>
        </w:rPr>
      </w:pPr>
      <w:r>
        <w:rPr>
          <w:rFonts w:hint="default" w:ascii="Times New Roman" w:hAnsi="Times New Roman" w:cs="Times New Roman"/>
          <w:sz w:val="32"/>
          <w:szCs w:val="32"/>
          <w:lang w:val="en-US"/>
        </w:rPr>
        <w:t>3</w:t>
      </w:r>
      <w:r>
        <w:rPr>
          <w:rFonts w:hint="eastAsia"/>
          <w:lang w:val="en-US"/>
        </w:rPr>
        <w:t>.申报材料承诺书、声明函、授权书</w:t>
      </w:r>
      <w:r>
        <w:rPr>
          <w:rFonts w:hint="eastAsia"/>
          <w:lang w:val="en-US" w:eastAsia="zh-CN"/>
        </w:rPr>
        <w:t>模板</w:t>
      </w:r>
    </w:p>
    <w:p w14:paraId="30C8B018">
      <w:pPr>
        <w:adjustRightInd w:val="0"/>
        <w:snapToGrid w:val="0"/>
        <w:spacing w:line="560" w:lineRule="exact"/>
        <w:ind w:firstLine="1600" w:firstLineChars="500"/>
        <w:rPr>
          <w:rFonts w:hint="eastAsia"/>
          <w:lang w:val="en-US"/>
        </w:rPr>
      </w:pPr>
      <w:r>
        <w:rPr>
          <w:rFonts w:hint="default" w:ascii="Times New Roman" w:hAnsi="Times New Roman" w:cs="Times New Roman"/>
          <w:sz w:val="32"/>
          <w:szCs w:val="32"/>
          <w:lang w:val="en-US"/>
        </w:rPr>
        <w:t>4</w:t>
      </w:r>
      <w:r>
        <w:rPr>
          <w:rFonts w:hint="eastAsia"/>
          <w:lang w:val="en-US"/>
        </w:rPr>
        <w:t>.申报材料附表模板</w:t>
      </w:r>
    </w:p>
    <w:sectPr>
      <w:headerReference r:id="rId5" w:type="default"/>
      <w:footerReference r:id="rId6" w:type="default"/>
      <w:pgSz w:w="11910" w:h="16840"/>
      <w:pgMar w:top="2098" w:right="1474" w:bottom="1984" w:left="1474" w:header="0" w:footer="1390"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3EB2F4-BFB2-4E3B-AA60-74C1B053D8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25AB57E-FF70-4705-ADE6-53AEFB7CBE98}"/>
  </w:font>
  <w:font w:name="仿宋_GB2312">
    <w:panose1 w:val="02010609030101010101"/>
    <w:charset w:val="86"/>
    <w:family w:val="modern"/>
    <w:pitch w:val="default"/>
    <w:sig w:usb0="00000001" w:usb1="080E0000" w:usb2="00000000" w:usb3="00000000" w:csb0="00040000" w:csb1="00000000"/>
    <w:embedRegular r:id="rId3" w:fontKey="{1D2D2063-CC16-4465-BF4C-630FB7EBB20B}"/>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4" w:fontKey="{F9DC967B-E785-4696-BE03-939C07BE92A2}"/>
  </w:font>
  <w:font w:name="Microsoft JhengHei Light">
    <w:panose1 w:val="020B0304030504040204"/>
    <w:charset w:val="88"/>
    <w:family w:val="swiss"/>
    <w:pitch w:val="default"/>
    <w:sig w:usb0="800002A7" w:usb1="28CF4400" w:usb2="00000016" w:usb3="00000000" w:csb0="00100009" w:csb1="00000000"/>
    <w:embedRegular r:id="rId5" w:fontKey="{9E5E1514-180C-47B3-9DD8-DC4CF7950BF7}"/>
  </w:font>
  <w:font w:name="Tahoma">
    <w:panose1 w:val="020B0604030504040204"/>
    <w:charset w:val="00"/>
    <w:family w:val="auto"/>
    <w:pitch w:val="default"/>
    <w:sig w:usb0="E1002EFF" w:usb1="C000605B" w:usb2="00000029" w:usb3="00000000" w:csb0="200101FF" w:csb1="20280000"/>
    <w:embedRegular r:id="rId6" w:fontKey="{F0B92193-9A14-4048-836A-E130F97C31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557AC">
    <w:pPr>
      <w:pStyle w:val="7"/>
      <w:spacing w:line="14" w:lineRule="auto"/>
      <w:ind w:left="0" w:firstLine="640"/>
      <w:rPr>
        <w:rFonts w:hint="eastAsia"/>
        <w:sz w:val="20"/>
      </w:rPr>
    </w:pPr>
    <w:r>
      <w:rPr>
        <w:sz w:val="32"/>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-65405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C896C2">
                          <w:pPr>
                            <w:pStyle w:val="9"/>
                            <w:rPr>
                              <w:rFonts w:hint="default" w:ascii="Tahoma" w:hAnsi="Tahoma" w:cs="Tahoma"/>
                              <w:sz w:val="24"/>
                              <w:szCs w:val="24"/>
                            </w:rPr>
                          </w:pPr>
                          <w:r>
                            <w:rPr>
                              <w:rFonts w:hint="default" w:ascii="Tahoma" w:hAnsi="Tahoma" w:cs="Tahoma"/>
                              <w:sz w:val="24"/>
                              <w:szCs w:val="24"/>
                            </w:rPr>
                            <w:t xml:space="preserve">— </w:t>
                          </w:r>
                          <w:r>
                            <w:rPr>
                              <w:rFonts w:hint="default" w:ascii="Tahoma" w:hAnsi="Tahoma" w:cs="Tahoma"/>
                              <w:sz w:val="24"/>
                              <w:szCs w:val="24"/>
                            </w:rPr>
                            <w:fldChar w:fldCharType="begin"/>
                          </w:r>
                          <w:r>
                            <w:rPr>
                              <w:rFonts w:hint="default" w:ascii="Tahoma" w:hAnsi="Tahoma" w:cs="Tahoma"/>
                              <w:sz w:val="24"/>
                              <w:szCs w:val="24"/>
                            </w:rPr>
                            <w:instrText xml:space="preserve"> PAGE  \* MERGEFORMAT </w:instrText>
                          </w:r>
                          <w:r>
                            <w:rPr>
                              <w:rFonts w:hint="default" w:ascii="Tahoma" w:hAnsi="Tahoma" w:cs="Tahoma"/>
                              <w:sz w:val="24"/>
                              <w:szCs w:val="24"/>
                            </w:rPr>
                            <w:fldChar w:fldCharType="separate"/>
                          </w:r>
                          <w:r>
                            <w:rPr>
                              <w:rFonts w:hint="default" w:ascii="Tahoma" w:hAnsi="Tahoma" w:cs="Tahoma"/>
                              <w:sz w:val="24"/>
                              <w:szCs w:val="24"/>
                            </w:rPr>
                            <w:t>1</w:t>
                          </w:r>
                          <w:r>
                            <w:rPr>
                              <w:rFonts w:hint="default" w:ascii="Tahoma" w:hAnsi="Tahoma" w:cs="Tahoma"/>
                              <w:sz w:val="24"/>
                              <w:szCs w:val="24"/>
                            </w:rPr>
                            <w:fldChar w:fldCharType="end"/>
                          </w:r>
                          <w:r>
                            <w:rPr>
                              <w:rFonts w:hint="default" w:ascii="Tahoma" w:hAnsi="Tahoma" w:cs="Tahoma"/>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5.15pt;height:144pt;width:144pt;mso-position-horizontal:outside;mso-position-horizontal-relative:margin;mso-wrap-style:none;z-index:251660288;mso-width-relative:page;mso-height-relative:page;" filled="f" stroked="f" coordsize="21600,21600" o:gfxdata="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zSgWh1gAAAAgBAAAPAAAAAAAAAAEAIAAAACIAAABkcnMvZG93bnJldi54bWxQ&#10;SwECFAAUAAAACACHTuJAuow4KzICAABhBAAADgAAAAAAAAABACAAAAAlAQAAZHJzL2Uyb0RvYy54&#10;bWxQSwUGAAAAAAYABgBZAQAAyQUAAAAA&#10;">
              <v:fill on="f" focussize="0,0"/>
              <v:stroke on="f" weight="0.5pt"/>
              <v:imagedata o:title=""/>
              <o:lock v:ext="edit" aspectratio="f"/>
              <v:textbox inset="0mm,0mm,0mm,0mm" style="mso-fit-shape-to-text:t;">
                <w:txbxContent>
                  <w:p w14:paraId="18C896C2">
                    <w:pPr>
                      <w:pStyle w:val="9"/>
                      <w:rPr>
                        <w:rFonts w:hint="default" w:ascii="Tahoma" w:hAnsi="Tahoma" w:cs="Tahoma"/>
                        <w:sz w:val="24"/>
                        <w:szCs w:val="24"/>
                      </w:rPr>
                    </w:pPr>
                    <w:r>
                      <w:rPr>
                        <w:rFonts w:hint="default" w:ascii="Tahoma" w:hAnsi="Tahoma" w:cs="Tahoma"/>
                        <w:sz w:val="24"/>
                        <w:szCs w:val="24"/>
                      </w:rPr>
                      <w:t xml:space="preserve">— </w:t>
                    </w:r>
                    <w:r>
                      <w:rPr>
                        <w:rFonts w:hint="default" w:ascii="Tahoma" w:hAnsi="Tahoma" w:cs="Tahoma"/>
                        <w:sz w:val="24"/>
                        <w:szCs w:val="24"/>
                      </w:rPr>
                      <w:fldChar w:fldCharType="begin"/>
                    </w:r>
                    <w:r>
                      <w:rPr>
                        <w:rFonts w:hint="default" w:ascii="Tahoma" w:hAnsi="Tahoma" w:cs="Tahoma"/>
                        <w:sz w:val="24"/>
                        <w:szCs w:val="24"/>
                      </w:rPr>
                      <w:instrText xml:space="preserve"> PAGE  \* MERGEFORMAT </w:instrText>
                    </w:r>
                    <w:r>
                      <w:rPr>
                        <w:rFonts w:hint="default" w:ascii="Tahoma" w:hAnsi="Tahoma" w:cs="Tahoma"/>
                        <w:sz w:val="24"/>
                        <w:szCs w:val="24"/>
                      </w:rPr>
                      <w:fldChar w:fldCharType="separate"/>
                    </w:r>
                    <w:r>
                      <w:rPr>
                        <w:rFonts w:hint="default" w:ascii="Tahoma" w:hAnsi="Tahoma" w:cs="Tahoma"/>
                        <w:sz w:val="24"/>
                        <w:szCs w:val="24"/>
                      </w:rPr>
                      <w:t>1</w:t>
                    </w:r>
                    <w:r>
                      <w:rPr>
                        <w:rFonts w:hint="default" w:ascii="Tahoma" w:hAnsi="Tahoma" w:cs="Tahoma"/>
                        <w:sz w:val="24"/>
                        <w:szCs w:val="24"/>
                      </w:rPr>
                      <w:fldChar w:fldCharType="end"/>
                    </w:r>
                    <w:r>
                      <w:rPr>
                        <w:rFonts w:hint="default" w:ascii="Tahoma" w:hAnsi="Tahoma" w:cs="Tahoma"/>
                        <w:sz w:val="24"/>
                        <w:szCs w:val="24"/>
                      </w:rPr>
                      <w:t xml:space="preserve"> —</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1351280</wp:posOffset>
              </wp:positionH>
              <wp:positionV relativeFrom="page">
                <wp:posOffset>9466580</wp:posOffset>
              </wp:positionV>
              <wp:extent cx="114935" cy="20383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935" cy="203835"/>
                      </a:xfrm>
                      <a:prstGeom prst="rect">
                        <a:avLst/>
                      </a:prstGeom>
                      <a:noFill/>
                      <a:ln>
                        <a:noFill/>
                      </a:ln>
                      <a:effectLst/>
                    </wps:spPr>
                    <wps:txbx>
                      <w:txbxContent>
                        <w:p w14:paraId="75FFAFD7">
                          <w:pPr>
                            <w:spacing w:line="321" w:lineRule="exact"/>
                            <w:ind w:left="20" w:firstLine="560"/>
                            <w:jc w:val="left"/>
                            <w:rPr>
                              <w:rFonts w:hint="eastAsia" w:ascii="宋体"/>
                              <w:sz w:val="28"/>
                            </w:rPr>
                          </w:pPr>
                          <w:r>
                            <w:rPr>
                              <w:rFonts w:ascii="宋体"/>
                              <w:sz w:val="28"/>
                            </w:rPr>
                            <w:t xml:space="preserve"> </w:t>
                          </w:r>
                        </w:p>
                      </w:txbxContent>
                    </wps:txbx>
                    <wps:bodyPr vert="horz" wrap="square" lIns="0" tIns="0" rIns="0" bIns="0" anchor="t" anchorCtr="0" upright="1"/>
                  </wps:wsp>
                </a:graphicData>
              </a:graphic>
            </wp:anchor>
          </w:drawing>
        </mc:Choice>
        <mc:Fallback>
          <w:pict>
            <v:shape id="_x0000_s1026" o:spid="_x0000_s1026" o:spt="202" type="#_x0000_t202" style="position:absolute;left:0pt;margin-left:106.4pt;margin-top:745.4pt;height:16.05pt;width:9.05pt;mso-position-horizontal-relative:page;mso-position-vertical-relative:page;z-index:-251657216;mso-width-relative:page;mso-height-relative:page;" filled="f" stroked="f" coordsize="21600,21600" o:gfxdata="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Cmv6w7aAAAADQEAAA8A&#10;AAAAAAAAAQAgAAAAIgAAAGRycy9kb3ducmV2LnhtbFBLAQIUABQAAAAIAIdO4kDAA3+u3AEAALID&#10;AAAOAAAAAAAAAAEAIAAAACkBAABkcnMvZTJvRG9jLnhtbFBLBQYAAAAABgAGAFkBAAB3BQAAAAA=&#10;">
              <v:fill on="f" focussize="0,0"/>
              <v:stroke on="f"/>
              <v:imagedata o:title=""/>
              <o:lock v:ext="edit" aspectratio="f"/>
              <v:textbox inset="0mm,0mm,0mm,0mm">
                <w:txbxContent>
                  <w:p w14:paraId="75FFAFD7">
                    <w:pPr>
                      <w:spacing w:line="321" w:lineRule="exact"/>
                      <w:ind w:left="20" w:firstLine="560"/>
                      <w:jc w:val="left"/>
                      <w:rPr>
                        <w:rFonts w:hint="eastAsia" w:ascii="宋体"/>
                        <w:sz w:val="28"/>
                      </w:rPr>
                    </w:pPr>
                    <w:r>
                      <w:rPr>
                        <w:rFonts w:ascii="宋体"/>
                        <w:sz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7901">
    <w:pPr>
      <w:pStyle w:val="10"/>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zZWQ2NjVlMTQ4ZmE3MTEwYzM5MTNlMWEzODUyOGQifQ=="/>
  </w:docVars>
  <w:rsids>
    <w:rsidRoot w:val="7CBF37E0"/>
    <w:rsid w:val="00005AA0"/>
    <w:rsid w:val="00012C45"/>
    <w:rsid w:val="00017D46"/>
    <w:rsid w:val="000237D7"/>
    <w:rsid w:val="00027E9F"/>
    <w:rsid w:val="000371F4"/>
    <w:rsid w:val="000419E6"/>
    <w:rsid w:val="000460A3"/>
    <w:rsid w:val="000515D2"/>
    <w:rsid w:val="000569FD"/>
    <w:rsid w:val="00070786"/>
    <w:rsid w:val="000776ED"/>
    <w:rsid w:val="0008431B"/>
    <w:rsid w:val="0009035A"/>
    <w:rsid w:val="000954BE"/>
    <w:rsid w:val="0009568E"/>
    <w:rsid w:val="000B03D5"/>
    <w:rsid w:val="000B2133"/>
    <w:rsid w:val="000C29F4"/>
    <w:rsid w:val="000C2D10"/>
    <w:rsid w:val="000D2EA1"/>
    <w:rsid w:val="000D7CB6"/>
    <w:rsid w:val="000E15A0"/>
    <w:rsid w:val="000F29D5"/>
    <w:rsid w:val="000F3B0E"/>
    <w:rsid w:val="000F4E4B"/>
    <w:rsid w:val="000F5F56"/>
    <w:rsid w:val="001013E4"/>
    <w:rsid w:val="001022DE"/>
    <w:rsid w:val="00105F71"/>
    <w:rsid w:val="00106A9B"/>
    <w:rsid w:val="00115FAC"/>
    <w:rsid w:val="001217FD"/>
    <w:rsid w:val="001238FC"/>
    <w:rsid w:val="0014068F"/>
    <w:rsid w:val="00142101"/>
    <w:rsid w:val="00144C4F"/>
    <w:rsid w:val="0014509E"/>
    <w:rsid w:val="00145751"/>
    <w:rsid w:val="00155528"/>
    <w:rsid w:val="00156E96"/>
    <w:rsid w:val="0016129E"/>
    <w:rsid w:val="00172B65"/>
    <w:rsid w:val="00173B9A"/>
    <w:rsid w:val="00181814"/>
    <w:rsid w:val="00182C36"/>
    <w:rsid w:val="00182FAF"/>
    <w:rsid w:val="00183F57"/>
    <w:rsid w:val="0018622E"/>
    <w:rsid w:val="00187FCF"/>
    <w:rsid w:val="00190017"/>
    <w:rsid w:val="00191AAF"/>
    <w:rsid w:val="001924D9"/>
    <w:rsid w:val="00194801"/>
    <w:rsid w:val="001A0D02"/>
    <w:rsid w:val="001A2DB8"/>
    <w:rsid w:val="001A45B9"/>
    <w:rsid w:val="001A4A1F"/>
    <w:rsid w:val="001B00BA"/>
    <w:rsid w:val="001B1922"/>
    <w:rsid w:val="001B204C"/>
    <w:rsid w:val="001B5AD5"/>
    <w:rsid w:val="001B6DCB"/>
    <w:rsid w:val="001B7A65"/>
    <w:rsid w:val="001C0EE2"/>
    <w:rsid w:val="001C14F7"/>
    <w:rsid w:val="001C43DA"/>
    <w:rsid w:val="001C6DA8"/>
    <w:rsid w:val="001D030B"/>
    <w:rsid w:val="001D317F"/>
    <w:rsid w:val="001D41D5"/>
    <w:rsid w:val="001D6D28"/>
    <w:rsid w:val="001D7033"/>
    <w:rsid w:val="001E4298"/>
    <w:rsid w:val="001F17C9"/>
    <w:rsid w:val="001F2093"/>
    <w:rsid w:val="001F3953"/>
    <w:rsid w:val="002146B0"/>
    <w:rsid w:val="002215C1"/>
    <w:rsid w:val="00232494"/>
    <w:rsid w:val="00242C6D"/>
    <w:rsid w:val="00242DBA"/>
    <w:rsid w:val="00247AF0"/>
    <w:rsid w:val="00250F2B"/>
    <w:rsid w:val="002535A9"/>
    <w:rsid w:val="002613E5"/>
    <w:rsid w:val="00262DBA"/>
    <w:rsid w:val="00276B10"/>
    <w:rsid w:val="0027789C"/>
    <w:rsid w:val="00286D95"/>
    <w:rsid w:val="002878EF"/>
    <w:rsid w:val="00292B75"/>
    <w:rsid w:val="002A21B4"/>
    <w:rsid w:val="002A5AE0"/>
    <w:rsid w:val="002B125D"/>
    <w:rsid w:val="002B5700"/>
    <w:rsid w:val="002C28E5"/>
    <w:rsid w:val="002C47C5"/>
    <w:rsid w:val="002D2BBE"/>
    <w:rsid w:val="002D383F"/>
    <w:rsid w:val="002E1F0B"/>
    <w:rsid w:val="002F13BD"/>
    <w:rsid w:val="0030239C"/>
    <w:rsid w:val="003031E2"/>
    <w:rsid w:val="0031188A"/>
    <w:rsid w:val="00313B13"/>
    <w:rsid w:val="003246CA"/>
    <w:rsid w:val="00330DA3"/>
    <w:rsid w:val="00333139"/>
    <w:rsid w:val="00337CB2"/>
    <w:rsid w:val="0034016B"/>
    <w:rsid w:val="00352CB7"/>
    <w:rsid w:val="003609CB"/>
    <w:rsid w:val="0036129C"/>
    <w:rsid w:val="00361F5C"/>
    <w:rsid w:val="00364D3B"/>
    <w:rsid w:val="0036681D"/>
    <w:rsid w:val="00371CD4"/>
    <w:rsid w:val="003721F5"/>
    <w:rsid w:val="0037298D"/>
    <w:rsid w:val="00375C7D"/>
    <w:rsid w:val="00376AF2"/>
    <w:rsid w:val="00383593"/>
    <w:rsid w:val="003846CB"/>
    <w:rsid w:val="00396C91"/>
    <w:rsid w:val="003A376D"/>
    <w:rsid w:val="003B1C43"/>
    <w:rsid w:val="003B2039"/>
    <w:rsid w:val="003B4A89"/>
    <w:rsid w:val="003D221B"/>
    <w:rsid w:val="003E22B2"/>
    <w:rsid w:val="003F24DA"/>
    <w:rsid w:val="003F5A5F"/>
    <w:rsid w:val="00403D6E"/>
    <w:rsid w:val="00406181"/>
    <w:rsid w:val="00410EEC"/>
    <w:rsid w:val="004137B0"/>
    <w:rsid w:val="00415581"/>
    <w:rsid w:val="004170FE"/>
    <w:rsid w:val="00417624"/>
    <w:rsid w:val="00417920"/>
    <w:rsid w:val="00421D19"/>
    <w:rsid w:val="00422A0A"/>
    <w:rsid w:val="00424488"/>
    <w:rsid w:val="00426A5C"/>
    <w:rsid w:val="00437382"/>
    <w:rsid w:val="00442A41"/>
    <w:rsid w:val="00451458"/>
    <w:rsid w:val="00453A68"/>
    <w:rsid w:val="00460912"/>
    <w:rsid w:val="00461CC4"/>
    <w:rsid w:val="00462654"/>
    <w:rsid w:val="00470C93"/>
    <w:rsid w:val="004734E1"/>
    <w:rsid w:val="0047603C"/>
    <w:rsid w:val="00483235"/>
    <w:rsid w:val="00484D72"/>
    <w:rsid w:val="004856B4"/>
    <w:rsid w:val="00491E43"/>
    <w:rsid w:val="00494767"/>
    <w:rsid w:val="004A184D"/>
    <w:rsid w:val="004B003C"/>
    <w:rsid w:val="004B079F"/>
    <w:rsid w:val="004B5B38"/>
    <w:rsid w:val="004B5EF8"/>
    <w:rsid w:val="004C3410"/>
    <w:rsid w:val="004C4960"/>
    <w:rsid w:val="004C5500"/>
    <w:rsid w:val="004E1345"/>
    <w:rsid w:val="004E613B"/>
    <w:rsid w:val="004F22DE"/>
    <w:rsid w:val="004F3F03"/>
    <w:rsid w:val="004F4A13"/>
    <w:rsid w:val="005016AD"/>
    <w:rsid w:val="00504583"/>
    <w:rsid w:val="005107D1"/>
    <w:rsid w:val="005236E4"/>
    <w:rsid w:val="005269E6"/>
    <w:rsid w:val="00532E3D"/>
    <w:rsid w:val="005368B3"/>
    <w:rsid w:val="005443B9"/>
    <w:rsid w:val="00544D00"/>
    <w:rsid w:val="00550D2E"/>
    <w:rsid w:val="00574C8D"/>
    <w:rsid w:val="00585FF4"/>
    <w:rsid w:val="00594B83"/>
    <w:rsid w:val="00597B56"/>
    <w:rsid w:val="005A2222"/>
    <w:rsid w:val="005A74FF"/>
    <w:rsid w:val="005B08CC"/>
    <w:rsid w:val="005B3594"/>
    <w:rsid w:val="005B4D0F"/>
    <w:rsid w:val="005B6E65"/>
    <w:rsid w:val="005B6EB7"/>
    <w:rsid w:val="005C40FD"/>
    <w:rsid w:val="005C6CC9"/>
    <w:rsid w:val="005D3520"/>
    <w:rsid w:val="005E2880"/>
    <w:rsid w:val="005F7287"/>
    <w:rsid w:val="00600E8C"/>
    <w:rsid w:val="00603836"/>
    <w:rsid w:val="0060534D"/>
    <w:rsid w:val="00607761"/>
    <w:rsid w:val="00625504"/>
    <w:rsid w:val="00625C7D"/>
    <w:rsid w:val="00627958"/>
    <w:rsid w:val="00633644"/>
    <w:rsid w:val="0063382D"/>
    <w:rsid w:val="00643FFB"/>
    <w:rsid w:val="00653D1B"/>
    <w:rsid w:val="00655C98"/>
    <w:rsid w:val="006629EB"/>
    <w:rsid w:val="0066566F"/>
    <w:rsid w:val="006732B4"/>
    <w:rsid w:val="00676E00"/>
    <w:rsid w:val="00681022"/>
    <w:rsid w:val="00685B5F"/>
    <w:rsid w:val="00687A3D"/>
    <w:rsid w:val="00695A54"/>
    <w:rsid w:val="006A5AB1"/>
    <w:rsid w:val="006A711E"/>
    <w:rsid w:val="006B0E97"/>
    <w:rsid w:val="006B178B"/>
    <w:rsid w:val="006C1D0E"/>
    <w:rsid w:val="006C2328"/>
    <w:rsid w:val="006C4BFF"/>
    <w:rsid w:val="006C5166"/>
    <w:rsid w:val="006C51FC"/>
    <w:rsid w:val="006D155C"/>
    <w:rsid w:val="007308D8"/>
    <w:rsid w:val="007415C9"/>
    <w:rsid w:val="007419E2"/>
    <w:rsid w:val="007612F9"/>
    <w:rsid w:val="0077025F"/>
    <w:rsid w:val="007B4CA2"/>
    <w:rsid w:val="007C2B84"/>
    <w:rsid w:val="007D09A5"/>
    <w:rsid w:val="007D299E"/>
    <w:rsid w:val="007D2EC6"/>
    <w:rsid w:val="007D3C89"/>
    <w:rsid w:val="007D4A03"/>
    <w:rsid w:val="007F2CF2"/>
    <w:rsid w:val="007F5DE8"/>
    <w:rsid w:val="007F7768"/>
    <w:rsid w:val="00815E2E"/>
    <w:rsid w:val="00830516"/>
    <w:rsid w:val="008409DC"/>
    <w:rsid w:val="008472B4"/>
    <w:rsid w:val="0085416F"/>
    <w:rsid w:val="00856E7B"/>
    <w:rsid w:val="00862BC7"/>
    <w:rsid w:val="00867D19"/>
    <w:rsid w:val="00880721"/>
    <w:rsid w:val="00880FB1"/>
    <w:rsid w:val="0088300B"/>
    <w:rsid w:val="00883B79"/>
    <w:rsid w:val="00894C57"/>
    <w:rsid w:val="00894D0C"/>
    <w:rsid w:val="0089748C"/>
    <w:rsid w:val="008A5A37"/>
    <w:rsid w:val="008C010C"/>
    <w:rsid w:val="008C3AFF"/>
    <w:rsid w:val="008C6292"/>
    <w:rsid w:val="008C6C03"/>
    <w:rsid w:val="008C7450"/>
    <w:rsid w:val="008D149E"/>
    <w:rsid w:val="008D46AF"/>
    <w:rsid w:val="008D5716"/>
    <w:rsid w:val="008E557F"/>
    <w:rsid w:val="008E5C28"/>
    <w:rsid w:val="008F650F"/>
    <w:rsid w:val="008F6CC3"/>
    <w:rsid w:val="009008E2"/>
    <w:rsid w:val="009031F5"/>
    <w:rsid w:val="00904DE1"/>
    <w:rsid w:val="00905759"/>
    <w:rsid w:val="009064BB"/>
    <w:rsid w:val="00911DD1"/>
    <w:rsid w:val="00912C8B"/>
    <w:rsid w:val="00913D4E"/>
    <w:rsid w:val="009157B3"/>
    <w:rsid w:val="009175CC"/>
    <w:rsid w:val="00917E36"/>
    <w:rsid w:val="00917F90"/>
    <w:rsid w:val="00921D7A"/>
    <w:rsid w:val="009233BB"/>
    <w:rsid w:val="0093056C"/>
    <w:rsid w:val="0093425B"/>
    <w:rsid w:val="00934590"/>
    <w:rsid w:val="00934758"/>
    <w:rsid w:val="00934FFE"/>
    <w:rsid w:val="00936B29"/>
    <w:rsid w:val="00942705"/>
    <w:rsid w:val="00961193"/>
    <w:rsid w:val="0097103A"/>
    <w:rsid w:val="0097175C"/>
    <w:rsid w:val="00972AAC"/>
    <w:rsid w:val="00980473"/>
    <w:rsid w:val="009919B8"/>
    <w:rsid w:val="00995491"/>
    <w:rsid w:val="00997384"/>
    <w:rsid w:val="009A017F"/>
    <w:rsid w:val="009A2ED8"/>
    <w:rsid w:val="009A3920"/>
    <w:rsid w:val="009A7200"/>
    <w:rsid w:val="009B2CC9"/>
    <w:rsid w:val="009C2ECC"/>
    <w:rsid w:val="009C5EC9"/>
    <w:rsid w:val="009C6EE4"/>
    <w:rsid w:val="009D300D"/>
    <w:rsid w:val="009D32F8"/>
    <w:rsid w:val="009E137E"/>
    <w:rsid w:val="009E1659"/>
    <w:rsid w:val="009E22E5"/>
    <w:rsid w:val="009E34E1"/>
    <w:rsid w:val="009E494E"/>
    <w:rsid w:val="009F40A4"/>
    <w:rsid w:val="00A02086"/>
    <w:rsid w:val="00A03B18"/>
    <w:rsid w:val="00A0667E"/>
    <w:rsid w:val="00A068CD"/>
    <w:rsid w:val="00A12A51"/>
    <w:rsid w:val="00A139ED"/>
    <w:rsid w:val="00A249CA"/>
    <w:rsid w:val="00A24DF0"/>
    <w:rsid w:val="00A3182D"/>
    <w:rsid w:val="00A336B3"/>
    <w:rsid w:val="00A33824"/>
    <w:rsid w:val="00A33B69"/>
    <w:rsid w:val="00A340A4"/>
    <w:rsid w:val="00A357BB"/>
    <w:rsid w:val="00A37444"/>
    <w:rsid w:val="00A419F0"/>
    <w:rsid w:val="00A45F6C"/>
    <w:rsid w:val="00A5590B"/>
    <w:rsid w:val="00A65E45"/>
    <w:rsid w:val="00A74A55"/>
    <w:rsid w:val="00A74D9D"/>
    <w:rsid w:val="00A75579"/>
    <w:rsid w:val="00A8132F"/>
    <w:rsid w:val="00A84721"/>
    <w:rsid w:val="00A94B5D"/>
    <w:rsid w:val="00A956DB"/>
    <w:rsid w:val="00A95C1D"/>
    <w:rsid w:val="00A977D5"/>
    <w:rsid w:val="00AA25B2"/>
    <w:rsid w:val="00AA7463"/>
    <w:rsid w:val="00AB2491"/>
    <w:rsid w:val="00AB3474"/>
    <w:rsid w:val="00AC2852"/>
    <w:rsid w:val="00AC4CC3"/>
    <w:rsid w:val="00AE17FE"/>
    <w:rsid w:val="00AE3AD3"/>
    <w:rsid w:val="00AE652A"/>
    <w:rsid w:val="00AF0FDA"/>
    <w:rsid w:val="00B06B0C"/>
    <w:rsid w:val="00B10B43"/>
    <w:rsid w:val="00B17B6A"/>
    <w:rsid w:val="00B21B3E"/>
    <w:rsid w:val="00B25295"/>
    <w:rsid w:val="00B3359B"/>
    <w:rsid w:val="00B35051"/>
    <w:rsid w:val="00B4013D"/>
    <w:rsid w:val="00B41C68"/>
    <w:rsid w:val="00B4566B"/>
    <w:rsid w:val="00B506AC"/>
    <w:rsid w:val="00B546C5"/>
    <w:rsid w:val="00B65BB5"/>
    <w:rsid w:val="00B76E09"/>
    <w:rsid w:val="00B837B3"/>
    <w:rsid w:val="00B90FF3"/>
    <w:rsid w:val="00B93AAE"/>
    <w:rsid w:val="00BA01EA"/>
    <w:rsid w:val="00BA50B4"/>
    <w:rsid w:val="00BB39B7"/>
    <w:rsid w:val="00BC20A1"/>
    <w:rsid w:val="00BC3B00"/>
    <w:rsid w:val="00BC4DF7"/>
    <w:rsid w:val="00BC7F53"/>
    <w:rsid w:val="00BD04B0"/>
    <w:rsid w:val="00BD76DA"/>
    <w:rsid w:val="00BE2B21"/>
    <w:rsid w:val="00BE4408"/>
    <w:rsid w:val="00BE61F5"/>
    <w:rsid w:val="00BF0791"/>
    <w:rsid w:val="00C045B4"/>
    <w:rsid w:val="00C04723"/>
    <w:rsid w:val="00C12663"/>
    <w:rsid w:val="00C12EB6"/>
    <w:rsid w:val="00C13F32"/>
    <w:rsid w:val="00C14A43"/>
    <w:rsid w:val="00C21ED8"/>
    <w:rsid w:val="00C379D8"/>
    <w:rsid w:val="00C45D88"/>
    <w:rsid w:val="00C46BF7"/>
    <w:rsid w:val="00C5493A"/>
    <w:rsid w:val="00C606C0"/>
    <w:rsid w:val="00C61AFD"/>
    <w:rsid w:val="00C6328C"/>
    <w:rsid w:val="00C63A15"/>
    <w:rsid w:val="00C65AA8"/>
    <w:rsid w:val="00C82E48"/>
    <w:rsid w:val="00C83E8B"/>
    <w:rsid w:val="00CA4D1A"/>
    <w:rsid w:val="00CB5275"/>
    <w:rsid w:val="00CB5BDF"/>
    <w:rsid w:val="00CB5EE7"/>
    <w:rsid w:val="00CC53A2"/>
    <w:rsid w:val="00CC6998"/>
    <w:rsid w:val="00CD5AB7"/>
    <w:rsid w:val="00CD70E8"/>
    <w:rsid w:val="00CE0C8B"/>
    <w:rsid w:val="00D046FE"/>
    <w:rsid w:val="00D10406"/>
    <w:rsid w:val="00D23001"/>
    <w:rsid w:val="00D442E5"/>
    <w:rsid w:val="00D52345"/>
    <w:rsid w:val="00D5342F"/>
    <w:rsid w:val="00D545AD"/>
    <w:rsid w:val="00D55758"/>
    <w:rsid w:val="00D55886"/>
    <w:rsid w:val="00D55B4E"/>
    <w:rsid w:val="00D62A2D"/>
    <w:rsid w:val="00D64AC8"/>
    <w:rsid w:val="00D655A8"/>
    <w:rsid w:val="00D70F99"/>
    <w:rsid w:val="00D77EA2"/>
    <w:rsid w:val="00D809C3"/>
    <w:rsid w:val="00D81A4D"/>
    <w:rsid w:val="00D84774"/>
    <w:rsid w:val="00D924D3"/>
    <w:rsid w:val="00D95FA3"/>
    <w:rsid w:val="00DA7292"/>
    <w:rsid w:val="00DB662F"/>
    <w:rsid w:val="00DC046A"/>
    <w:rsid w:val="00DC06DE"/>
    <w:rsid w:val="00DC1093"/>
    <w:rsid w:val="00DD5407"/>
    <w:rsid w:val="00DD687E"/>
    <w:rsid w:val="00DE1386"/>
    <w:rsid w:val="00E04016"/>
    <w:rsid w:val="00E0720A"/>
    <w:rsid w:val="00E13C64"/>
    <w:rsid w:val="00E146D9"/>
    <w:rsid w:val="00E22D25"/>
    <w:rsid w:val="00E3001C"/>
    <w:rsid w:val="00E32310"/>
    <w:rsid w:val="00E32F31"/>
    <w:rsid w:val="00E440D1"/>
    <w:rsid w:val="00E50809"/>
    <w:rsid w:val="00E51512"/>
    <w:rsid w:val="00E6024A"/>
    <w:rsid w:val="00E604A9"/>
    <w:rsid w:val="00E60D10"/>
    <w:rsid w:val="00E61961"/>
    <w:rsid w:val="00E634B3"/>
    <w:rsid w:val="00E643B9"/>
    <w:rsid w:val="00E66F0A"/>
    <w:rsid w:val="00E720A1"/>
    <w:rsid w:val="00E75858"/>
    <w:rsid w:val="00E84C59"/>
    <w:rsid w:val="00E86251"/>
    <w:rsid w:val="00E86A93"/>
    <w:rsid w:val="00E92F08"/>
    <w:rsid w:val="00E9431D"/>
    <w:rsid w:val="00EB02EF"/>
    <w:rsid w:val="00EB2FD9"/>
    <w:rsid w:val="00EC079C"/>
    <w:rsid w:val="00EC088E"/>
    <w:rsid w:val="00ED36C6"/>
    <w:rsid w:val="00ED654C"/>
    <w:rsid w:val="00EE4ECD"/>
    <w:rsid w:val="00EE6F8A"/>
    <w:rsid w:val="00EF257D"/>
    <w:rsid w:val="00EF644B"/>
    <w:rsid w:val="00F0284C"/>
    <w:rsid w:val="00F03911"/>
    <w:rsid w:val="00F1323D"/>
    <w:rsid w:val="00F1363E"/>
    <w:rsid w:val="00F251A4"/>
    <w:rsid w:val="00F32CF0"/>
    <w:rsid w:val="00F35BB5"/>
    <w:rsid w:val="00F40301"/>
    <w:rsid w:val="00F4380A"/>
    <w:rsid w:val="00F54AF8"/>
    <w:rsid w:val="00F60D79"/>
    <w:rsid w:val="00F70528"/>
    <w:rsid w:val="00F71993"/>
    <w:rsid w:val="00F75451"/>
    <w:rsid w:val="00F80AE2"/>
    <w:rsid w:val="00F90F36"/>
    <w:rsid w:val="00F93DD0"/>
    <w:rsid w:val="00F9531A"/>
    <w:rsid w:val="00FA0097"/>
    <w:rsid w:val="00FA50E3"/>
    <w:rsid w:val="00FA5B94"/>
    <w:rsid w:val="00FA674C"/>
    <w:rsid w:val="00FB1704"/>
    <w:rsid w:val="00FB2B74"/>
    <w:rsid w:val="00FC0B3E"/>
    <w:rsid w:val="00FE01FD"/>
    <w:rsid w:val="00FF4DCA"/>
    <w:rsid w:val="00FF7541"/>
    <w:rsid w:val="01D2560B"/>
    <w:rsid w:val="025F28B4"/>
    <w:rsid w:val="026C6563"/>
    <w:rsid w:val="026F11A5"/>
    <w:rsid w:val="02A05FD7"/>
    <w:rsid w:val="034A43DB"/>
    <w:rsid w:val="05AA653C"/>
    <w:rsid w:val="05EF6183"/>
    <w:rsid w:val="08AE443E"/>
    <w:rsid w:val="0C3B6140"/>
    <w:rsid w:val="0C970481"/>
    <w:rsid w:val="0E0A0266"/>
    <w:rsid w:val="0E355812"/>
    <w:rsid w:val="0E9A44CF"/>
    <w:rsid w:val="0EA11202"/>
    <w:rsid w:val="108F35D0"/>
    <w:rsid w:val="10E55DDE"/>
    <w:rsid w:val="13B642FE"/>
    <w:rsid w:val="1629709B"/>
    <w:rsid w:val="19027713"/>
    <w:rsid w:val="19641022"/>
    <w:rsid w:val="19727C40"/>
    <w:rsid w:val="1B730595"/>
    <w:rsid w:val="1BCF28A3"/>
    <w:rsid w:val="1C2A5889"/>
    <w:rsid w:val="1EAE0C70"/>
    <w:rsid w:val="2218710D"/>
    <w:rsid w:val="22965462"/>
    <w:rsid w:val="229D6823"/>
    <w:rsid w:val="22EF7372"/>
    <w:rsid w:val="235839AB"/>
    <w:rsid w:val="23D14D83"/>
    <w:rsid w:val="25C44658"/>
    <w:rsid w:val="26143EDA"/>
    <w:rsid w:val="263145E2"/>
    <w:rsid w:val="2670779A"/>
    <w:rsid w:val="26DF4910"/>
    <w:rsid w:val="279958CD"/>
    <w:rsid w:val="2A5D2CF6"/>
    <w:rsid w:val="2AD5793D"/>
    <w:rsid w:val="2AEC6B2B"/>
    <w:rsid w:val="2AFA0365"/>
    <w:rsid w:val="2B6E679F"/>
    <w:rsid w:val="2CBC2B8D"/>
    <w:rsid w:val="2D533BFC"/>
    <w:rsid w:val="2D7B5529"/>
    <w:rsid w:val="2E891C90"/>
    <w:rsid w:val="2EF0518E"/>
    <w:rsid w:val="2F655DC2"/>
    <w:rsid w:val="30423210"/>
    <w:rsid w:val="305A62E5"/>
    <w:rsid w:val="30BF6A04"/>
    <w:rsid w:val="33115B1A"/>
    <w:rsid w:val="33BB4C66"/>
    <w:rsid w:val="37461538"/>
    <w:rsid w:val="38EE509A"/>
    <w:rsid w:val="39D81453"/>
    <w:rsid w:val="3A192D97"/>
    <w:rsid w:val="3DB87C36"/>
    <w:rsid w:val="3E0B01D0"/>
    <w:rsid w:val="3E7A4475"/>
    <w:rsid w:val="3EA846BF"/>
    <w:rsid w:val="3F3831FA"/>
    <w:rsid w:val="3FB86B84"/>
    <w:rsid w:val="3FC976FF"/>
    <w:rsid w:val="404C2CAF"/>
    <w:rsid w:val="40D87830"/>
    <w:rsid w:val="412972C9"/>
    <w:rsid w:val="41856EAD"/>
    <w:rsid w:val="41FF788B"/>
    <w:rsid w:val="421F2EEA"/>
    <w:rsid w:val="42A258CA"/>
    <w:rsid w:val="42E5081B"/>
    <w:rsid w:val="43687E83"/>
    <w:rsid w:val="447D67DA"/>
    <w:rsid w:val="464D0671"/>
    <w:rsid w:val="47207727"/>
    <w:rsid w:val="477F27CB"/>
    <w:rsid w:val="481903DC"/>
    <w:rsid w:val="485338EE"/>
    <w:rsid w:val="48EF7CA2"/>
    <w:rsid w:val="493B1F88"/>
    <w:rsid w:val="49EA1B7B"/>
    <w:rsid w:val="4A9D52F4"/>
    <w:rsid w:val="4AE26BD9"/>
    <w:rsid w:val="4AFD27C6"/>
    <w:rsid w:val="4B376EB8"/>
    <w:rsid w:val="4C1623B6"/>
    <w:rsid w:val="4C163C73"/>
    <w:rsid w:val="4C774F24"/>
    <w:rsid w:val="4CA72897"/>
    <w:rsid w:val="4DEA6B47"/>
    <w:rsid w:val="4E2455D0"/>
    <w:rsid w:val="4EBF4053"/>
    <w:rsid w:val="4FA507C7"/>
    <w:rsid w:val="4FCB4B8B"/>
    <w:rsid w:val="502C311B"/>
    <w:rsid w:val="509A535D"/>
    <w:rsid w:val="50D53A00"/>
    <w:rsid w:val="50DE21C3"/>
    <w:rsid w:val="50F6750C"/>
    <w:rsid w:val="519D424C"/>
    <w:rsid w:val="51C5234C"/>
    <w:rsid w:val="529C0587"/>
    <w:rsid w:val="538937FA"/>
    <w:rsid w:val="54573FD3"/>
    <w:rsid w:val="55A50DEE"/>
    <w:rsid w:val="55F10BEA"/>
    <w:rsid w:val="56105E18"/>
    <w:rsid w:val="564927D4"/>
    <w:rsid w:val="571063AA"/>
    <w:rsid w:val="573B00FB"/>
    <w:rsid w:val="577227D7"/>
    <w:rsid w:val="58396B21"/>
    <w:rsid w:val="583B614D"/>
    <w:rsid w:val="5854184A"/>
    <w:rsid w:val="599F727C"/>
    <w:rsid w:val="5A4412E8"/>
    <w:rsid w:val="5B3067CC"/>
    <w:rsid w:val="5B4A6DD2"/>
    <w:rsid w:val="5CD62E37"/>
    <w:rsid w:val="5CE16EEF"/>
    <w:rsid w:val="5D814EC0"/>
    <w:rsid w:val="5DAE25D9"/>
    <w:rsid w:val="5E2F22B0"/>
    <w:rsid w:val="5F0C7D26"/>
    <w:rsid w:val="611A3734"/>
    <w:rsid w:val="6183642B"/>
    <w:rsid w:val="6212197B"/>
    <w:rsid w:val="62A0377C"/>
    <w:rsid w:val="63324C79"/>
    <w:rsid w:val="675322C2"/>
    <w:rsid w:val="6A317285"/>
    <w:rsid w:val="6B500156"/>
    <w:rsid w:val="6C5E0974"/>
    <w:rsid w:val="6C72216A"/>
    <w:rsid w:val="6CF272CA"/>
    <w:rsid w:val="6E247776"/>
    <w:rsid w:val="6F1578D0"/>
    <w:rsid w:val="6F821A58"/>
    <w:rsid w:val="70E22A2B"/>
    <w:rsid w:val="718801FD"/>
    <w:rsid w:val="7247092B"/>
    <w:rsid w:val="730035B1"/>
    <w:rsid w:val="735760D9"/>
    <w:rsid w:val="75B0387E"/>
    <w:rsid w:val="75BC6A36"/>
    <w:rsid w:val="75E74C1C"/>
    <w:rsid w:val="76147A7E"/>
    <w:rsid w:val="776F69C2"/>
    <w:rsid w:val="7841143A"/>
    <w:rsid w:val="797B4731"/>
    <w:rsid w:val="79CE1C18"/>
    <w:rsid w:val="7ACE4ED2"/>
    <w:rsid w:val="7AFE6E3A"/>
    <w:rsid w:val="7CBF37E0"/>
    <w:rsid w:val="7D6E0511"/>
    <w:rsid w:val="7E0B3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line="579" w:lineRule="exact"/>
      <w:ind w:firstLine="880" w:firstLineChars="200"/>
      <w:jc w:val="both"/>
    </w:pPr>
    <w:rPr>
      <w:rFonts w:ascii="仿宋_GB2312" w:hAnsi="仿宋_GB2312" w:eastAsia="仿宋_GB2312" w:cs="仿宋_GB2312"/>
      <w:sz w:val="32"/>
      <w:szCs w:val="22"/>
      <w:lang w:val="zh-CN" w:eastAsia="zh-CN" w:bidi="zh-CN"/>
    </w:rPr>
  </w:style>
  <w:style w:type="paragraph" w:styleId="2">
    <w:name w:val="heading 1"/>
    <w:basedOn w:val="1"/>
    <w:next w:val="1"/>
    <w:qFormat/>
    <w:uiPriority w:val="0"/>
    <w:pPr>
      <w:keepNext/>
      <w:keepLines/>
      <w:ind w:firstLine="0" w:firstLineChars="0"/>
      <w:jc w:val="center"/>
      <w:outlineLvl w:val="0"/>
    </w:pPr>
    <w:rPr>
      <w:rFonts w:eastAsia="方正小标宋简体"/>
      <w:kern w:val="44"/>
      <w:sz w:val="44"/>
    </w:rPr>
  </w:style>
  <w:style w:type="paragraph" w:styleId="3">
    <w:name w:val="heading 2"/>
    <w:basedOn w:val="1"/>
    <w:next w:val="1"/>
    <w:unhideWhenUsed/>
    <w:qFormat/>
    <w:uiPriority w:val="0"/>
    <w:pPr>
      <w:keepNext/>
      <w:keepLines/>
      <w:outlineLvl w:val="1"/>
    </w:pPr>
    <w:rPr>
      <w:rFonts w:ascii="Arial" w:hAnsi="Arial" w:eastAsia="黑体"/>
    </w:rPr>
  </w:style>
  <w:style w:type="paragraph" w:styleId="4">
    <w:name w:val="heading 3"/>
    <w:basedOn w:val="1"/>
    <w:next w:val="1"/>
    <w:unhideWhenUsed/>
    <w:qFormat/>
    <w:uiPriority w:val="0"/>
    <w:pPr>
      <w:keepNext/>
      <w:keepLines/>
      <w:outlineLvl w:val="2"/>
    </w:pPr>
    <w:rPr>
      <w:rFonts w:eastAsia="楷体_GB2312"/>
    </w:rPr>
  </w:style>
  <w:style w:type="paragraph" w:styleId="5">
    <w:name w:val="heading 4"/>
    <w:basedOn w:val="1"/>
    <w:next w:val="1"/>
    <w:link w:val="19"/>
    <w:unhideWhenUsed/>
    <w:qFormat/>
    <w:uiPriority w:val="0"/>
    <w:pPr>
      <w:keepNext/>
      <w:keepLines/>
      <w:ind w:firstLine="562"/>
      <w:outlineLvl w:val="3"/>
    </w:pPr>
    <w:rPr>
      <w:b/>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qFormat/>
    <w:uiPriority w:val="0"/>
    <w:pPr>
      <w:jc w:val="left"/>
    </w:pPr>
  </w:style>
  <w:style w:type="paragraph" w:styleId="7">
    <w:name w:val="Body Text"/>
    <w:basedOn w:val="1"/>
    <w:qFormat/>
    <w:uiPriority w:val="1"/>
    <w:pPr>
      <w:ind w:left="109"/>
    </w:pPr>
    <w:rPr>
      <w:szCs w:val="32"/>
    </w:rPr>
  </w:style>
  <w:style w:type="paragraph" w:styleId="8">
    <w:name w:val="Body Text Indent"/>
    <w:basedOn w:val="1"/>
    <w:link w:val="22"/>
    <w:qFormat/>
    <w:uiPriority w:val="0"/>
    <w:pPr>
      <w:spacing w:after="120"/>
      <w:ind w:left="420" w:leftChars="200"/>
    </w:pPr>
  </w:style>
  <w:style w:type="paragraph" w:styleId="9">
    <w:name w:val="footer"/>
    <w:basedOn w:val="1"/>
    <w:link w:val="26"/>
    <w:qFormat/>
    <w:uiPriority w:val="0"/>
    <w:pPr>
      <w:tabs>
        <w:tab w:val="center" w:pos="4153"/>
        <w:tab w:val="right" w:pos="8306"/>
      </w:tabs>
      <w:snapToGrid w:val="0"/>
      <w:spacing w:line="240" w:lineRule="atLeast"/>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footnote text"/>
    <w:basedOn w:val="1"/>
    <w:next w:val="1"/>
    <w:qFormat/>
    <w:uiPriority w:val="0"/>
    <w:pPr>
      <w:snapToGrid w:val="0"/>
      <w:jc w:val="left"/>
    </w:pPr>
  </w:style>
  <w:style w:type="paragraph" w:styleId="12">
    <w:name w:val="Normal (Web)"/>
    <w:basedOn w:val="1"/>
    <w:qFormat/>
    <w:uiPriority w:val="0"/>
    <w:pPr>
      <w:spacing w:line="240" w:lineRule="auto"/>
      <w:ind w:firstLine="0" w:firstLineChars="0"/>
      <w:jc w:val="left"/>
    </w:pPr>
    <w:rPr>
      <w:rFonts w:ascii="Calibri" w:hAnsi="Calibri" w:eastAsia="宋体" w:cs="Times New Roman"/>
      <w:sz w:val="24"/>
      <w:szCs w:val="24"/>
    </w:rPr>
  </w:style>
  <w:style w:type="paragraph" w:styleId="13">
    <w:name w:val="annotation subject"/>
    <w:basedOn w:val="6"/>
    <w:next w:val="6"/>
    <w:link w:val="31"/>
    <w:qFormat/>
    <w:uiPriority w:val="0"/>
    <w:rPr>
      <w:b/>
      <w:bCs/>
    </w:rPr>
  </w:style>
  <w:style w:type="paragraph" w:styleId="14">
    <w:name w:val="Body Text First Indent 2"/>
    <w:basedOn w:val="8"/>
    <w:next w:val="1"/>
    <w:qFormat/>
    <w:uiPriority w:val="0"/>
    <w:pPr>
      <w:ind w:left="0" w:leftChars="0" w:firstLine="420"/>
    </w:pPr>
  </w:style>
  <w:style w:type="table" w:styleId="16">
    <w:name w:val="Table Grid"/>
    <w:basedOn w:val="1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annotation reference"/>
    <w:basedOn w:val="17"/>
    <w:qFormat/>
    <w:uiPriority w:val="0"/>
    <w:rPr>
      <w:sz w:val="21"/>
      <w:szCs w:val="21"/>
    </w:rPr>
  </w:style>
  <w:style w:type="character" w:customStyle="1" w:styleId="19">
    <w:name w:val="标题 4 字符"/>
    <w:link w:val="5"/>
    <w:qFormat/>
    <w:uiPriority w:val="0"/>
    <w:rPr>
      <w:rFonts w:ascii="仿宋_GB2312" w:hAnsi="仿宋_GB2312"/>
      <w:b/>
    </w:rPr>
  </w:style>
  <w:style w:type="paragraph" w:styleId="20">
    <w:name w:val="List Paragraph"/>
    <w:basedOn w:val="1"/>
    <w:qFormat/>
    <w:uiPriority w:val="1"/>
    <w:pPr>
      <w:spacing w:before="168"/>
      <w:ind w:left="1071" w:hanging="322"/>
    </w:pPr>
  </w:style>
  <w:style w:type="paragraph" w:customStyle="1" w:styleId="21">
    <w:name w:val="正文11"/>
    <w:basedOn w:val="1"/>
    <w:qFormat/>
    <w:uiPriority w:val="99"/>
    <w:pPr>
      <w:spacing w:line="560" w:lineRule="exact"/>
      <w:ind w:firstLine="0" w:firstLineChars="0"/>
    </w:pPr>
    <w:rPr>
      <w:rFonts w:ascii="Calibri" w:hAnsi="Calibri" w:eastAsia="宋体" w:cs="Times New Roman"/>
    </w:rPr>
  </w:style>
  <w:style w:type="character" w:customStyle="1" w:styleId="22">
    <w:name w:val="正文文本缩进 字符"/>
    <w:basedOn w:val="17"/>
    <w:link w:val="8"/>
    <w:qFormat/>
    <w:uiPriority w:val="0"/>
    <w:rPr>
      <w:kern w:val="2"/>
      <w:sz w:val="21"/>
      <w:szCs w:val="24"/>
    </w:rPr>
  </w:style>
  <w:style w:type="character" w:customStyle="1" w:styleId="23">
    <w:name w:val="正文文本首行缩进 2 字符"/>
    <w:basedOn w:val="22"/>
    <w:qFormat/>
    <w:uiPriority w:val="0"/>
    <w:rPr>
      <w:kern w:val="2"/>
      <w:sz w:val="21"/>
      <w:szCs w:val="24"/>
    </w:rPr>
  </w:style>
  <w:style w:type="paragraph" w:customStyle="1" w:styleId="24">
    <w:name w:val="修订1"/>
    <w:hidden/>
    <w:unhideWhenUsed/>
    <w:qFormat/>
    <w:uiPriority w:val="99"/>
    <w:rPr>
      <w:rFonts w:ascii="仿宋_GB2312" w:hAnsi="仿宋_GB2312" w:eastAsia="仿宋_GB2312" w:cs="仿宋_GB2312"/>
      <w:sz w:val="32"/>
      <w:szCs w:val="22"/>
      <w:lang w:val="zh-CN" w:eastAsia="zh-CN" w:bidi="zh-CN"/>
    </w:rPr>
  </w:style>
  <w:style w:type="paragraph" w:customStyle="1" w:styleId="25">
    <w:name w:val="修订2"/>
    <w:hidden/>
    <w:unhideWhenUsed/>
    <w:qFormat/>
    <w:uiPriority w:val="99"/>
    <w:rPr>
      <w:rFonts w:ascii="仿宋_GB2312" w:hAnsi="仿宋_GB2312" w:eastAsia="仿宋_GB2312" w:cs="仿宋_GB2312"/>
      <w:sz w:val="32"/>
      <w:szCs w:val="22"/>
      <w:lang w:val="zh-CN" w:eastAsia="zh-CN" w:bidi="zh-CN"/>
    </w:rPr>
  </w:style>
  <w:style w:type="character" w:customStyle="1" w:styleId="26">
    <w:name w:val="页脚 字符"/>
    <w:basedOn w:val="17"/>
    <w:link w:val="9"/>
    <w:qFormat/>
    <w:uiPriority w:val="0"/>
    <w:rPr>
      <w:rFonts w:ascii="仿宋_GB2312" w:hAnsi="仿宋_GB2312" w:eastAsia="仿宋_GB2312" w:cs="仿宋_GB2312"/>
      <w:sz w:val="18"/>
      <w:szCs w:val="18"/>
      <w:lang w:val="zh-CN" w:bidi="zh-CN"/>
    </w:rPr>
  </w:style>
  <w:style w:type="paragraph" w:customStyle="1" w:styleId="27">
    <w:name w:val="修订3"/>
    <w:hidden/>
    <w:unhideWhenUsed/>
    <w:qFormat/>
    <w:uiPriority w:val="99"/>
    <w:rPr>
      <w:rFonts w:ascii="仿宋_GB2312" w:hAnsi="仿宋_GB2312" w:eastAsia="仿宋_GB2312" w:cs="仿宋_GB2312"/>
      <w:sz w:val="32"/>
      <w:szCs w:val="22"/>
      <w:lang w:val="zh-CN" w:eastAsia="zh-CN" w:bidi="zh-CN"/>
    </w:rPr>
  </w:style>
  <w:style w:type="paragraph" w:customStyle="1" w:styleId="28">
    <w:name w:val="修订4"/>
    <w:hidden/>
    <w:unhideWhenUsed/>
    <w:qFormat/>
    <w:uiPriority w:val="99"/>
    <w:rPr>
      <w:rFonts w:ascii="仿宋_GB2312" w:hAnsi="仿宋_GB2312" w:eastAsia="仿宋_GB2312" w:cs="仿宋_GB2312"/>
      <w:sz w:val="32"/>
      <w:szCs w:val="22"/>
      <w:lang w:val="zh-CN" w:eastAsia="zh-CN" w:bidi="zh-CN"/>
    </w:rPr>
  </w:style>
  <w:style w:type="paragraph" w:customStyle="1" w:styleId="29">
    <w:name w:val="修订5"/>
    <w:hidden/>
    <w:unhideWhenUsed/>
    <w:qFormat/>
    <w:uiPriority w:val="99"/>
    <w:rPr>
      <w:rFonts w:ascii="仿宋_GB2312" w:hAnsi="仿宋_GB2312" w:eastAsia="仿宋_GB2312" w:cs="仿宋_GB2312"/>
      <w:sz w:val="32"/>
      <w:szCs w:val="22"/>
      <w:lang w:val="zh-CN" w:eastAsia="zh-CN" w:bidi="zh-CN"/>
    </w:rPr>
  </w:style>
  <w:style w:type="character" w:customStyle="1" w:styleId="30">
    <w:name w:val="批注文字 字符"/>
    <w:basedOn w:val="17"/>
    <w:link w:val="6"/>
    <w:qFormat/>
    <w:uiPriority w:val="0"/>
    <w:rPr>
      <w:rFonts w:ascii="仿宋_GB2312" w:hAnsi="仿宋_GB2312" w:eastAsia="仿宋_GB2312" w:cs="仿宋_GB2312"/>
      <w:sz w:val="32"/>
      <w:szCs w:val="22"/>
      <w:lang w:val="zh-CN" w:bidi="zh-CN"/>
    </w:rPr>
  </w:style>
  <w:style w:type="character" w:customStyle="1" w:styleId="31">
    <w:name w:val="批注主题 字符"/>
    <w:basedOn w:val="30"/>
    <w:link w:val="13"/>
    <w:qFormat/>
    <w:uiPriority w:val="0"/>
    <w:rPr>
      <w:rFonts w:ascii="仿宋_GB2312" w:hAnsi="仿宋_GB2312" w:eastAsia="仿宋_GB2312" w:cs="仿宋_GB2312"/>
      <w:b/>
      <w:bCs/>
      <w:sz w:val="3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2080</Words>
  <Characters>2147</Characters>
  <Lines>16</Lines>
  <Paragraphs>4</Paragraphs>
  <TotalTime>1</TotalTime>
  <ScaleCrop>false</ScaleCrop>
  <LinksUpToDate>false</LinksUpToDate>
  <CharactersWithSpaces>2147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2025-01-08T12:15:00Z</dcterms:created>
  <dc:creator>赖传亮-基金部</dc:creator>
  <cp:lastModifiedBy>李杰</cp:lastModifiedBy>
  <cp:lastPrinted>2025-02-05T07:06:00Z</cp:lastPrinted>
  <dcterms:modified xsi:type="dcterms:W3CDTF">2025-02-10T03:33:08Z</dcterms:modified>
  <cp:revision>1175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BB6DA747B9094FFF8A414A6D588BA3BE_13</vt:lpwstr>
  </property>
  <property fmtid="{D5CDD505-2E9C-101B-9397-08002B2CF9AE}" pid="4" name="KSOTemplateDocerSaveRecord">
    <vt:lpwstr>eyJoZGlkIjoiMzBmZWQ3Yjg0YzE0MDc4YTQ3Nzg4MTlhZDEzOWI3N2QiLCJ1c2VySWQiOiIzNjMwNTgwODkifQ==</vt:lpwstr>
  </property>
</Properties>
</file>