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b w:val="0"/>
          <w:bCs w:val="0"/>
          <w:sz w:val="32"/>
          <w:szCs w:val="32"/>
        </w:rPr>
      </w:pPr>
    </w:p>
    <w:p>
      <w:pPr>
        <w:spacing w:line="580" w:lineRule="exact"/>
        <w:jc w:val="left"/>
        <w:rPr>
          <w:rFonts w:hint="default" w:ascii="Times New Roman" w:hAnsi="Times New Roman" w:eastAsia="黑体" w:cs="Times New Roman"/>
          <w:b w:val="0"/>
          <w:bCs w:val="0"/>
          <w:sz w:val="32"/>
          <w:szCs w:val="32"/>
        </w:rPr>
      </w:pPr>
    </w:p>
    <w:p>
      <w:pPr>
        <w:spacing w:line="580" w:lineRule="exact"/>
        <w:jc w:val="left"/>
        <w:rPr>
          <w:rFonts w:hint="default" w:ascii="Times New Roman" w:hAnsi="Times New Roman" w:eastAsia="黑体" w:cs="Times New Roman"/>
          <w:b w:val="0"/>
          <w:bCs w:val="0"/>
          <w:sz w:val="32"/>
          <w:szCs w:val="32"/>
        </w:rPr>
      </w:pPr>
    </w:p>
    <w:p>
      <w:pPr>
        <w:spacing w:line="580" w:lineRule="exact"/>
        <w:jc w:val="center"/>
        <w:rPr>
          <w:rFonts w:hint="default" w:ascii="Times New Roman" w:hAnsi="Times New Roman" w:eastAsia="仿宋_GB2312" w:cs="Times New Roman"/>
          <w:b w:val="0"/>
          <w:bCs w:val="0"/>
          <w:sz w:val="32"/>
          <w:szCs w:val="32"/>
        </w:rPr>
      </w:pPr>
    </w:p>
    <w:p>
      <w:pPr>
        <w:spacing w:line="580" w:lineRule="exact"/>
        <w:jc w:val="center"/>
        <w:rPr>
          <w:rFonts w:hint="default" w:ascii="Times New Roman" w:hAnsi="Times New Roman" w:eastAsia="仿宋_GB2312" w:cs="Times New Roman"/>
          <w:b w:val="0"/>
          <w:bCs w:val="0"/>
          <w:sz w:val="32"/>
          <w:szCs w:val="32"/>
        </w:rPr>
      </w:pPr>
    </w:p>
    <w:p>
      <w:pPr>
        <w:spacing w:line="580" w:lineRule="exact"/>
        <w:jc w:val="center"/>
        <w:rPr>
          <w:rFonts w:hint="default" w:ascii="Times New Roman" w:hAnsi="Times New Roman" w:eastAsia="仿宋_GB2312" w:cs="Times New Roman"/>
          <w:b w:val="0"/>
          <w:bCs w:val="0"/>
          <w:sz w:val="32"/>
          <w:szCs w:val="32"/>
        </w:rPr>
      </w:pPr>
    </w:p>
    <w:p>
      <w:pPr>
        <w:spacing w:line="580" w:lineRule="exact"/>
        <w:jc w:val="center"/>
        <w:rPr>
          <w:rFonts w:hint="default" w:ascii="Times New Roman" w:hAnsi="Times New Roman" w:eastAsia="仿宋_GB2312" w:cs="Times New Roman"/>
          <w:b w:val="0"/>
          <w:bCs w:val="0"/>
          <w:sz w:val="32"/>
          <w:szCs w:val="32"/>
        </w:rPr>
      </w:pPr>
    </w:p>
    <w:p>
      <w:pPr>
        <w:spacing w:line="580" w:lineRule="exact"/>
        <w:jc w:val="center"/>
        <w:rPr>
          <w:rFonts w:hint="default" w:ascii="Times New Roman" w:hAnsi="Times New Roman" w:eastAsia="仿宋_GB2312" w:cs="Times New Roman"/>
          <w:b w:val="0"/>
          <w:bCs w:val="0"/>
          <w:sz w:val="32"/>
          <w:szCs w:val="32"/>
        </w:rPr>
      </w:pPr>
    </w:p>
    <w:p>
      <w:pPr>
        <w:overflowPunct w:val="0"/>
        <w:spacing w:line="600"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sz w:val="44"/>
          <w:szCs w:val="44"/>
        </w:rPr>
        <w:t>天津市滨海新区人民政府关于</w:t>
      </w:r>
      <w:r>
        <w:rPr>
          <w:rFonts w:hint="eastAsia" w:eastAsia="方正小标宋简体" w:cs="Times New Roman"/>
          <w:b w:val="0"/>
          <w:bCs w:val="0"/>
          <w:sz w:val="44"/>
          <w:szCs w:val="44"/>
          <w:lang w:eastAsia="zh-CN"/>
        </w:rPr>
        <w:t>印发</w:t>
      </w:r>
      <w:r>
        <w:rPr>
          <w:rFonts w:hint="default" w:ascii="Times New Roman" w:hAnsi="Times New Roman" w:eastAsia="方正小标宋简体" w:cs="Times New Roman"/>
          <w:b w:val="0"/>
          <w:bCs w:val="0"/>
          <w:color w:val="000000"/>
          <w:sz w:val="44"/>
          <w:szCs w:val="44"/>
        </w:rPr>
        <w:t>天津</w:t>
      </w:r>
    </w:p>
    <w:p>
      <w:pPr>
        <w:overflowPunct w:val="0"/>
        <w:spacing w:line="600"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滨海新区合格境外有限合伙人</w:t>
      </w:r>
    </w:p>
    <w:p>
      <w:pPr>
        <w:overflowPunct w:val="0"/>
        <w:spacing w:line="60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000000"/>
          <w:sz w:val="44"/>
          <w:szCs w:val="44"/>
        </w:rPr>
        <w:t>试点办法</w:t>
      </w:r>
      <w:r>
        <w:rPr>
          <w:rFonts w:hint="default" w:ascii="Times New Roman" w:hAnsi="Times New Roman" w:eastAsia="方正小标宋简体" w:cs="Times New Roman"/>
          <w:b w:val="0"/>
          <w:bCs w:val="0"/>
          <w:sz w:val="44"/>
          <w:szCs w:val="44"/>
        </w:rPr>
        <w:t>的通知</w:t>
      </w:r>
    </w:p>
    <w:p>
      <w:pPr>
        <w:spacing w:line="580" w:lineRule="exact"/>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各开发区管委会</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各委</w:t>
      </w:r>
      <w:r>
        <w:rPr>
          <w:rFonts w:hint="default" w:ascii="Times New Roman" w:hAnsi="Times New Roman" w:eastAsia="仿宋_GB2312" w:cs="Times New Roman"/>
          <w:b w:val="0"/>
          <w:bCs w:val="0"/>
          <w:sz w:val="32"/>
          <w:szCs w:val="32"/>
          <w:lang w:eastAsia="zh-CN"/>
        </w:rPr>
        <w:t>办</w:t>
      </w:r>
      <w:r>
        <w:rPr>
          <w:rFonts w:hint="default" w:ascii="Times New Roman" w:hAnsi="Times New Roman" w:eastAsia="仿宋_GB2312" w:cs="Times New Roman"/>
          <w:b w:val="0"/>
          <w:bCs w:val="0"/>
          <w:sz w:val="32"/>
          <w:szCs w:val="32"/>
        </w:rPr>
        <w:t>局、各街镇、各单位：</w:t>
      </w:r>
    </w:p>
    <w:p>
      <w:pPr>
        <w:overflowPunct w:val="0"/>
        <w:spacing w:line="58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现将《</w:t>
      </w:r>
      <w:r>
        <w:rPr>
          <w:rFonts w:hint="default" w:ascii="Times New Roman" w:hAnsi="Times New Roman" w:eastAsia="仿宋_GB2312" w:cs="Times New Roman"/>
          <w:b w:val="0"/>
          <w:bCs w:val="0"/>
          <w:color w:val="000000"/>
          <w:sz w:val="32"/>
          <w:szCs w:val="32"/>
        </w:rPr>
        <w:t>天津滨海新区合格境外有限合伙人试点办法</w:t>
      </w:r>
      <w:r>
        <w:rPr>
          <w:rFonts w:hint="default" w:ascii="Times New Roman" w:hAnsi="Times New Roman" w:eastAsia="仿宋_GB2312" w:cs="Times New Roman"/>
          <w:b w:val="0"/>
          <w:bCs w:val="0"/>
          <w:sz w:val="32"/>
          <w:szCs w:val="32"/>
          <w:lang w:val="en-US" w:eastAsia="zh-CN"/>
        </w:rPr>
        <w:t>》印发给你们，望遵照执行。</w:t>
      </w:r>
    </w:p>
    <w:p>
      <w:pPr>
        <w:overflowPunct w:val="0"/>
        <w:spacing w:line="580" w:lineRule="exact"/>
        <w:ind w:firstLine="640" w:firstLineChars="200"/>
        <w:rPr>
          <w:rFonts w:hint="default" w:ascii="Times New Roman" w:hAnsi="Times New Roman" w:eastAsia="仿宋_GB2312" w:cs="Times New Roman"/>
          <w:b w:val="0"/>
          <w:bCs w:val="0"/>
          <w:sz w:val="32"/>
          <w:szCs w:val="32"/>
          <w:lang w:val="en-US" w:eastAsia="zh-CN"/>
        </w:rPr>
      </w:pPr>
    </w:p>
    <w:p>
      <w:pPr>
        <w:overflowPunct w:val="0"/>
        <w:spacing w:line="580" w:lineRule="exact"/>
        <w:ind w:firstLine="640" w:firstLineChars="200"/>
        <w:rPr>
          <w:rFonts w:hint="default" w:ascii="Times New Roman" w:hAnsi="Times New Roman" w:eastAsia="仿宋_GB2312" w:cs="Times New Roman"/>
          <w:b w:val="0"/>
          <w:bCs w:val="0"/>
          <w:sz w:val="32"/>
          <w:szCs w:val="32"/>
          <w:lang w:val="en-US" w:eastAsia="zh-CN"/>
        </w:rPr>
      </w:pPr>
      <w:bookmarkStart w:id="0" w:name="_GoBack"/>
      <w:bookmarkEnd w:id="0"/>
    </w:p>
    <w:p>
      <w:pPr>
        <w:spacing w:line="540" w:lineRule="exact"/>
        <w:rPr>
          <w:rFonts w:hint="default" w:ascii="Times New Roman" w:hAnsi="Times New Roman" w:eastAsia="黑体" w:cs="Times New Roman"/>
          <w:b w:val="0"/>
          <w:bCs w:val="0"/>
          <w:sz w:val="32"/>
          <w:szCs w:val="32"/>
        </w:rPr>
      </w:pPr>
    </w:p>
    <w:p>
      <w:pPr>
        <w:overflowPunct w:val="0"/>
        <w:spacing w:line="580" w:lineRule="exact"/>
        <w:ind w:firstLine="4480" w:firstLineChars="1400"/>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color w:val="000000"/>
          <w:sz w:val="32"/>
          <w:szCs w:val="32"/>
        </w:rPr>
        <w:t>天津市滨海新区人民政府</w:t>
      </w:r>
    </w:p>
    <w:p>
      <w:pPr>
        <w:ind w:right="1260" w:rightChars="600"/>
        <w:jc w:val="righ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eastAsia="zh-CN"/>
        </w:rPr>
        <w:t>2025</w:t>
      </w:r>
      <w:r>
        <w:rPr>
          <w:rFonts w:hint="default" w:ascii="Times New Roman" w:hAnsi="Times New Roman" w:eastAsia="仿宋_GB2312" w:cs="Times New Roman"/>
          <w:b w:val="0"/>
          <w:bCs w:val="0"/>
          <w:sz w:val="32"/>
          <w:szCs w:val="32"/>
        </w:rPr>
        <w:t>年</w:t>
      </w:r>
      <w:r>
        <w:rPr>
          <w:rFonts w:hint="default" w:eastAsia="仿宋_GB2312" w:cs="Times New Roman"/>
          <w:b w:val="0"/>
          <w:bCs w:val="0"/>
          <w:sz w:val="32"/>
          <w:szCs w:val="32"/>
          <w:lang w:val="en"/>
        </w:rPr>
        <w:t>4</w:t>
      </w:r>
      <w:r>
        <w:rPr>
          <w:rFonts w:hint="default" w:ascii="Times New Roman" w:hAnsi="Times New Roman" w:eastAsia="仿宋_GB2312" w:cs="Times New Roman"/>
          <w:b w:val="0"/>
          <w:bCs w:val="0"/>
          <w:sz w:val="32"/>
          <w:szCs w:val="32"/>
        </w:rPr>
        <w:t>月</w:t>
      </w:r>
      <w:r>
        <w:rPr>
          <w:rFonts w:hint="default" w:eastAsia="仿宋_GB2312" w:cs="Times New Roman"/>
          <w:b w:val="0"/>
          <w:bCs w:val="0"/>
          <w:sz w:val="32"/>
          <w:szCs w:val="32"/>
          <w:lang w:val="en"/>
        </w:rPr>
        <w:t>6</w:t>
      </w:r>
      <w:r>
        <w:rPr>
          <w:rFonts w:hint="default" w:ascii="Times New Roman" w:hAnsi="Times New Roman" w:eastAsia="仿宋_GB2312" w:cs="Times New Roman"/>
          <w:b w:val="0"/>
          <w:bCs w:val="0"/>
          <w:sz w:val="32"/>
          <w:szCs w:val="32"/>
        </w:rPr>
        <w:t>日</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（此件</w:t>
      </w:r>
      <w:r>
        <w:rPr>
          <w:rFonts w:hint="default" w:ascii="Times New Roman" w:hAnsi="Times New Roman" w:eastAsia="仿宋_GB2312" w:cs="Times New Roman"/>
          <w:b w:val="0"/>
          <w:bCs w:val="0"/>
          <w:sz w:val="32"/>
          <w:szCs w:val="32"/>
          <w:lang w:eastAsia="zh-CN"/>
        </w:rPr>
        <w:t>主动公开</w:t>
      </w:r>
      <w:r>
        <w:rPr>
          <w:rFonts w:hint="default" w:ascii="Times New Roman" w:hAnsi="Times New Roman" w:eastAsia="仿宋_GB2312" w:cs="Times New Roman"/>
          <w:b w:val="0"/>
          <w:bCs w:val="0"/>
          <w:sz w:val="32"/>
          <w:szCs w:val="32"/>
        </w:rPr>
        <w:t>）</w:t>
      </w:r>
    </w:p>
    <w:p>
      <w:pPr>
        <w:overflowPunct w:val="0"/>
        <w:spacing w:line="600" w:lineRule="exact"/>
        <w:jc w:val="center"/>
        <w:rPr>
          <w:rFonts w:hint="default" w:ascii="Times New Roman" w:hAnsi="Times New Roman" w:eastAsia="楷体_GB2312"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天津滨海新区合格境外有限合伙人试点办法</w:t>
      </w:r>
    </w:p>
    <w:p>
      <w:pPr>
        <w:overflowPunct w:val="0"/>
        <w:spacing w:line="600" w:lineRule="exact"/>
        <w:jc w:val="center"/>
        <w:rPr>
          <w:rFonts w:hint="default" w:ascii="Times New Roman" w:hAnsi="Times New Roman" w:eastAsia="仿宋_GB2312" w:cs="Times New Roman"/>
          <w:b w:val="0"/>
          <w:bCs w:val="0"/>
          <w:color w:val="000000"/>
          <w:kern w:val="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第一章  总则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第一条 为贯彻落实《国务院关于进一步优化外商投资环境加大吸引外商投资力度的意见》《天津市服务业扩大开放综合试点总体方案》及《关于金融支持天津高质量发展意见的实施方案》等文件要求，进一步优化外商投资环境，加大吸引外商投资力度，鼓励和引导合格境外有限合伙人（QFLP）促进我区股权投资、创业投资基金市场发展，提升金融开放水平，根据《中华人民共和国外商投资法》《私募投资基金监督管理条例》等有关规定，制定本办法。</w:t>
      </w:r>
    </w:p>
    <w:p>
      <w:pPr>
        <w:keepNext w:val="0"/>
        <w:keepLines w:val="0"/>
        <w:pageBreakBefore w:val="0"/>
        <w:widowControl w:val="0"/>
        <w:kinsoku/>
        <w:wordWrap/>
        <w:overflowPunct w:val="0"/>
        <w:topLinePunct w:val="0"/>
        <w:autoSpaceDE/>
        <w:autoSpaceDN/>
        <w:bidi w:val="0"/>
        <w:adjustRightInd/>
        <w:snapToGrid/>
        <w:spacing w:line="580" w:lineRule="exact"/>
        <w:ind w:firstLine="598" w:firstLineChars="187"/>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第二条 试点应用范围为天津滨海新区五个开发区（以下简称“各开发区”），涵盖天津经济技术开发区、天津港保税区、天津滨海高新技术产业开发区、天津东疆综合保税区、中新天津生态城。</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第三条 本办法所称的试点基金管理企业，是指经各开发区管委会认定并按规定发起设立试点基金，受托管理其投资业务的企业。</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办法所称的试点基金，是指由合格境外有限合伙人参与投资设立，以非公开方式募集境内外资金进行股权投资或经许可的其他投资活动的企业。试点基金原则上应由试点基金管理企业、各开发区认定的存续私募基金管理企业、其他适格企业发起设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本办法所称合格境外有限合伙人是指参与认购本办法规定试点基金的境外自然人、境外机构投资者等。</w:t>
      </w:r>
    </w:p>
    <w:p>
      <w:pPr>
        <w:keepNext w:val="0"/>
        <w:keepLines w:val="0"/>
        <w:pageBreakBefore w:val="0"/>
        <w:widowControl w:val="0"/>
        <w:numPr>
          <w:ilvl w:val="0"/>
          <w:numId w:val="1"/>
        </w:numP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符合本办法相关要求的试点基金管理企业及试点基金统称试点企业，适用本办法。试点基金管理企业可采用公司制、合伙制等组织形式。试点基金一般采用合伙制，并符合《中华人民共和国合伙企业法》规定，试点基金采用公司制、契约制的，参照本办法执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trike/>
          <w:color w:val="000000"/>
          <w:sz w:val="32"/>
          <w:szCs w:val="32"/>
        </w:rPr>
      </w:pPr>
      <w:r>
        <w:rPr>
          <w:rFonts w:hint="default" w:ascii="Times New Roman" w:hAnsi="Times New Roman" w:eastAsia="仿宋_GB2312" w:cs="Times New Roman"/>
          <w:b w:val="0"/>
          <w:bCs w:val="0"/>
          <w:color w:val="000000"/>
          <w:sz w:val="32"/>
          <w:szCs w:val="32"/>
        </w:rPr>
        <w:t>第五条 试点基金以非公开方式向境内合格投资者募集资金应遵守《私募投资基金监督管理条例》及中国证券监督管理委员会（以下简称“中国证监会”）、中国证券投资基金业协会（以下简称“中国基金业协会”）关于私募投资基金有关规定，需向中国基金业协会备案。试点基金募集境外资金应遵守境外投资者所在地监管部门有关规定。</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第六条 鼓励试点企业开展创业投资，需遵照《私募投资基金监督管理条例》中相关要求。</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第二章  试点企业申请</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第七条 合格境外有限合伙人试点工作由滨海新区商务和投资促进局（以下简称“区商务和投促局”）、区财政局、区市场监督管理局、中国（天津）自由贸易试验区政策与产业创新发展局（以下简称“创新发展局”）负责统筹推进，各开发区管委会负责建立审查认定工作机制，认定试点企业资格，出具试点资格文件，并由各开发区市场监管</w:t>
      </w:r>
      <w:r>
        <w:rPr>
          <w:rFonts w:hint="eastAsia" w:eastAsia="仿宋_GB2312" w:cs="Times New Roman"/>
          <w:b w:val="0"/>
          <w:bCs w:val="0"/>
          <w:color w:val="000000"/>
          <w:sz w:val="32"/>
          <w:szCs w:val="32"/>
          <w:lang w:val="en-US" w:eastAsia="zh-CN"/>
        </w:rPr>
        <w:t>部门</w:t>
      </w:r>
      <w:r>
        <w:rPr>
          <w:rFonts w:hint="default" w:ascii="Times New Roman" w:hAnsi="Times New Roman" w:eastAsia="仿宋_GB2312" w:cs="Times New Roman"/>
          <w:b w:val="0"/>
          <w:bCs w:val="0"/>
          <w:color w:val="000000"/>
          <w:sz w:val="32"/>
          <w:szCs w:val="32"/>
        </w:rPr>
        <w:t>依法进行企业登记注册。申请常年受理。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如有关管理部门对涉金融经营主体准入登记管理另有规定，从其规定进行调整。</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第八条 试点申请流程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资格认定。申请试点企业向各开发区管委会提交符合要求的申请材料，配套指引另行制定，各开发区管委会对申请材料的完备性、真实性、合法性和可行性进行审核认定，形成《合格境外有限合伙人资格认定意见函》（以下简称《意见函》），并向企业出具试点资格文件。原则上自企业提交齐备的申请材料后5个工作日内予以答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（二）企业设立。各开发区市场监管部门凭试点资格文件办理企业工商登记注册手续。</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（三）监督协调。各开发区相关部门每月10</w:t>
      </w:r>
      <w:r>
        <w:rPr>
          <w:rFonts w:hint="eastAsia" w:eastAsia="仿宋_GB2312" w:cs="Times New Roman"/>
          <w:b w:val="0"/>
          <w:bCs w:val="0"/>
          <w:color w:val="000000"/>
          <w:sz w:val="32"/>
          <w:szCs w:val="32"/>
          <w:lang w:eastAsia="zh-CN"/>
        </w:rPr>
        <w:t>日</w:t>
      </w:r>
      <w:r>
        <w:rPr>
          <w:rFonts w:hint="default" w:ascii="Times New Roman" w:hAnsi="Times New Roman" w:eastAsia="仿宋_GB2312" w:cs="Times New Roman"/>
          <w:b w:val="0"/>
          <w:bCs w:val="0"/>
          <w:color w:val="000000"/>
          <w:sz w:val="32"/>
          <w:szCs w:val="32"/>
        </w:rPr>
        <w:t>前须向创新发展局按时、如实报备试点企业申请情况及相关报备材料（见附</w:t>
      </w:r>
      <w:r>
        <w:rPr>
          <w:rFonts w:hint="eastAsia" w:eastAsia="仿宋_GB2312" w:cs="Times New Roman"/>
          <w:b w:val="0"/>
          <w:bCs w:val="0"/>
          <w:color w:val="000000"/>
          <w:sz w:val="32"/>
          <w:szCs w:val="32"/>
          <w:lang w:eastAsia="zh-CN"/>
        </w:rPr>
        <w:t>件</w:t>
      </w:r>
      <w:r>
        <w:rPr>
          <w:rFonts w:hint="default" w:ascii="Times New Roman" w:hAnsi="Times New Roman" w:eastAsia="仿宋_GB2312" w:cs="Times New Roman"/>
          <w:b w:val="0"/>
          <w:bCs w:val="0"/>
          <w:color w:val="000000"/>
          <w:sz w:val="32"/>
          <w:szCs w:val="32"/>
        </w:rPr>
        <w:t>1），创新发展局汇总后报备外汇管理局滨海新区分局、区商务和投促局、区财政局。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第九条 试点企业的投资者应当具备与其认缴资本金额相匹配的出资能力，境外投资者用于出资的货币应当为可自由兑换的货币、境外人民币或其在中国境内获得的人民币利润或因转股、清算等活动获得的人民币合法收益，境内投资者应当以人民币出资。试点企业开展境内股权投资业务时，应严格遵守外汇管理和跨境人民币业务管理的相关规定。</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第十条 鼓励各开发区建立专门的服务团队，为试点企业提供完善的落地服务，助力产业升级和创新发展。</w:t>
      </w:r>
    </w:p>
    <w:p>
      <w:pPr>
        <w:keepNext w:val="0"/>
        <w:keepLines w:val="0"/>
        <w:pageBreakBefore w:val="0"/>
        <w:widowControl w:val="0"/>
        <w:kinsoku/>
        <w:wordWrap/>
        <w:overflowPunct w:val="0"/>
        <w:topLinePunct w:val="0"/>
        <w:autoSpaceDE/>
        <w:autoSpaceDN/>
        <w:bidi w:val="0"/>
        <w:adjustRightInd/>
        <w:snapToGrid/>
        <w:spacing w:line="580" w:lineRule="exact"/>
        <w:ind w:firstLine="598" w:firstLineChars="187"/>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第十一条 试点企业的企业名称应当符合登记部门及有关监管部门的命名要求。</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第三章</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 xml:space="preserve"> 试点运作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第十二条 试点基金管理企业可从事如下业务：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rPr>
        <w:t>（一）发起设立试点基金</w:t>
      </w:r>
      <w:r>
        <w:rPr>
          <w:rFonts w:hint="default" w:ascii="Times New Roman" w:hAnsi="Times New Roman" w:eastAsia="仿宋_GB2312" w:cs="Times New Roman"/>
          <w:b w:val="0"/>
          <w:bCs w:val="0"/>
          <w:color w:val="000000"/>
          <w:sz w:val="32"/>
          <w:szCs w:val="32"/>
          <w:highlight w:val="none"/>
        </w:rPr>
        <w:t>及其他境内私募股权投资、创业投资基金；</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highlight w:val="none"/>
        </w:rPr>
        <w:t>（二）受托管理试点基金及</w:t>
      </w:r>
      <w:r>
        <w:rPr>
          <w:rFonts w:hint="default" w:ascii="Times New Roman" w:hAnsi="Times New Roman" w:eastAsia="仿宋_GB2312" w:cs="Times New Roman"/>
          <w:b w:val="0"/>
          <w:bCs w:val="0"/>
          <w:color w:val="000000"/>
          <w:sz w:val="32"/>
          <w:szCs w:val="32"/>
        </w:rPr>
        <w:t>其他境内私募股权投资、创业投资基金的投资业务并提供相关服务；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（三）经审批或登记机关许可的其他相关业务。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第十三条 试点基金可依法依规投资以下范围：</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（一）未上市公司股权；</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（二）上市公司非公开发行和交易的普通股（含定向发行新股、大宗交易、协议转让等），可转换为普通股的优先股、债转股和可转债，可作为上市公司原股东参与配股；</w:t>
      </w:r>
    </w:p>
    <w:p>
      <w:pPr>
        <w:keepNext w:val="0"/>
        <w:keepLines w:val="0"/>
        <w:pageBreakBefore w:val="0"/>
        <w:widowControl w:val="0"/>
        <w:numPr>
          <w:ilvl w:val="0"/>
          <w:numId w:val="2"/>
        </w:numP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夹层投资、私募债、不良资产、破产重整企业的共益债；</w:t>
      </w:r>
    </w:p>
    <w:p>
      <w:pPr>
        <w:keepNext w:val="0"/>
        <w:keepLines w:val="0"/>
        <w:pageBreakBefore w:val="0"/>
        <w:widowControl w:val="0"/>
        <w:numPr>
          <w:ilvl w:val="0"/>
          <w:numId w:val="2"/>
        </w:numP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以基金中基金（FOF）形式运作，参与投资境内私募股权投资基金、私募创业投资基金、不动产私募投资基金；</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（五）为所投资企业提供管理咨询；</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（六）经资格认定或登记机关许可的其他相关业务。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试点基金的投资范围应当遵守有关外商投资、私募股权投资基金的国家法律法规等相关规定，符合国家宏观调控政策、产业政策及《外商投资准入特别管理措施（负面清单）》等现行及动态调整的外商投资准入特别管理措施。如中国证监会、中国基金业协会或其他有关管理部门对投资范围另有规定的，从其规定。</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第十四条 试点企业可采取股权转让、减资、清算等国家法律法规允许的方式退出被投资企业，并按照《中华人民共和国公司法》《中华人民共和国合伙企业法》等国家法律法规进行利润分配、减资和解散清算。</w:t>
      </w:r>
    </w:p>
    <w:p>
      <w:pPr>
        <w:keepNext w:val="0"/>
        <w:keepLines w:val="0"/>
        <w:pageBreakBefore w:val="0"/>
        <w:widowControl w:val="0"/>
        <w:numPr>
          <w:ilvl w:val="0"/>
          <w:numId w:val="3"/>
        </w:numP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试点企业应当持续合法合规运营，各开发区会同有关部门采取有效方式开展联合监管和动态监管，加强地方金融风险防控，打击以股权投资、私募基金名义从事非法集资等违法违规金融活动。</w:t>
      </w:r>
    </w:p>
    <w:p>
      <w:pPr>
        <w:keepNext w:val="0"/>
        <w:keepLines w:val="0"/>
        <w:pageBreakBefore w:val="0"/>
        <w:widowControl w:val="0"/>
        <w:numPr>
          <w:ilvl w:val="0"/>
          <w:numId w:val="3"/>
        </w:numP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试点企业违反国家法律、法规、规章或本办法规定的，有关部门和单位根据相应职责进行查处；构成犯罪的，依法移送司法机关处理。</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第四章</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 xml:space="preserve"> 资金汇兑管理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第十七条 试点企业应在银行办理外商投资企业基本信息外汇登记手续，相关账户开立、资金汇兑应遵循现行外商投资外汇管理要求。试点企业外汇资本金及其结汇所得人民币资金的使用应遵循真实、自用原则，不得违反外汇管理局资本项目收入使用负面清单管理要求。</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第十八条 须在中国基金业协会进行备案的试点基金应当按照《私募投资基金监督管理条例》及中国证监会、中国基金业协会的相关规定办理托管相关事宜。托管金融机构应当符合中国证监会、中国基金业协会或其他有关管理部门的相关规定并依据《证券投资基金托管业务管理办法》等规定切实履行托管职责。</w:t>
      </w:r>
    </w:p>
    <w:p>
      <w:pPr>
        <w:keepNext w:val="0"/>
        <w:keepLines w:val="0"/>
        <w:pageBreakBefore w:val="0"/>
        <w:widowControl w:val="0"/>
        <w:numPr>
          <w:ilvl w:val="0"/>
          <w:numId w:val="4"/>
        </w:numP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托管机构须将试点基金投资款的缴入与其他资金的使用分开核算，试点基金管理企业、托管机构每季度结束后15个工作日内向各开发区报送资金汇兑、资金投向、投资收益等情况，各开发区相关部门10个工作日内汇总后向创新发展局同步报送（见附</w:t>
      </w:r>
      <w:r>
        <w:rPr>
          <w:rFonts w:hint="eastAsia" w:eastAsia="仿宋_GB2312" w:cs="Times New Roman"/>
          <w:b w:val="0"/>
          <w:bCs w:val="0"/>
          <w:color w:val="000000"/>
          <w:sz w:val="32"/>
          <w:szCs w:val="32"/>
          <w:lang w:eastAsia="zh-CN"/>
        </w:rPr>
        <w:t>件</w:t>
      </w:r>
      <w:r>
        <w:rPr>
          <w:rFonts w:hint="default" w:ascii="Times New Roman" w:hAnsi="Times New Roman" w:eastAsia="仿宋_GB2312" w:cs="Times New Roman"/>
          <w:b w:val="0"/>
          <w:bCs w:val="0"/>
          <w:color w:val="000000"/>
          <w:sz w:val="32"/>
          <w:szCs w:val="32"/>
        </w:rPr>
        <w:t>2-1、2-1、2-3），创新发展局汇总后报备外汇管理局滨海新区分局、区商务和投促局、区财政局。</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第五章</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 xml:space="preserve"> 附则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第二十条 香港特别行政区、澳门特别行政区、台湾地区投资者参与合格境外有限合伙人试点，参照本试点办法执行。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第二十一条 本试点办法由创新发展局会同区商务和投促局等相关部门承担具体</w:t>
      </w:r>
      <w:r>
        <w:rPr>
          <w:rFonts w:hint="default" w:ascii="Times New Roman" w:hAnsi="Times New Roman" w:eastAsia="仿宋_GB2312" w:cs="Times New Roman"/>
          <w:b w:val="0"/>
          <w:bCs w:val="0"/>
          <w:color w:val="000000"/>
          <w:sz w:val="32"/>
          <w:szCs w:val="32"/>
          <w:highlight w:val="none"/>
        </w:rPr>
        <w:t>解释</w:t>
      </w:r>
      <w:r>
        <w:rPr>
          <w:rFonts w:hint="default" w:ascii="Times New Roman" w:hAnsi="Times New Roman" w:eastAsia="仿宋_GB2312" w:cs="Times New Roman"/>
          <w:b w:val="0"/>
          <w:bCs w:val="0"/>
          <w:color w:val="000000"/>
          <w:sz w:val="32"/>
          <w:szCs w:val="32"/>
          <w:lang w:val="en-US" w:eastAsia="zh-CN"/>
        </w:rPr>
        <w:t>工作</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72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第二十二条 本试点办法自发布之日起施行，有效期三年。</w:t>
      </w:r>
    </w:p>
    <w:p>
      <w:pPr>
        <w:keepNext w:val="0"/>
        <w:keepLines w:val="0"/>
        <w:pageBreakBefore w:val="0"/>
        <w:widowControl w:val="0"/>
        <w:kinsoku/>
        <w:wordWrap/>
        <w:overflowPunct w:val="0"/>
        <w:topLinePunct w:val="0"/>
        <w:autoSpaceDE/>
        <w:autoSpaceDN/>
        <w:bidi w:val="0"/>
        <w:adjustRightInd/>
        <w:snapToGrid/>
        <w:spacing w:line="580" w:lineRule="exact"/>
        <w:ind w:firstLine="720"/>
        <w:jc w:val="left"/>
        <w:textAlignment w:val="auto"/>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72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附</w:t>
      </w:r>
      <w:r>
        <w:rPr>
          <w:rFonts w:hint="default" w:ascii="Times New Roman" w:hAnsi="Times New Roman" w:eastAsia="仿宋_GB2312" w:cs="Times New Roman"/>
          <w:b w:val="0"/>
          <w:bCs w:val="0"/>
          <w:color w:val="000000"/>
          <w:sz w:val="32"/>
          <w:szCs w:val="32"/>
          <w:lang w:eastAsia="zh-CN"/>
        </w:rPr>
        <w:t>件</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汇总报备材料清单</w:t>
      </w:r>
    </w:p>
    <w:p>
      <w:pPr>
        <w:keepNext w:val="0"/>
        <w:keepLines w:val="0"/>
        <w:pageBreakBefore w:val="0"/>
        <w:widowControl w:val="0"/>
        <w:kinsoku/>
        <w:wordWrap/>
        <w:overflowPunct w:val="0"/>
        <w:topLinePunct w:val="0"/>
        <w:autoSpaceDE/>
        <w:autoSpaceDN/>
        <w:bidi w:val="0"/>
        <w:adjustRightInd/>
        <w:snapToGrid/>
        <w:spacing w:line="580" w:lineRule="exact"/>
        <w:ind w:firstLine="72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color w:val="000000"/>
          <w:sz w:val="32"/>
          <w:szCs w:val="32"/>
        </w:rPr>
        <w:t>2-1</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QFLP托管人向相关管理部门报送报表</w:t>
      </w:r>
    </w:p>
    <w:p>
      <w:pPr>
        <w:keepNext w:val="0"/>
        <w:keepLines w:val="0"/>
        <w:pageBreakBefore w:val="0"/>
        <w:widowControl w:val="0"/>
        <w:kinsoku/>
        <w:wordWrap/>
        <w:overflowPunct w:val="0"/>
        <w:topLinePunct w:val="0"/>
        <w:autoSpaceDE/>
        <w:autoSpaceDN/>
        <w:bidi w:val="0"/>
        <w:adjustRightInd/>
        <w:snapToGrid/>
        <w:spacing w:line="580" w:lineRule="exact"/>
        <w:ind w:firstLine="72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color w:val="000000"/>
          <w:sz w:val="32"/>
          <w:szCs w:val="32"/>
        </w:rPr>
        <w:t>2-2</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QFLP管理企业向相关管理部门报送报表一</w:t>
      </w:r>
    </w:p>
    <w:p>
      <w:pPr>
        <w:keepNext w:val="0"/>
        <w:keepLines w:val="0"/>
        <w:pageBreakBefore w:val="0"/>
        <w:widowControl w:val="0"/>
        <w:kinsoku/>
        <w:wordWrap/>
        <w:overflowPunct w:val="0"/>
        <w:topLinePunct w:val="0"/>
        <w:autoSpaceDE/>
        <w:autoSpaceDN/>
        <w:bidi w:val="0"/>
        <w:adjustRightInd/>
        <w:snapToGrid/>
        <w:spacing w:line="580" w:lineRule="exact"/>
        <w:ind w:firstLine="72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2-3</w:t>
      </w:r>
      <w:r>
        <w:rPr>
          <w:rFonts w:hint="default"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rPr>
        <w:t>QFLP管理企业向相关管理部门报送报表二</w:t>
      </w:r>
    </w:p>
    <w:p>
      <w:pPr>
        <w:overflowPunct w:val="0"/>
        <w:spacing w:line="560" w:lineRule="exact"/>
        <w:ind w:firstLine="720"/>
        <w:jc w:val="left"/>
        <w:rPr>
          <w:rFonts w:hint="default" w:ascii="Times New Roman" w:hAnsi="Times New Roman" w:eastAsia="仿宋_GB2312" w:cs="Times New Roman"/>
          <w:b w:val="0"/>
          <w:bCs w:val="0"/>
          <w:color w:val="000000"/>
          <w:sz w:val="32"/>
          <w:szCs w:val="32"/>
        </w:rPr>
      </w:pPr>
    </w:p>
    <w:p>
      <w:pPr>
        <w:overflowPunct w:val="0"/>
        <w:spacing w:line="560" w:lineRule="exact"/>
        <w:jc w:val="left"/>
        <w:rPr>
          <w:rFonts w:hint="default" w:ascii="Times New Roman" w:hAnsi="Times New Roman" w:eastAsia="仿宋_GB2312" w:cs="Times New Roman"/>
          <w:b w:val="0"/>
          <w:bCs w:val="0"/>
          <w:color w:val="000000"/>
          <w:sz w:val="32"/>
          <w:szCs w:val="32"/>
        </w:rPr>
      </w:pPr>
    </w:p>
    <w:p>
      <w:pPr>
        <w:overflowPunct w:val="0"/>
        <w:spacing w:line="560" w:lineRule="exact"/>
        <w:jc w:val="left"/>
        <w:rPr>
          <w:rFonts w:hint="default" w:ascii="Times New Roman" w:hAnsi="Times New Roman" w:eastAsia="仿宋_GB2312" w:cs="Times New Roman"/>
          <w:b w:val="0"/>
          <w:bCs w:val="0"/>
          <w:color w:val="000000"/>
          <w:sz w:val="32"/>
          <w:szCs w:val="32"/>
        </w:rPr>
      </w:pPr>
    </w:p>
    <w:p>
      <w:pPr>
        <w:overflowPunct w:val="0"/>
        <w:spacing w:line="560" w:lineRule="exact"/>
        <w:jc w:val="left"/>
        <w:rPr>
          <w:rFonts w:hint="default" w:ascii="Times New Roman" w:hAnsi="Times New Roman" w:eastAsia="仿宋_GB2312" w:cs="Times New Roman"/>
          <w:b w:val="0"/>
          <w:bCs w:val="0"/>
          <w:color w:val="000000"/>
          <w:kern w:val="0"/>
          <w:sz w:val="32"/>
          <w:szCs w:val="32"/>
        </w:rPr>
      </w:pPr>
    </w:p>
    <w:p>
      <w:pPr>
        <w:overflowPunct w:val="0"/>
        <w:spacing w:line="560" w:lineRule="exact"/>
        <w:jc w:val="left"/>
        <w:rPr>
          <w:rFonts w:hint="default" w:ascii="Times New Roman" w:hAnsi="Times New Roman" w:eastAsia="仿宋_GB2312" w:cs="Times New Roman"/>
          <w:b w:val="0"/>
          <w:bCs w:val="0"/>
          <w:color w:val="000000"/>
          <w:kern w:val="0"/>
          <w:sz w:val="32"/>
          <w:szCs w:val="32"/>
        </w:rPr>
      </w:pPr>
    </w:p>
    <w:p>
      <w:pPr>
        <w:overflowPunct w:val="0"/>
        <w:spacing w:line="560" w:lineRule="exact"/>
        <w:jc w:val="left"/>
        <w:rPr>
          <w:rFonts w:hint="default" w:ascii="Times New Roman" w:hAnsi="Times New Roman" w:eastAsia="仿宋_GB2312" w:cs="Times New Roman"/>
          <w:b w:val="0"/>
          <w:bCs w:val="0"/>
          <w:color w:val="000000"/>
          <w:kern w:val="0"/>
          <w:sz w:val="32"/>
          <w:szCs w:val="32"/>
        </w:rPr>
      </w:pPr>
    </w:p>
    <w:p>
      <w:pPr>
        <w:overflowPunct w:val="0"/>
        <w:spacing w:line="560" w:lineRule="exact"/>
        <w:jc w:val="left"/>
        <w:rPr>
          <w:rFonts w:hint="default" w:ascii="Times New Roman" w:hAnsi="Times New Roman" w:eastAsia="仿宋_GB2312" w:cs="Times New Roman"/>
          <w:b w:val="0"/>
          <w:bCs w:val="0"/>
          <w:color w:val="000000"/>
          <w:kern w:val="0"/>
          <w:sz w:val="32"/>
          <w:szCs w:val="32"/>
        </w:rPr>
      </w:pPr>
    </w:p>
    <w:p>
      <w:pPr>
        <w:overflowPunct w:val="0"/>
        <w:spacing w:line="560" w:lineRule="exact"/>
        <w:jc w:val="left"/>
        <w:rPr>
          <w:rFonts w:hint="default" w:ascii="Times New Roman" w:hAnsi="Times New Roman" w:eastAsia="仿宋_GB2312" w:cs="Times New Roman"/>
          <w:b w:val="0"/>
          <w:bCs w:val="0"/>
          <w:color w:val="000000"/>
          <w:kern w:val="0"/>
          <w:sz w:val="32"/>
          <w:szCs w:val="32"/>
        </w:rPr>
      </w:pPr>
    </w:p>
    <w:p>
      <w:pPr>
        <w:overflowPunct w:val="0"/>
        <w:spacing w:line="560" w:lineRule="exact"/>
        <w:jc w:val="left"/>
        <w:rPr>
          <w:rFonts w:hint="default" w:ascii="Times New Roman" w:hAnsi="Times New Roman" w:eastAsia="仿宋_GB2312" w:cs="Times New Roman"/>
          <w:b w:val="0"/>
          <w:bCs w:val="0"/>
          <w:color w:val="000000"/>
          <w:kern w:val="0"/>
          <w:sz w:val="32"/>
          <w:szCs w:val="32"/>
        </w:rPr>
      </w:pPr>
    </w:p>
    <w:p>
      <w:pPr>
        <w:overflowPunct w:val="0"/>
        <w:spacing w:line="560" w:lineRule="exact"/>
        <w:jc w:val="left"/>
        <w:rPr>
          <w:rFonts w:hint="default" w:ascii="Times New Roman" w:hAnsi="Times New Roman" w:eastAsia="仿宋_GB2312" w:cs="Times New Roman"/>
          <w:b w:val="0"/>
          <w:bCs w:val="0"/>
          <w:color w:val="000000"/>
          <w:kern w:val="0"/>
          <w:sz w:val="32"/>
          <w:szCs w:val="32"/>
        </w:rPr>
      </w:pPr>
    </w:p>
    <w:p>
      <w:pPr>
        <w:overflowPunct w:val="0"/>
        <w:spacing w:line="560" w:lineRule="exact"/>
        <w:jc w:val="left"/>
        <w:rPr>
          <w:rFonts w:hint="default" w:ascii="Times New Roman" w:hAnsi="Times New Roman" w:eastAsia="仿宋_GB2312" w:cs="Times New Roman"/>
          <w:b w:val="0"/>
          <w:bCs w:val="0"/>
          <w:color w:val="000000"/>
          <w:kern w:val="0"/>
          <w:sz w:val="32"/>
          <w:szCs w:val="32"/>
        </w:rPr>
      </w:pPr>
    </w:p>
    <w:p>
      <w:pPr>
        <w:overflowPunct w:val="0"/>
        <w:spacing w:line="560" w:lineRule="exact"/>
        <w:jc w:val="left"/>
        <w:rPr>
          <w:rFonts w:hint="default" w:ascii="Times New Roman" w:hAnsi="Times New Roman" w:eastAsia="仿宋_GB2312" w:cs="Times New Roman"/>
          <w:b w:val="0"/>
          <w:bCs w:val="0"/>
          <w:color w:val="000000"/>
          <w:kern w:val="0"/>
          <w:sz w:val="32"/>
          <w:szCs w:val="32"/>
        </w:rPr>
      </w:pPr>
    </w:p>
    <w:p>
      <w:pPr>
        <w:overflowPunct w:val="0"/>
        <w:spacing w:line="560" w:lineRule="exact"/>
        <w:jc w:val="left"/>
        <w:rPr>
          <w:rFonts w:hint="default" w:ascii="Times New Roman" w:hAnsi="Times New Roman" w:eastAsia="仿宋_GB2312" w:cs="Times New Roman"/>
          <w:b w:val="0"/>
          <w:bCs w:val="0"/>
          <w:color w:val="000000"/>
          <w:kern w:val="0"/>
          <w:sz w:val="32"/>
          <w:szCs w:val="32"/>
        </w:rPr>
      </w:pPr>
    </w:p>
    <w:p>
      <w:pPr>
        <w:overflowPunct w:val="0"/>
        <w:spacing w:line="560" w:lineRule="exact"/>
        <w:jc w:val="left"/>
        <w:rPr>
          <w:rFonts w:hint="default" w:ascii="Times New Roman" w:hAnsi="Times New Roman" w:eastAsia="仿宋_GB2312" w:cs="Times New Roman"/>
          <w:b w:val="0"/>
          <w:bCs w:val="0"/>
          <w:color w:val="000000"/>
          <w:kern w:val="0"/>
          <w:sz w:val="32"/>
          <w:szCs w:val="32"/>
        </w:rPr>
      </w:pPr>
    </w:p>
    <w:p>
      <w:pPr>
        <w:overflowPunct w:val="0"/>
        <w:spacing w:line="560" w:lineRule="exact"/>
        <w:jc w:val="left"/>
        <w:rPr>
          <w:rFonts w:hint="default" w:ascii="Times New Roman" w:hAnsi="Times New Roman" w:eastAsia="仿宋_GB2312" w:cs="Times New Roman"/>
          <w:b w:val="0"/>
          <w:bCs w:val="0"/>
          <w:color w:val="000000"/>
          <w:kern w:val="0"/>
          <w:sz w:val="32"/>
          <w:szCs w:val="32"/>
        </w:rPr>
      </w:pPr>
    </w:p>
    <w:p>
      <w:pPr>
        <w:overflowPunct w:val="0"/>
        <w:spacing w:line="560" w:lineRule="exact"/>
        <w:jc w:val="left"/>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附</w:t>
      </w:r>
      <w:r>
        <w:rPr>
          <w:rFonts w:hint="default" w:ascii="Times New Roman" w:hAnsi="Times New Roman" w:eastAsia="黑体" w:cs="Times New Roman"/>
          <w:b w:val="0"/>
          <w:bCs w:val="0"/>
          <w:color w:val="000000"/>
          <w:kern w:val="0"/>
          <w:sz w:val="32"/>
          <w:szCs w:val="32"/>
          <w:lang w:eastAsia="zh-CN"/>
        </w:rPr>
        <w:t>件</w:t>
      </w:r>
      <w:r>
        <w:rPr>
          <w:rFonts w:hint="default" w:ascii="Times New Roman" w:hAnsi="Times New Roman" w:eastAsia="黑体" w:cs="Times New Roman"/>
          <w:b w:val="0"/>
          <w:bCs w:val="0"/>
          <w:color w:val="000000"/>
          <w:kern w:val="0"/>
          <w:sz w:val="32"/>
          <w:szCs w:val="32"/>
        </w:rPr>
        <w:t>1</w:t>
      </w:r>
    </w:p>
    <w:p>
      <w:pPr>
        <w:keepNext w:val="0"/>
        <w:keepLines w:val="0"/>
        <w:pageBreakBefore w:val="0"/>
        <w:widowControl w:val="0"/>
        <w:kinsoku/>
        <w:wordWrap/>
        <w:overflowPunct w:val="0"/>
        <w:topLinePunct w:val="0"/>
        <w:autoSpaceDE/>
        <w:autoSpaceDN/>
        <w:bidi w:val="0"/>
        <w:adjustRightInd/>
        <w:snapToGrid/>
        <w:spacing w:line="540" w:lineRule="exact"/>
        <w:jc w:val="left"/>
        <w:textAlignment w:val="auto"/>
        <w:rPr>
          <w:rFonts w:hint="default" w:ascii="Times New Roman" w:hAnsi="Times New Roman" w:eastAsia="仿宋" w:cs="Times New Roman"/>
          <w:b w:val="0"/>
          <w:bCs w:val="0"/>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val="0"/>
          <w:color w:val="000000"/>
          <w:kern w:val="0"/>
          <w:sz w:val="44"/>
          <w:szCs w:val="44"/>
        </w:rPr>
      </w:pPr>
      <w:r>
        <w:rPr>
          <w:rFonts w:hint="default" w:ascii="Times New Roman" w:hAnsi="Times New Roman" w:eastAsia="方正小标宋简体" w:cs="Times New Roman"/>
          <w:b w:val="0"/>
          <w:bCs w:val="0"/>
          <w:color w:val="000000"/>
          <w:kern w:val="0"/>
          <w:sz w:val="44"/>
          <w:szCs w:val="44"/>
        </w:rPr>
        <w:t>汇总报备材料清单</w:t>
      </w: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default" w:ascii="Times New Roman" w:hAnsi="Times New Roman" w:eastAsia="仿宋" w:cs="Times New Roman"/>
          <w:b w:val="0"/>
          <w:bCs w:val="0"/>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一、《合格境外有限合伙人资格认定意见函》及试点资格文件。</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二、在中国证券投资基金业协会私募投资基金管理人登记记录及其管理基金在中国证券投资基金业协会的备案记录（存续经营的内资基金管理企业适用）。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三、私募基金管理企业简介，包括但不限于股权结构、在管基金管理规模、历史投资业绩等信息。</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四、高级管理人员（法定代表人、总经理、风控合规负责人）的简历、专业资质证书、从业证明，投研团队简介。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五、拟设立QFLP基金项目储备简介（需与拟申请QFLP试点规模保持一致）。</w:t>
      </w:r>
    </w:p>
    <w:p>
      <w:pPr>
        <w:overflowPunct w:val="0"/>
        <w:spacing w:line="560" w:lineRule="exact"/>
        <w:ind w:firstLine="640" w:firstLineChars="200"/>
        <w:rPr>
          <w:rFonts w:hint="default" w:ascii="Times New Roman" w:hAnsi="Times New Roman" w:eastAsia="仿宋" w:cs="Times New Roman"/>
          <w:b w:val="0"/>
          <w:bCs w:val="0"/>
          <w:color w:val="000000"/>
          <w:kern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sectPr>
          <w:footerReference r:id="rId3" w:type="default"/>
          <w:footerReference r:id="rId4" w:type="even"/>
          <w:pgSz w:w="11906" w:h="16838"/>
          <w:pgMar w:top="2098" w:right="1474" w:bottom="1985" w:left="1588" w:header="851" w:footer="1418" w:gutter="0"/>
          <w:cols w:space="720"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附件2-1</w:t>
      </w:r>
    </w:p>
    <w:p>
      <w:pPr>
        <w:keepNext w:val="0"/>
        <w:keepLines w:val="0"/>
        <w:pageBreakBefore w:val="0"/>
        <w:widowControl w:val="0"/>
        <w:kinsoku/>
        <w:wordWrap/>
        <w:overflowPunct w:val="0"/>
        <w:topLinePunct w:val="0"/>
        <w:autoSpaceDE/>
        <w:autoSpaceDN/>
        <w:bidi w:val="0"/>
        <w:adjustRightInd/>
        <w:snapToGrid/>
        <w:spacing w:line="480" w:lineRule="exact"/>
        <w:textAlignment w:val="auto"/>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QFLP托管人向相关管理部门报送报表</w:t>
      </w:r>
    </w:p>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（20  年第   季度）</w:t>
      </w:r>
    </w:p>
    <w:p>
      <w:pPr>
        <w:keepNext w:val="0"/>
        <w:keepLines w:val="0"/>
        <w:pageBreakBefore w:val="0"/>
        <w:widowControl w:val="0"/>
        <w:kinsoku/>
        <w:wordWrap/>
        <w:overflowPunct w:val="0"/>
        <w:topLinePunct w:val="0"/>
        <w:autoSpaceDE/>
        <w:autoSpaceDN/>
        <w:bidi w:val="0"/>
        <w:adjustRightInd/>
        <w:snapToGrid/>
        <w:spacing w:line="480" w:lineRule="exact"/>
        <w:jc w:val="left"/>
        <w:textAlignment w:val="auto"/>
        <w:rPr>
          <w:rFonts w:hint="default" w:ascii="Times New Roman" w:hAnsi="Times New Roman" w:eastAsia="黑体" w:cs="Times New Roman"/>
          <w:bCs/>
          <w:color w:val="000000"/>
          <w:sz w:val="24"/>
        </w:rPr>
      </w:pPr>
    </w:p>
    <w:p>
      <w:pPr>
        <w:overflowPunct w:val="0"/>
        <w:spacing w:line="300" w:lineRule="exact"/>
        <w:jc w:val="left"/>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托管人名称（公章）：                                                                         单位：万美元</w:t>
      </w:r>
    </w:p>
    <w:tbl>
      <w:tblPr>
        <w:tblStyle w:val="8"/>
        <w:tblpPr w:leftFromText="180" w:rightFromText="180" w:vertAnchor="text" w:horzAnchor="page" w:tblpX="1534" w:tblpY="193"/>
        <w:tblOverlap w:val="never"/>
        <w:tblW w:w="14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39"/>
        <w:gridCol w:w="659"/>
        <w:gridCol w:w="1170"/>
        <w:gridCol w:w="951"/>
        <w:gridCol w:w="568"/>
        <w:gridCol w:w="962"/>
        <w:gridCol w:w="746"/>
        <w:gridCol w:w="746"/>
        <w:gridCol w:w="746"/>
        <w:gridCol w:w="746"/>
        <w:gridCol w:w="746"/>
        <w:gridCol w:w="746"/>
        <w:gridCol w:w="746"/>
        <w:gridCol w:w="746"/>
        <w:gridCol w:w="746"/>
        <w:gridCol w:w="746"/>
        <w:gridCol w:w="74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序号</w:t>
            </w:r>
          </w:p>
        </w:tc>
        <w:tc>
          <w:tcPr>
            <w:tcW w:w="839"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管理企业</w:t>
            </w:r>
          </w:p>
        </w:tc>
        <w:tc>
          <w:tcPr>
            <w:tcW w:w="659"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管理企业类型</w:t>
            </w:r>
          </w:p>
        </w:tc>
        <w:tc>
          <w:tcPr>
            <w:tcW w:w="1170" w:type="dxa"/>
            <w:vMerge w:val="restart"/>
            <w:tcBorders>
              <w:top w:val="single" w:color="auto" w:sz="4" w:space="0"/>
              <w:left w:val="single" w:color="auto" w:sz="4" w:space="0"/>
              <w:right w:val="single" w:color="auto" w:sz="4" w:space="0"/>
            </w:tcBorders>
            <w:noWrap w:val="0"/>
            <w:vAlign w:val="center"/>
          </w:tcPr>
          <w:p>
            <w:pPr>
              <w:overflowPunct w:val="0"/>
              <w:spacing w:line="30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管理企业QFLP试点规模</w:t>
            </w:r>
          </w:p>
        </w:tc>
        <w:tc>
          <w:tcPr>
            <w:tcW w:w="951"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基金</w:t>
            </w:r>
          </w:p>
          <w:p>
            <w:pPr>
              <w:overflowPunct w:val="0"/>
              <w:spacing w:line="30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名称</w:t>
            </w:r>
          </w:p>
        </w:tc>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基金类型</w:t>
            </w:r>
          </w:p>
        </w:tc>
        <w:tc>
          <w:tcPr>
            <w:tcW w:w="962"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pacing w:val="-17"/>
                <w:szCs w:val="21"/>
              </w:rPr>
              <w:t>单只基金</w:t>
            </w:r>
            <w:r>
              <w:rPr>
                <w:rFonts w:hint="default" w:ascii="Times New Roman" w:hAnsi="Times New Roman" w:eastAsia="仿宋_GB2312" w:cs="Times New Roman"/>
                <w:color w:val="000000"/>
                <w:szCs w:val="21"/>
              </w:rPr>
              <w:t>QFLP</w:t>
            </w:r>
          </w:p>
          <w:p>
            <w:pPr>
              <w:overflowPunct w:val="0"/>
              <w:spacing w:line="30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pacing w:val="-17"/>
                <w:szCs w:val="21"/>
              </w:rPr>
              <w:t>试点规模</w:t>
            </w:r>
          </w:p>
        </w:tc>
        <w:tc>
          <w:tcPr>
            <w:tcW w:w="2984" w:type="dxa"/>
            <w:gridSpan w:val="4"/>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资金汇入</w:t>
            </w:r>
          </w:p>
        </w:tc>
        <w:tc>
          <w:tcPr>
            <w:tcW w:w="2984" w:type="dxa"/>
            <w:gridSpan w:val="4"/>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资金汇出</w:t>
            </w:r>
          </w:p>
        </w:tc>
        <w:tc>
          <w:tcPr>
            <w:tcW w:w="2984" w:type="dxa"/>
            <w:gridSpan w:val="4"/>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净汇入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1170" w:type="dxa"/>
            <w:vMerge w:val="continue"/>
            <w:tcBorders>
              <w:left w:val="single" w:color="auto" w:sz="4" w:space="0"/>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962"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外汇（①）</w:t>
            </w: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其中：结汇(⑤)</w:t>
            </w: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跨境人民币（②）</w:t>
            </w: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合计（①+②）</w:t>
            </w: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外汇</w:t>
            </w:r>
          </w:p>
          <w:p>
            <w:pPr>
              <w:overflowPunct w:val="0"/>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（③）</w:t>
            </w: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其中：购汇(⑥)</w:t>
            </w: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跨境人民币(④)</w:t>
            </w: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合计(③+④)</w:t>
            </w: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外汇(①-③)</w:t>
            </w: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其中：净结汇(⑤-⑥)</w:t>
            </w: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跨境人民币(②-④)</w:t>
            </w: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合计(①+②_③_④)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94" w:type="dxa"/>
            <w:vMerge w:val="restart"/>
            <w:tcBorders>
              <w:top w:val="single" w:color="auto" w:sz="4" w:space="0"/>
              <w:left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c>
          <w:tcPr>
            <w:tcW w:w="839" w:type="dxa"/>
            <w:vMerge w:val="restart"/>
            <w:tcBorders>
              <w:top w:val="single" w:color="auto" w:sz="4" w:space="0"/>
              <w:left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szCs w:val="21"/>
              </w:rPr>
            </w:pPr>
          </w:p>
        </w:tc>
        <w:tc>
          <w:tcPr>
            <w:tcW w:w="659" w:type="dxa"/>
            <w:vMerge w:val="restart"/>
            <w:tcBorders>
              <w:top w:val="single" w:color="auto" w:sz="4" w:space="0"/>
              <w:left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szCs w:val="21"/>
              </w:rPr>
            </w:pPr>
          </w:p>
        </w:tc>
        <w:tc>
          <w:tcPr>
            <w:tcW w:w="1170" w:type="dxa"/>
            <w:vMerge w:val="restart"/>
            <w:tcBorders>
              <w:top w:val="single" w:color="auto" w:sz="4" w:space="0"/>
              <w:left w:val="single" w:color="auto" w:sz="4" w:space="0"/>
              <w:right w:val="single" w:color="auto" w:sz="4" w:space="0"/>
            </w:tcBorders>
            <w:noWrap w:val="0"/>
            <w:vAlign w:val="center"/>
          </w:tcPr>
          <w:p>
            <w:pPr>
              <w:overflowPunct w:val="0"/>
              <w:spacing w:line="30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bCs/>
                <w:color w:val="000000"/>
                <w:kern w:val="0"/>
                <w:szCs w:val="21"/>
              </w:rPr>
              <w:t>如：</w:t>
            </w:r>
            <w:r>
              <w:rPr>
                <w:rFonts w:hint="default" w:ascii="Times New Roman" w:hAnsi="Times New Roman" w:eastAsia="仿宋_GB2312" w:cs="Times New Roman"/>
                <w:color w:val="000000"/>
                <w:szCs w:val="21"/>
              </w:rPr>
              <w:t>100</w:t>
            </w:r>
          </w:p>
          <w:p>
            <w:pPr>
              <w:overflowPunct w:val="0"/>
              <w:spacing w:line="30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（北京）</w:t>
            </w:r>
          </w:p>
        </w:tc>
        <w:tc>
          <w:tcPr>
            <w:tcW w:w="95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exact"/>
              <w:jc w:val="center"/>
              <w:rPr>
                <w:rFonts w:hint="default" w:ascii="Times New Roman" w:hAnsi="Times New Roman" w:eastAsia="仿宋_GB2312" w:cs="Times New Roman"/>
                <w:color w:val="000000"/>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36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36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36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94"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839"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659"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1170"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c>
          <w:tcPr>
            <w:tcW w:w="568"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94"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839"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659"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1170" w:type="dxa"/>
            <w:vMerge w:val="restart"/>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94" w:type="dxa"/>
            <w:vMerge w:val="continue"/>
            <w:tcBorders>
              <w:left w:val="single" w:color="auto" w:sz="4" w:space="0"/>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839" w:type="dxa"/>
            <w:vMerge w:val="continue"/>
            <w:tcBorders>
              <w:left w:val="single" w:color="auto" w:sz="4" w:space="0"/>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659" w:type="dxa"/>
            <w:vMerge w:val="continue"/>
            <w:tcBorders>
              <w:left w:val="single" w:color="auto" w:sz="4" w:space="0"/>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1170" w:type="dxa"/>
            <w:vMerge w:val="continue"/>
            <w:tcBorders>
              <w:left w:val="single" w:color="auto" w:sz="4" w:space="0"/>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c>
          <w:tcPr>
            <w:tcW w:w="568"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94" w:type="dxa"/>
            <w:vMerge w:val="restart"/>
            <w:tcBorders>
              <w:top w:val="single" w:color="auto" w:sz="4" w:space="0"/>
              <w:left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c>
          <w:tcPr>
            <w:tcW w:w="839" w:type="dxa"/>
            <w:vMerge w:val="restart"/>
            <w:tcBorders>
              <w:top w:val="single" w:color="auto" w:sz="4" w:space="0"/>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659" w:type="dxa"/>
            <w:vMerge w:val="restart"/>
            <w:tcBorders>
              <w:top w:val="single" w:color="auto" w:sz="4" w:space="0"/>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1170" w:type="dxa"/>
            <w:vMerge w:val="restart"/>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94"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szCs w:val="21"/>
              </w:rPr>
            </w:pPr>
          </w:p>
        </w:tc>
        <w:tc>
          <w:tcPr>
            <w:tcW w:w="839"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szCs w:val="21"/>
              </w:rPr>
            </w:pPr>
          </w:p>
        </w:tc>
        <w:tc>
          <w:tcPr>
            <w:tcW w:w="659"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szCs w:val="21"/>
              </w:rPr>
            </w:pPr>
          </w:p>
        </w:tc>
        <w:tc>
          <w:tcPr>
            <w:tcW w:w="1170"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c>
          <w:tcPr>
            <w:tcW w:w="568"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4"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839"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659"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1170" w:type="dxa"/>
            <w:vMerge w:val="restart"/>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839"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659"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1170" w:type="dxa"/>
            <w:vMerge w:val="continue"/>
            <w:tcBorders>
              <w:left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c>
          <w:tcPr>
            <w:tcW w:w="568"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0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gridSpan w:val="3"/>
            <w:tcBorders>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合计</w:t>
            </w:r>
          </w:p>
        </w:tc>
        <w:tc>
          <w:tcPr>
            <w:tcW w:w="1170" w:type="dxa"/>
            <w:tcBorders>
              <w:left w:val="single" w:color="auto" w:sz="4" w:space="0"/>
              <w:bottom w:val="single" w:color="auto" w:sz="4" w:space="0"/>
              <w:right w:val="single" w:color="auto" w:sz="4" w:space="0"/>
            </w:tcBorders>
            <w:noWrap w:val="0"/>
            <w:vAlign w:val="center"/>
          </w:tcPr>
          <w:p>
            <w:pPr>
              <w:overflowPunct w:val="0"/>
              <w:spacing w:line="240" w:lineRule="exact"/>
              <w:jc w:val="left"/>
              <w:rPr>
                <w:rFonts w:hint="default" w:ascii="Times New Roman" w:hAnsi="Times New Roman" w:eastAsia="仿宋_GB2312" w:cs="Times New Roman"/>
                <w:color w:val="000000"/>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rPr>
                <w:rFonts w:hint="default" w:ascii="Times New Roman" w:hAnsi="Times New Roman" w:eastAsia="仿宋_GB2312" w:cs="Times New Roman"/>
                <w:color w:val="000000"/>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rPr>
                <w:rFonts w:hint="default" w:ascii="Times New Roman" w:hAnsi="Times New Roman" w:eastAsia="仿宋_GB2312" w:cs="Times New Roman"/>
                <w:color w:val="000000"/>
                <w:szCs w:val="21"/>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24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24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overflowPunct w:val="0"/>
              <w:spacing w:line="24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rPr>
                <w:rFonts w:hint="default" w:ascii="Times New Roman" w:hAnsi="Times New Roman" w:eastAsia="仿宋_GB2312" w:cs="Times New Roman"/>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rPr>
                <w:rFonts w:hint="default" w:ascii="Times New Roman" w:hAnsi="Times New Roman" w:eastAsia="仿宋_GB2312" w:cs="Times New Roman"/>
                <w:color w:val="000000"/>
                <w:szCs w:val="21"/>
              </w:rPr>
            </w:pPr>
          </w:p>
        </w:tc>
      </w:tr>
    </w:tbl>
    <w:p>
      <w:pPr>
        <w:overflowPunct w:val="0"/>
        <w:spacing w:line="300" w:lineRule="exact"/>
        <w:jc w:val="left"/>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填表人：                联系电话：                      负责人：                  填表时间：  年   月   日</w:t>
      </w:r>
    </w:p>
    <w:p>
      <w:pPr>
        <w:overflowPunct w:val="0"/>
        <w:spacing w:line="300" w:lineRule="exact"/>
        <w:rPr>
          <w:rFonts w:hint="default" w:ascii="Times New Roman" w:hAnsi="Times New Roman" w:eastAsia="仿宋_GB2312" w:cs="Times New Roman"/>
          <w:bCs/>
          <w:color w:val="000000"/>
          <w:spacing w:val="-11"/>
          <w:sz w:val="24"/>
        </w:rPr>
      </w:pPr>
    </w:p>
    <w:p>
      <w:pPr>
        <w:overflowPunct w:val="0"/>
        <w:spacing w:line="300" w:lineRule="exact"/>
        <w:rPr>
          <w:rFonts w:hint="default" w:ascii="Times New Roman" w:hAnsi="Times New Roman" w:eastAsia="仿宋_GB2312" w:cs="Times New Roman"/>
          <w:bCs/>
          <w:color w:val="000000"/>
          <w:spacing w:val="-11"/>
          <w:sz w:val="24"/>
        </w:rPr>
      </w:pPr>
      <w:r>
        <w:rPr>
          <w:rFonts w:hint="default" w:ascii="Times New Roman" w:hAnsi="Times New Roman" w:eastAsia="仿宋_GB2312" w:cs="Times New Roman"/>
          <w:bCs/>
          <w:color w:val="000000"/>
          <w:spacing w:val="-11"/>
          <w:sz w:val="24"/>
        </w:rPr>
        <w:t>填表说明：1.本表填表人为托管人，按照本季度同一托管人托管的所有试点基金实际资金汇入出情况填报。2.托管人应同时向其试点企业所在开发区管委会报送此报表。3.除跨境人民币外，均填报折美元数。汇率应参照上月末外汇管理部门公布的各种货币对美元折算率。4.管理企业类型填写：内资/外资。5.管理企业QFLP试点规模指：试点地区联合工作机制备案的单家管理企业募集境外资金规模，需按照试点地区的不同分别填写，如：在北京备案100万美元，需填写100（北京）（仅实行“余额制”管理企业填写）。6.基金类型填写：公司制/合伙制/契约制。7.单只基金QFLP试点规模指：管理企业发起成立多只试点基金时，其自行分配的单只试点基金募集境外资金规模。8.资金汇出入填写：某季度该托管人所托管的所有基金资金汇出入情况。外汇包括自有外汇和购汇，人民币指跨境人民币，合计填写折美元数。9.净汇入金额=汇入金额-汇出金额；净结汇金额=结汇金额-购汇金额。10.托管人可根据业务情况增减相关行数。</w:t>
      </w:r>
    </w:p>
    <w:p>
      <w:pPr>
        <w:overflowPunct w:val="0"/>
        <w:jc w:val="left"/>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bCs/>
          <w:color w:val="000000"/>
          <w:sz w:val="24"/>
        </w:rPr>
        <w:br w:type="page"/>
      </w:r>
      <w:r>
        <w:rPr>
          <w:rFonts w:hint="default" w:ascii="Times New Roman" w:hAnsi="Times New Roman" w:eastAsia="黑体" w:cs="Times New Roman"/>
          <w:color w:val="000000"/>
          <w:kern w:val="0"/>
          <w:sz w:val="32"/>
          <w:szCs w:val="32"/>
        </w:rPr>
        <w:t>附件2-2</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kern w:val="0"/>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QFLP管理企业向相关管理部门报送报表一</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（截止到20  年第  季度末）</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bCs/>
          <w:color w:val="000000"/>
          <w:sz w:val="44"/>
          <w:szCs w:val="44"/>
        </w:rPr>
      </w:pPr>
    </w:p>
    <w:p>
      <w:pPr>
        <w:overflowPunct w:val="0"/>
        <w:spacing w:line="300" w:lineRule="exact"/>
        <w:jc w:val="left"/>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管理企业名称（公章）：                          管理企业类型：内资/外资                        单位：万美元</w:t>
      </w:r>
    </w:p>
    <w:tbl>
      <w:tblPr>
        <w:tblStyle w:val="8"/>
        <w:tblpPr w:leftFromText="180" w:rightFromText="180" w:vertAnchor="text" w:horzAnchor="page" w:tblpX="1446" w:tblpY="234"/>
        <w:tblOverlap w:val="never"/>
        <w:tblW w:w="14425" w:type="dxa"/>
        <w:tblInd w:w="0" w:type="dxa"/>
        <w:tblLayout w:type="fixed"/>
        <w:tblCellMar>
          <w:top w:w="0" w:type="dxa"/>
          <w:left w:w="108" w:type="dxa"/>
          <w:bottom w:w="0" w:type="dxa"/>
          <w:right w:w="108" w:type="dxa"/>
        </w:tblCellMar>
      </w:tblPr>
      <w:tblGrid>
        <w:gridCol w:w="796"/>
        <w:gridCol w:w="730"/>
        <w:gridCol w:w="1134"/>
        <w:gridCol w:w="850"/>
        <w:gridCol w:w="757"/>
        <w:gridCol w:w="764"/>
        <w:gridCol w:w="804"/>
        <w:gridCol w:w="652"/>
        <w:gridCol w:w="851"/>
        <w:gridCol w:w="992"/>
        <w:gridCol w:w="992"/>
        <w:gridCol w:w="992"/>
        <w:gridCol w:w="851"/>
        <w:gridCol w:w="902"/>
        <w:gridCol w:w="1091"/>
        <w:gridCol w:w="1267"/>
      </w:tblGrid>
      <w:tr>
        <w:tblPrEx>
          <w:tblCellMar>
            <w:top w:w="0" w:type="dxa"/>
            <w:left w:w="108" w:type="dxa"/>
            <w:bottom w:w="0" w:type="dxa"/>
            <w:right w:w="108" w:type="dxa"/>
          </w:tblCellMar>
        </w:tblPrEx>
        <w:trPr>
          <w:trHeight w:val="320"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序号</w:t>
            </w:r>
          </w:p>
        </w:tc>
        <w:tc>
          <w:tcPr>
            <w:tcW w:w="730" w:type="dxa"/>
            <w:vMerge w:val="restart"/>
            <w:tcBorders>
              <w:top w:val="single" w:color="auto" w:sz="4" w:space="0"/>
              <w:left w:val="nil"/>
              <w:bottom w:val="single" w:color="auto" w:sz="4" w:space="0"/>
              <w:right w:val="single" w:color="auto" w:sz="4" w:space="0"/>
            </w:tcBorders>
            <w:shd w:val="clear" w:color="auto" w:fill="FFFFFF"/>
            <w:noWrap w:val="0"/>
            <w:vAlign w:val="center"/>
          </w:tcPr>
          <w:p>
            <w:pPr>
              <w:overflowPunct w:val="0"/>
              <w:spacing w:line="300" w:lineRule="exact"/>
              <w:jc w:val="center"/>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试点基金名称</w:t>
            </w:r>
          </w:p>
        </w:tc>
        <w:tc>
          <w:tcPr>
            <w:tcW w:w="1134" w:type="dxa"/>
            <w:vMerge w:val="restart"/>
            <w:tcBorders>
              <w:top w:val="single" w:color="auto" w:sz="4" w:space="0"/>
              <w:left w:val="nil"/>
              <w:right w:val="single" w:color="auto" w:sz="4" w:space="0"/>
            </w:tcBorders>
            <w:shd w:val="clear" w:color="auto" w:fill="FFFFFF"/>
            <w:noWrap w:val="0"/>
            <w:vAlign w:val="top"/>
          </w:tcPr>
          <w:p>
            <w:pPr>
              <w:overflowPunct w:val="0"/>
              <w:spacing w:line="300" w:lineRule="exact"/>
              <w:jc w:val="center"/>
              <w:rPr>
                <w:rFonts w:hint="default" w:ascii="Times New Roman" w:hAnsi="Times New Roman" w:eastAsia="仿宋_GB2312" w:cs="Times New Roman"/>
                <w:bCs/>
                <w:color w:val="000000"/>
                <w:kern w:val="0"/>
                <w:sz w:val="24"/>
              </w:rPr>
            </w:pPr>
          </w:p>
          <w:p>
            <w:pPr>
              <w:overflowPunct w:val="0"/>
              <w:spacing w:line="300" w:lineRule="exact"/>
              <w:jc w:val="center"/>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单只基金QFLP试点规模（某地区）</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spacing w:line="280" w:lineRule="exact"/>
              <w:jc w:val="center"/>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spacing w:val="-17"/>
                <w:kern w:val="0"/>
                <w:sz w:val="24"/>
              </w:rPr>
              <w:t>已使用</w:t>
            </w:r>
            <w:r>
              <w:rPr>
                <w:rFonts w:hint="default" w:ascii="Times New Roman" w:hAnsi="Times New Roman" w:eastAsia="仿宋_GB2312" w:cs="Times New Roman"/>
                <w:bCs/>
                <w:color w:val="000000"/>
                <w:kern w:val="0"/>
                <w:sz w:val="24"/>
              </w:rPr>
              <w:t>QFLP规模</w:t>
            </w:r>
          </w:p>
        </w:tc>
        <w:tc>
          <w:tcPr>
            <w:tcW w:w="2977" w:type="dxa"/>
            <w:gridSpan w:val="4"/>
            <w:tcBorders>
              <w:top w:val="single" w:color="auto" w:sz="4" w:space="0"/>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color w:val="000000"/>
                <w:szCs w:val="21"/>
              </w:rPr>
              <w:t>资金汇入</w:t>
            </w:r>
          </w:p>
        </w:tc>
        <w:tc>
          <w:tcPr>
            <w:tcW w:w="3827" w:type="dxa"/>
            <w:gridSpan w:val="4"/>
            <w:tcBorders>
              <w:top w:val="single" w:color="auto" w:sz="4" w:space="0"/>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color w:val="000000"/>
                <w:szCs w:val="21"/>
              </w:rPr>
              <w:t>资金汇出</w:t>
            </w:r>
          </w:p>
        </w:tc>
        <w:tc>
          <w:tcPr>
            <w:tcW w:w="4111" w:type="dxa"/>
            <w:gridSpan w:val="4"/>
            <w:tcBorders>
              <w:top w:val="single" w:color="auto" w:sz="4" w:space="0"/>
              <w:left w:val="nil"/>
              <w:bottom w:val="single" w:color="auto" w:sz="4" w:space="0"/>
              <w:right w:val="single" w:color="auto" w:sz="4" w:space="0"/>
            </w:tcBorders>
            <w:shd w:val="clear" w:color="auto" w:fill="FFFFFF"/>
            <w:noWrap w:val="0"/>
            <w:vAlign w:val="top"/>
          </w:tcPr>
          <w:p>
            <w:pPr>
              <w:overflowPunct w:val="0"/>
              <w:jc w:val="center"/>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净汇入</w:t>
            </w:r>
          </w:p>
        </w:tc>
      </w:tr>
      <w:tr>
        <w:tblPrEx>
          <w:tblCellMar>
            <w:top w:w="0" w:type="dxa"/>
            <w:left w:w="108" w:type="dxa"/>
            <w:bottom w:w="0" w:type="dxa"/>
            <w:right w:w="108" w:type="dxa"/>
          </w:tblCellMar>
        </w:tblPrEx>
        <w:trPr>
          <w:trHeight w:val="1612"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overflowPunct w:val="0"/>
              <w:jc w:val="left"/>
              <w:rPr>
                <w:rFonts w:hint="default" w:ascii="Times New Roman" w:hAnsi="Times New Roman" w:eastAsia="仿宋_GB2312" w:cs="Times New Roman"/>
                <w:bCs/>
                <w:color w:val="000000"/>
                <w:kern w:val="0"/>
                <w:sz w:val="24"/>
              </w:rPr>
            </w:pPr>
          </w:p>
        </w:tc>
        <w:tc>
          <w:tcPr>
            <w:tcW w:w="730" w:type="dxa"/>
            <w:vMerge w:val="continue"/>
            <w:tcBorders>
              <w:top w:val="single" w:color="auto" w:sz="4" w:space="0"/>
              <w:left w:val="nil"/>
              <w:bottom w:val="single" w:color="auto" w:sz="4" w:space="0"/>
              <w:right w:val="single" w:color="auto" w:sz="4" w:space="0"/>
            </w:tcBorders>
            <w:shd w:val="clear" w:color="auto" w:fill="auto"/>
            <w:noWrap w:val="0"/>
            <w:vAlign w:val="center"/>
          </w:tcPr>
          <w:p>
            <w:pPr>
              <w:overflowPunct w:val="0"/>
              <w:jc w:val="left"/>
              <w:rPr>
                <w:rFonts w:hint="default" w:ascii="Times New Roman" w:hAnsi="Times New Roman" w:eastAsia="仿宋_GB2312" w:cs="Times New Roman"/>
                <w:bCs/>
                <w:color w:val="000000"/>
                <w:kern w:val="0"/>
                <w:sz w:val="24"/>
              </w:rPr>
            </w:pPr>
          </w:p>
        </w:tc>
        <w:tc>
          <w:tcPr>
            <w:tcW w:w="1134" w:type="dxa"/>
            <w:vMerge w:val="continue"/>
            <w:tcBorders>
              <w:left w:val="nil"/>
              <w:bottom w:val="single" w:color="auto" w:sz="4" w:space="0"/>
              <w:right w:val="single" w:color="auto" w:sz="4" w:space="0"/>
            </w:tcBorders>
            <w:shd w:val="clear" w:color="auto" w:fill="auto"/>
            <w:noWrap w:val="0"/>
            <w:vAlign w:val="top"/>
          </w:tcPr>
          <w:p>
            <w:pPr>
              <w:overflowPunct w:val="0"/>
              <w:jc w:val="left"/>
              <w:rPr>
                <w:rFonts w:hint="default" w:ascii="Times New Roman" w:hAnsi="Times New Roman" w:eastAsia="仿宋_GB2312" w:cs="Times New Roman"/>
                <w:bCs/>
                <w:color w:val="000000"/>
                <w:kern w:val="0"/>
                <w:sz w:val="24"/>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overflowPunct w:val="0"/>
              <w:jc w:val="left"/>
              <w:rPr>
                <w:rFonts w:hint="default" w:ascii="Times New Roman" w:hAnsi="Times New Roman" w:eastAsia="仿宋_GB2312" w:cs="Times New Roman"/>
                <w:bCs/>
                <w:color w:val="000000"/>
                <w:kern w:val="0"/>
                <w:sz w:val="24"/>
              </w:rPr>
            </w:pPr>
          </w:p>
        </w:tc>
        <w:tc>
          <w:tcPr>
            <w:tcW w:w="757" w:type="dxa"/>
            <w:tcBorders>
              <w:top w:val="nil"/>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外汇（①）</w:t>
            </w:r>
          </w:p>
        </w:tc>
        <w:tc>
          <w:tcPr>
            <w:tcW w:w="764" w:type="dxa"/>
            <w:tcBorders>
              <w:top w:val="nil"/>
              <w:left w:val="nil"/>
              <w:bottom w:val="single" w:color="auto" w:sz="4" w:space="0"/>
              <w:right w:val="single" w:color="auto" w:sz="4" w:space="0"/>
            </w:tcBorders>
            <w:shd w:val="clear" w:color="auto" w:fill="FFFFFF"/>
            <w:noWrap w:val="0"/>
            <w:vAlign w:val="top"/>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其中：结汇(⑤)</w:t>
            </w:r>
          </w:p>
        </w:tc>
        <w:tc>
          <w:tcPr>
            <w:tcW w:w="804" w:type="dxa"/>
            <w:tcBorders>
              <w:top w:val="nil"/>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跨境</w:t>
            </w:r>
          </w:p>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人民币（②）</w:t>
            </w:r>
          </w:p>
        </w:tc>
        <w:tc>
          <w:tcPr>
            <w:tcW w:w="652" w:type="dxa"/>
            <w:tcBorders>
              <w:top w:val="nil"/>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合计（①+②）</w:t>
            </w:r>
          </w:p>
        </w:tc>
        <w:tc>
          <w:tcPr>
            <w:tcW w:w="851" w:type="dxa"/>
            <w:tcBorders>
              <w:top w:val="nil"/>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外汇（③）</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其中：购</w:t>
            </w:r>
          </w:p>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汇(⑥)</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跨境人民币(④)</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合计(③+④)</w:t>
            </w:r>
          </w:p>
        </w:tc>
        <w:tc>
          <w:tcPr>
            <w:tcW w:w="851" w:type="dxa"/>
            <w:tcBorders>
              <w:top w:val="single" w:color="auto" w:sz="4" w:space="0"/>
              <w:left w:val="nil"/>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外汇(①-③)</w:t>
            </w:r>
          </w:p>
        </w:tc>
        <w:tc>
          <w:tcPr>
            <w:tcW w:w="902" w:type="dxa"/>
            <w:tcBorders>
              <w:top w:val="single" w:color="auto" w:sz="4" w:space="0"/>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其中：净结汇(⑤-⑥)</w:t>
            </w:r>
          </w:p>
        </w:tc>
        <w:tc>
          <w:tcPr>
            <w:tcW w:w="1091" w:type="dxa"/>
            <w:tcBorders>
              <w:top w:val="single" w:color="auto" w:sz="4" w:space="0"/>
              <w:left w:val="nil"/>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跨境人民币(②-④)</w:t>
            </w:r>
          </w:p>
        </w:tc>
        <w:tc>
          <w:tcPr>
            <w:tcW w:w="1267" w:type="dxa"/>
            <w:tcBorders>
              <w:top w:val="single" w:color="auto" w:sz="4" w:space="0"/>
              <w:left w:val="nil"/>
              <w:bottom w:val="single" w:color="auto" w:sz="4" w:space="0"/>
              <w:right w:val="single" w:color="auto" w:sz="4" w:space="0"/>
            </w:tcBorders>
            <w:noWrap w:val="0"/>
            <w:vAlign w:val="center"/>
          </w:tcPr>
          <w:p>
            <w:pPr>
              <w:overflowPunct w:val="0"/>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合计(①+②_③_④)</w:t>
            </w:r>
          </w:p>
        </w:tc>
      </w:tr>
      <w:tr>
        <w:tblPrEx>
          <w:tblCellMar>
            <w:top w:w="0" w:type="dxa"/>
            <w:left w:w="108" w:type="dxa"/>
            <w:bottom w:w="0" w:type="dxa"/>
            <w:right w:w="108" w:type="dxa"/>
          </w:tblCellMar>
        </w:tblPrEx>
        <w:trPr>
          <w:trHeight w:val="346" w:hRule="atLeast"/>
        </w:trPr>
        <w:tc>
          <w:tcPr>
            <w:tcW w:w="796" w:type="dxa"/>
            <w:tcBorders>
              <w:top w:val="nil"/>
              <w:left w:val="single" w:color="auto" w:sz="4" w:space="0"/>
              <w:bottom w:val="single" w:color="000000"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1</w:t>
            </w:r>
          </w:p>
        </w:tc>
        <w:tc>
          <w:tcPr>
            <w:tcW w:w="730" w:type="dxa"/>
            <w:tcBorders>
              <w:top w:val="nil"/>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1134" w:type="dxa"/>
            <w:tcBorders>
              <w:top w:val="nil"/>
              <w:left w:val="nil"/>
              <w:bottom w:val="single" w:color="auto" w:sz="4" w:space="0"/>
              <w:right w:val="single" w:color="auto" w:sz="4" w:space="0"/>
            </w:tcBorders>
            <w:shd w:val="clear" w:color="auto" w:fill="auto"/>
            <w:noWrap w:val="0"/>
            <w:vAlign w:val="top"/>
          </w:tcPr>
          <w:p>
            <w:pPr>
              <w:overflowPunct w:val="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Cs/>
                <w:color w:val="000000"/>
                <w:kern w:val="0"/>
                <w:szCs w:val="21"/>
              </w:rPr>
              <w:t>如：</w:t>
            </w:r>
            <w:r>
              <w:rPr>
                <w:rFonts w:hint="default" w:ascii="Times New Roman" w:hAnsi="Times New Roman" w:eastAsia="仿宋_GB2312" w:cs="Times New Roman"/>
                <w:color w:val="000000"/>
                <w:kern w:val="0"/>
                <w:sz w:val="24"/>
              </w:rPr>
              <w:t>100（北京）</w:t>
            </w:r>
          </w:p>
        </w:tc>
        <w:tc>
          <w:tcPr>
            <w:tcW w:w="850" w:type="dxa"/>
            <w:tcBorders>
              <w:top w:val="nil"/>
              <w:left w:val="single" w:color="auto" w:sz="4" w:space="0"/>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color w:val="000000"/>
                <w:kern w:val="0"/>
                <w:sz w:val="24"/>
              </w:rPr>
            </w:pPr>
          </w:p>
        </w:tc>
        <w:tc>
          <w:tcPr>
            <w:tcW w:w="757" w:type="dxa"/>
            <w:tcBorders>
              <w:top w:val="nil"/>
              <w:left w:val="nil"/>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color w:val="000000"/>
                <w:kern w:val="0"/>
                <w:sz w:val="24"/>
              </w:rPr>
            </w:pPr>
          </w:p>
        </w:tc>
        <w:tc>
          <w:tcPr>
            <w:tcW w:w="764" w:type="dxa"/>
            <w:tcBorders>
              <w:top w:val="nil"/>
              <w:left w:val="nil"/>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color w:val="000000"/>
                <w:kern w:val="0"/>
                <w:sz w:val="24"/>
              </w:rPr>
            </w:pPr>
          </w:p>
        </w:tc>
        <w:tc>
          <w:tcPr>
            <w:tcW w:w="804" w:type="dxa"/>
            <w:tcBorders>
              <w:top w:val="nil"/>
              <w:left w:val="nil"/>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color w:val="000000"/>
                <w:kern w:val="0"/>
                <w:sz w:val="24"/>
              </w:rPr>
            </w:pPr>
          </w:p>
        </w:tc>
        <w:tc>
          <w:tcPr>
            <w:tcW w:w="652" w:type="dxa"/>
            <w:tcBorders>
              <w:top w:val="nil"/>
              <w:left w:val="nil"/>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color w:val="000000"/>
                <w:kern w:val="0"/>
                <w:sz w:val="24"/>
              </w:rPr>
            </w:pPr>
          </w:p>
        </w:tc>
        <w:tc>
          <w:tcPr>
            <w:tcW w:w="851" w:type="dxa"/>
            <w:tcBorders>
              <w:top w:val="nil"/>
              <w:left w:val="nil"/>
              <w:bottom w:val="single" w:color="auto" w:sz="4" w:space="0"/>
              <w:right w:val="nil"/>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single" w:color="auto" w:sz="4" w:space="0"/>
              <w:left w:val="single" w:color="auto" w:sz="4" w:space="0"/>
              <w:bottom w:val="single" w:color="auto" w:sz="4" w:space="0"/>
              <w:right w:val="nil"/>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851" w:type="dxa"/>
            <w:tcBorders>
              <w:top w:val="nil"/>
              <w:left w:val="nil"/>
              <w:bottom w:val="single" w:color="auto" w:sz="4" w:space="0"/>
              <w:right w:val="single" w:color="auto" w:sz="4" w:space="0"/>
            </w:tcBorders>
            <w:shd w:val="clear" w:color="auto" w:fill="FFFFFF"/>
            <w:noWrap w:val="0"/>
            <w:vAlign w:val="top"/>
          </w:tcPr>
          <w:p>
            <w:pPr>
              <w:overflowPunct w:val="0"/>
              <w:jc w:val="center"/>
              <w:rPr>
                <w:rFonts w:hint="default" w:ascii="Times New Roman" w:hAnsi="Times New Roman" w:eastAsia="仿宋_GB2312" w:cs="Times New Roman"/>
                <w:color w:val="000000"/>
                <w:kern w:val="0"/>
                <w:sz w:val="24"/>
              </w:rPr>
            </w:pPr>
          </w:p>
        </w:tc>
        <w:tc>
          <w:tcPr>
            <w:tcW w:w="902" w:type="dxa"/>
            <w:tcBorders>
              <w:top w:val="nil"/>
              <w:left w:val="nil"/>
              <w:bottom w:val="single" w:color="auto" w:sz="4" w:space="0"/>
              <w:right w:val="single" w:color="auto" w:sz="4" w:space="0"/>
            </w:tcBorders>
            <w:shd w:val="clear" w:color="auto" w:fill="FFFFFF"/>
            <w:noWrap w:val="0"/>
            <w:vAlign w:val="top"/>
          </w:tcPr>
          <w:p>
            <w:pPr>
              <w:overflowPunct w:val="0"/>
              <w:jc w:val="center"/>
              <w:rPr>
                <w:rFonts w:hint="default" w:ascii="Times New Roman" w:hAnsi="Times New Roman" w:eastAsia="仿宋_GB2312" w:cs="Times New Roman"/>
                <w:color w:val="000000"/>
                <w:kern w:val="0"/>
                <w:sz w:val="24"/>
              </w:rPr>
            </w:pPr>
          </w:p>
        </w:tc>
        <w:tc>
          <w:tcPr>
            <w:tcW w:w="1091" w:type="dxa"/>
            <w:tcBorders>
              <w:top w:val="nil"/>
              <w:left w:val="nil"/>
              <w:bottom w:val="single" w:color="auto" w:sz="4" w:space="0"/>
              <w:right w:val="single" w:color="auto" w:sz="4" w:space="0"/>
            </w:tcBorders>
            <w:shd w:val="clear" w:color="auto" w:fill="FFFFFF"/>
            <w:noWrap w:val="0"/>
            <w:vAlign w:val="top"/>
          </w:tcPr>
          <w:p>
            <w:pPr>
              <w:overflowPunct w:val="0"/>
              <w:jc w:val="center"/>
              <w:rPr>
                <w:rFonts w:hint="default" w:ascii="Times New Roman" w:hAnsi="Times New Roman" w:eastAsia="仿宋_GB2312" w:cs="Times New Roman"/>
                <w:color w:val="000000"/>
                <w:kern w:val="0"/>
                <w:sz w:val="24"/>
              </w:rPr>
            </w:pPr>
          </w:p>
        </w:tc>
        <w:tc>
          <w:tcPr>
            <w:tcW w:w="1267" w:type="dxa"/>
            <w:tcBorders>
              <w:top w:val="nil"/>
              <w:left w:val="nil"/>
              <w:bottom w:val="single" w:color="auto" w:sz="4" w:space="0"/>
              <w:right w:val="single" w:color="auto" w:sz="4" w:space="0"/>
            </w:tcBorders>
            <w:shd w:val="clear" w:color="auto" w:fill="FFFFFF"/>
            <w:noWrap w:val="0"/>
            <w:vAlign w:val="top"/>
          </w:tcPr>
          <w:p>
            <w:pPr>
              <w:overflowPunct w:val="0"/>
              <w:jc w:val="center"/>
              <w:rPr>
                <w:rFonts w:hint="default" w:ascii="Times New Roman" w:hAnsi="Times New Roman" w:eastAsia="仿宋_GB2312" w:cs="Times New Roman"/>
                <w:color w:val="000000"/>
                <w:kern w:val="0"/>
                <w:sz w:val="24"/>
              </w:rPr>
            </w:pPr>
          </w:p>
        </w:tc>
      </w:tr>
      <w:tr>
        <w:trPr>
          <w:trHeight w:val="346" w:hRule="atLeast"/>
        </w:trPr>
        <w:tc>
          <w:tcPr>
            <w:tcW w:w="796" w:type="dxa"/>
            <w:tcBorders>
              <w:top w:val="nil"/>
              <w:left w:val="single" w:color="auto" w:sz="4" w:space="0"/>
              <w:bottom w:val="single" w:color="000000"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2</w:t>
            </w:r>
          </w:p>
        </w:tc>
        <w:tc>
          <w:tcPr>
            <w:tcW w:w="730" w:type="dxa"/>
            <w:tcBorders>
              <w:top w:val="nil"/>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1134" w:type="dxa"/>
            <w:tcBorders>
              <w:top w:val="nil"/>
              <w:left w:val="nil"/>
              <w:bottom w:val="single" w:color="auto" w:sz="4" w:space="0"/>
              <w:right w:val="single" w:color="auto" w:sz="4" w:space="0"/>
            </w:tcBorders>
            <w:shd w:val="clear" w:color="auto" w:fill="auto"/>
            <w:noWrap w:val="0"/>
            <w:vAlign w:val="top"/>
          </w:tcPr>
          <w:p>
            <w:pPr>
              <w:overflowPunct w:val="0"/>
              <w:jc w:val="center"/>
              <w:rPr>
                <w:rFonts w:hint="default" w:ascii="Times New Roman" w:hAnsi="Times New Roman" w:eastAsia="仿宋_GB2312" w:cs="Times New Roman"/>
                <w:color w:val="000000"/>
                <w:kern w:val="0"/>
                <w:sz w:val="24"/>
              </w:rPr>
            </w:pPr>
          </w:p>
        </w:tc>
        <w:tc>
          <w:tcPr>
            <w:tcW w:w="850" w:type="dxa"/>
            <w:tcBorders>
              <w:top w:val="nil"/>
              <w:left w:val="single" w:color="auto" w:sz="4" w:space="0"/>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color w:val="000000"/>
                <w:kern w:val="0"/>
                <w:sz w:val="24"/>
              </w:rPr>
            </w:pPr>
          </w:p>
        </w:tc>
        <w:tc>
          <w:tcPr>
            <w:tcW w:w="757" w:type="dxa"/>
            <w:tcBorders>
              <w:top w:val="nil"/>
              <w:left w:val="nil"/>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color w:val="000000"/>
                <w:kern w:val="0"/>
                <w:sz w:val="24"/>
              </w:rPr>
            </w:pPr>
          </w:p>
        </w:tc>
        <w:tc>
          <w:tcPr>
            <w:tcW w:w="764" w:type="dxa"/>
            <w:tcBorders>
              <w:top w:val="nil"/>
              <w:left w:val="nil"/>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color w:val="000000"/>
                <w:kern w:val="0"/>
                <w:sz w:val="24"/>
              </w:rPr>
            </w:pPr>
          </w:p>
        </w:tc>
        <w:tc>
          <w:tcPr>
            <w:tcW w:w="804" w:type="dxa"/>
            <w:tcBorders>
              <w:top w:val="nil"/>
              <w:left w:val="nil"/>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color w:val="000000"/>
                <w:kern w:val="0"/>
                <w:sz w:val="24"/>
              </w:rPr>
            </w:pPr>
          </w:p>
        </w:tc>
        <w:tc>
          <w:tcPr>
            <w:tcW w:w="652" w:type="dxa"/>
            <w:tcBorders>
              <w:top w:val="nil"/>
              <w:left w:val="nil"/>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color w:val="000000"/>
                <w:kern w:val="0"/>
                <w:sz w:val="24"/>
              </w:rPr>
            </w:pPr>
          </w:p>
        </w:tc>
        <w:tc>
          <w:tcPr>
            <w:tcW w:w="851" w:type="dxa"/>
            <w:tcBorders>
              <w:top w:val="nil"/>
              <w:left w:val="nil"/>
              <w:bottom w:val="single" w:color="auto" w:sz="4" w:space="0"/>
              <w:right w:val="nil"/>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nil"/>
              <w:left w:val="single" w:color="auto" w:sz="4" w:space="0"/>
              <w:bottom w:val="single" w:color="auto" w:sz="4" w:space="0"/>
              <w:right w:val="nil"/>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nil"/>
              <w:left w:val="single" w:color="auto" w:sz="4" w:space="0"/>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851" w:type="dxa"/>
            <w:tcBorders>
              <w:top w:val="nil"/>
              <w:left w:val="nil"/>
              <w:bottom w:val="single" w:color="auto" w:sz="4" w:space="0"/>
              <w:right w:val="single" w:color="auto" w:sz="4" w:space="0"/>
            </w:tcBorders>
            <w:shd w:val="clear" w:color="auto" w:fill="FFFFFF"/>
            <w:noWrap w:val="0"/>
            <w:vAlign w:val="top"/>
          </w:tcPr>
          <w:p>
            <w:pPr>
              <w:overflowPunct w:val="0"/>
              <w:jc w:val="center"/>
              <w:rPr>
                <w:rFonts w:hint="default" w:ascii="Times New Roman" w:hAnsi="Times New Roman" w:eastAsia="仿宋_GB2312" w:cs="Times New Roman"/>
                <w:color w:val="000000"/>
                <w:kern w:val="0"/>
                <w:sz w:val="24"/>
              </w:rPr>
            </w:pPr>
          </w:p>
        </w:tc>
        <w:tc>
          <w:tcPr>
            <w:tcW w:w="902" w:type="dxa"/>
            <w:tcBorders>
              <w:top w:val="nil"/>
              <w:left w:val="nil"/>
              <w:bottom w:val="single" w:color="auto" w:sz="4" w:space="0"/>
              <w:right w:val="single" w:color="auto" w:sz="4" w:space="0"/>
            </w:tcBorders>
            <w:shd w:val="clear" w:color="auto" w:fill="FFFFFF"/>
            <w:noWrap w:val="0"/>
            <w:vAlign w:val="top"/>
          </w:tcPr>
          <w:p>
            <w:pPr>
              <w:overflowPunct w:val="0"/>
              <w:jc w:val="center"/>
              <w:rPr>
                <w:rFonts w:hint="default" w:ascii="Times New Roman" w:hAnsi="Times New Roman" w:eastAsia="仿宋_GB2312" w:cs="Times New Roman"/>
                <w:color w:val="000000"/>
                <w:kern w:val="0"/>
                <w:sz w:val="24"/>
              </w:rPr>
            </w:pPr>
          </w:p>
        </w:tc>
        <w:tc>
          <w:tcPr>
            <w:tcW w:w="1091" w:type="dxa"/>
            <w:tcBorders>
              <w:top w:val="nil"/>
              <w:left w:val="nil"/>
              <w:bottom w:val="single" w:color="auto" w:sz="4" w:space="0"/>
              <w:right w:val="single" w:color="auto" w:sz="4" w:space="0"/>
            </w:tcBorders>
            <w:shd w:val="clear" w:color="auto" w:fill="FFFFFF"/>
            <w:noWrap w:val="0"/>
            <w:vAlign w:val="top"/>
          </w:tcPr>
          <w:p>
            <w:pPr>
              <w:overflowPunct w:val="0"/>
              <w:jc w:val="center"/>
              <w:rPr>
                <w:rFonts w:hint="default" w:ascii="Times New Roman" w:hAnsi="Times New Roman" w:eastAsia="仿宋_GB2312" w:cs="Times New Roman"/>
                <w:color w:val="000000"/>
                <w:kern w:val="0"/>
                <w:sz w:val="24"/>
              </w:rPr>
            </w:pPr>
          </w:p>
        </w:tc>
        <w:tc>
          <w:tcPr>
            <w:tcW w:w="1267" w:type="dxa"/>
            <w:tcBorders>
              <w:top w:val="nil"/>
              <w:left w:val="nil"/>
              <w:bottom w:val="single" w:color="auto" w:sz="4" w:space="0"/>
              <w:right w:val="single" w:color="auto" w:sz="4" w:space="0"/>
            </w:tcBorders>
            <w:shd w:val="clear" w:color="auto" w:fill="FFFFFF"/>
            <w:noWrap w:val="0"/>
            <w:vAlign w:val="top"/>
          </w:tcPr>
          <w:p>
            <w:pPr>
              <w:overflowPunct w:val="0"/>
              <w:jc w:val="center"/>
              <w:rPr>
                <w:rFonts w:hint="default"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346" w:hRule="atLeast"/>
        </w:trPr>
        <w:tc>
          <w:tcPr>
            <w:tcW w:w="796" w:type="dxa"/>
            <w:tcBorders>
              <w:top w:val="nil"/>
              <w:left w:val="single" w:color="auto" w:sz="4" w:space="0"/>
              <w:bottom w:val="single" w:color="000000" w:sz="4" w:space="0"/>
              <w:right w:val="single" w:color="auto" w:sz="4" w:space="0"/>
            </w:tcBorders>
            <w:noWrap w:val="0"/>
            <w:vAlign w:val="center"/>
          </w:tcPr>
          <w:p>
            <w:pPr>
              <w:overflowPunct w:val="0"/>
              <w:jc w:val="center"/>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3</w:t>
            </w:r>
          </w:p>
        </w:tc>
        <w:tc>
          <w:tcPr>
            <w:tcW w:w="730"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1134"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850" w:type="dxa"/>
            <w:tcBorders>
              <w:top w:val="nil"/>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757"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764"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804"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652"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851"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single" w:color="auto" w:sz="4" w:space="0"/>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851"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902"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091"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267"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346" w:hRule="atLeast"/>
        </w:trPr>
        <w:tc>
          <w:tcPr>
            <w:tcW w:w="796" w:type="dxa"/>
            <w:tcBorders>
              <w:top w:val="nil"/>
              <w:left w:val="single" w:color="auto" w:sz="4" w:space="0"/>
              <w:bottom w:val="single" w:color="000000" w:sz="4" w:space="0"/>
              <w:right w:val="single" w:color="auto" w:sz="4" w:space="0"/>
            </w:tcBorders>
            <w:noWrap w:val="0"/>
            <w:vAlign w:val="center"/>
          </w:tcPr>
          <w:p>
            <w:pPr>
              <w:overflowPunct w:val="0"/>
              <w:jc w:val="center"/>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color w:val="000000"/>
                <w:kern w:val="0"/>
                <w:sz w:val="24"/>
              </w:rPr>
              <w:t>…</w:t>
            </w:r>
          </w:p>
        </w:tc>
        <w:tc>
          <w:tcPr>
            <w:tcW w:w="730"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1134"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850" w:type="dxa"/>
            <w:tcBorders>
              <w:top w:val="nil"/>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757"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764"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804"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652"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851"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851"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902"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091"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267"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385" w:hRule="atLeast"/>
        </w:trPr>
        <w:tc>
          <w:tcPr>
            <w:tcW w:w="1526" w:type="dxa"/>
            <w:gridSpan w:val="2"/>
            <w:tcBorders>
              <w:top w:val="nil"/>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合计</w:t>
            </w:r>
          </w:p>
        </w:tc>
        <w:tc>
          <w:tcPr>
            <w:tcW w:w="1134"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850" w:type="dxa"/>
            <w:tcBorders>
              <w:top w:val="nil"/>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757"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764"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804"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652"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851"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992" w:type="dxa"/>
            <w:tcBorders>
              <w:top w:val="nil"/>
              <w:left w:val="nil"/>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851"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902"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091"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267" w:type="dxa"/>
            <w:tcBorders>
              <w:top w:val="nil"/>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r>
    </w:tbl>
    <w:p>
      <w:pPr>
        <w:overflowPunct w:val="0"/>
        <w:adjustRightInd w:val="0"/>
        <w:snapToGrid w:val="0"/>
        <w:spacing w:line="360" w:lineRule="auto"/>
        <w:rPr>
          <w:rFonts w:hint="default" w:ascii="Times New Roman" w:hAnsi="Times New Roman" w:eastAsia="仿宋_GB2312" w:cs="Times New Roman"/>
          <w:color w:val="000000"/>
          <w:sz w:val="24"/>
        </w:rPr>
      </w:pPr>
      <w:r>
        <w:rPr>
          <w:rFonts w:hint="default" w:ascii="Times New Roman" w:hAnsi="Times New Roman" w:eastAsia="仿宋_GB2312" w:cs="Times New Roman"/>
          <w:bCs/>
          <w:color w:val="000000"/>
          <w:sz w:val="24"/>
        </w:rPr>
        <w:t>填表人：                  联系电话：               负责人：（签章）              填表时间：  年   月   日</w:t>
      </w:r>
      <w:r>
        <w:rPr>
          <w:rFonts w:hint="default" w:ascii="Times New Roman" w:hAnsi="Times New Roman" w:eastAsia="仿宋_GB2312" w:cs="Times New Roman"/>
          <w:color w:val="000000"/>
          <w:sz w:val="24"/>
        </w:rPr>
        <w:t xml:space="preserve">   </w:t>
      </w:r>
    </w:p>
    <w:p>
      <w:pPr>
        <w:overflowPunct w:val="0"/>
        <w:spacing w:line="300" w:lineRule="exact"/>
        <w:rPr>
          <w:rFonts w:hint="default" w:ascii="Times New Roman" w:hAnsi="Times New Roman" w:eastAsia="仿宋_GB2312" w:cs="Times New Roman"/>
          <w:bCs/>
          <w:color w:val="000000"/>
          <w:spacing w:val="-11"/>
          <w:sz w:val="24"/>
        </w:rPr>
      </w:pPr>
      <w:r>
        <w:rPr>
          <w:rFonts w:hint="default" w:ascii="Times New Roman" w:hAnsi="Times New Roman" w:eastAsia="仿宋_GB2312" w:cs="Times New Roman"/>
          <w:bCs/>
          <w:color w:val="000000"/>
          <w:spacing w:val="-11"/>
          <w:sz w:val="24"/>
        </w:rPr>
        <w:t>填表说明：1.本表填表人为管理企业。2.管理企业应同时向其试点企业所在开发区管委会报送此报表。3.除跨境人民币外，均填报折美元数。汇率应参照上月末外汇管理部门公布的各种货币对美元折算率表。4.单只基金QFLP试点规模（某地区）指：管理企业在同一试点地区发起成立多只试点基金时，其自行分配的单只基金募集境外资金规模，并需按试点地区的不同分别填写，如：在北京备案规模100万美元，需填写100（北京）（仅实行“余额制”管理企业填写）。5.已使用QFLP规模指：该试点基金本、外币净汇入金额（包括本金和资本利得）减去股息、利润、分红、税费等经常项目收支，数值不得小于零（仅实行“余额制”管理企业填写）。6.资金汇出入填写：该试点基金累计资金汇入出情况。外汇包括自有外汇和购汇，人民币指跨境人民币，合计填写折美元数。7.净汇入金额=汇入金额-汇出资金额；净结汇金额=结汇金额-购汇金额。8.管理企业可根据业务情况增减相关行数。</w:t>
      </w:r>
    </w:p>
    <w:p>
      <w:pPr>
        <w:overflowPunct w:val="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br w:type="page"/>
      </w:r>
    </w:p>
    <w:p>
      <w:pPr>
        <w:keepNext w:val="0"/>
        <w:keepLines w:val="0"/>
        <w:pageBreakBefore w:val="0"/>
        <w:widowControl w:val="0"/>
        <w:kinsoku/>
        <w:wordWrap/>
        <w:overflowPunct w:val="0"/>
        <w:topLinePunct w:val="0"/>
        <w:bidi w:val="0"/>
        <w:adjustRightInd/>
        <w:snapToGrid/>
        <w:spacing w:line="560" w:lineRule="exac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附件2-3</w:t>
      </w:r>
    </w:p>
    <w:p>
      <w:pPr>
        <w:keepNext w:val="0"/>
        <w:keepLines w:val="0"/>
        <w:pageBreakBefore w:val="0"/>
        <w:widowControl w:val="0"/>
        <w:kinsoku/>
        <w:wordWrap/>
        <w:overflowPunct w:val="0"/>
        <w:topLinePunct w:val="0"/>
        <w:bidi w:val="0"/>
        <w:adjustRightInd/>
        <w:snapToGrid/>
        <w:spacing w:line="560" w:lineRule="exact"/>
        <w:textAlignment w:val="auto"/>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val="0"/>
        <w:topLinePunct w:val="0"/>
        <w:bidi w:val="0"/>
        <w:adjustRightInd/>
        <w:snapToGrid/>
        <w:spacing w:line="560" w:lineRule="exact"/>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QFLP管理企业向相关管理部门报送报表二</w:t>
      </w:r>
    </w:p>
    <w:p>
      <w:pPr>
        <w:keepNext w:val="0"/>
        <w:keepLines w:val="0"/>
        <w:pageBreakBefore w:val="0"/>
        <w:widowControl w:val="0"/>
        <w:kinsoku/>
        <w:wordWrap/>
        <w:overflowPunct w:val="0"/>
        <w:topLinePunct w:val="0"/>
        <w:bidi w:val="0"/>
        <w:adjustRightInd/>
        <w:snapToGrid/>
        <w:spacing w:line="560" w:lineRule="exact"/>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（截止到20  年第  季度末）</w:t>
      </w:r>
    </w:p>
    <w:p>
      <w:pPr>
        <w:keepNext w:val="0"/>
        <w:keepLines w:val="0"/>
        <w:pageBreakBefore w:val="0"/>
        <w:widowControl w:val="0"/>
        <w:kinsoku/>
        <w:wordWrap/>
        <w:overflowPunct w:val="0"/>
        <w:topLinePunct w:val="0"/>
        <w:autoSpaceDE w:val="0"/>
        <w:autoSpaceDN w:val="0"/>
        <w:bidi w:val="0"/>
        <w:adjustRightInd/>
        <w:snapToGrid/>
        <w:spacing w:line="560" w:lineRule="exact"/>
        <w:jc w:val="left"/>
        <w:textAlignment w:val="auto"/>
        <w:rPr>
          <w:rFonts w:hint="default" w:ascii="Times New Roman" w:hAnsi="Times New Roman" w:cs="Times New Roman"/>
          <w:color w:val="000000"/>
          <w:kern w:val="0"/>
          <w:szCs w:val="32"/>
        </w:rPr>
      </w:pPr>
    </w:p>
    <w:p>
      <w:pPr>
        <w:overflowPunct w:val="0"/>
        <w:spacing w:line="300" w:lineRule="exact"/>
        <w:jc w:val="left"/>
        <w:rPr>
          <w:rFonts w:hint="default" w:ascii="Times New Roman" w:hAnsi="Times New Roman" w:eastAsia="仿宋_GB2312" w:cs="Times New Roman"/>
          <w:bCs/>
          <w:color w:val="000000"/>
          <w:sz w:val="24"/>
        </w:rPr>
      </w:pPr>
      <w:r>
        <w:rPr>
          <w:rFonts w:hint="default" w:ascii="Times New Roman" w:hAnsi="Times New Roman" w:eastAsia="黑体" w:cs="Times New Roman"/>
          <w:bCs/>
          <w:color w:val="000000"/>
          <w:sz w:val="24"/>
        </w:rPr>
        <w:t>管理企业名称（公章）：                        管理企业类型：内资/外资                        单位：万美元</w:t>
      </w:r>
      <w:r>
        <w:rPr>
          <w:rFonts w:hint="default" w:ascii="Times New Roman" w:hAnsi="Times New Roman" w:eastAsia="仿宋_GB2312" w:cs="Times New Roman"/>
          <w:bCs/>
          <w:color w:val="000000"/>
          <w:sz w:val="24"/>
        </w:rPr>
        <w:t xml:space="preserve"> </w:t>
      </w:r>
    </w:p>
    <w:tbl>
      <w:tblPr>
        <w:tblStyle w:val="8"/>
        <w:tblpPr w:leftFromText="180" w:rightFromText="180" w:vertAnchor="text" w:horzAnchor="page" w:tblpX="1559" w:tblpY="216"/>
        <w:tblOverlap w:val="never"/>
        <w:tblW w:w="14050" w:type="dxa"/>
        <w:tblInd w:w="0" w:type="dxa"/>
        <w:tblLayout w:type="fixed"/>
        <w:tblCellMar>
          <w:top w:w="0" w:type="dxa"/>
          <w:left w:w="108" w:type="dxa"/>
          <w:bottom w:w="0" w:type="dxa"/>
          <w:right w:w="108" w:type="dxa"/>
        </w:tblCellMar>
      </w:tblPr>
      <w:tblGrid>
        <w:gridCol w:w="493"/>
        <w:gridCol w:w="911"/>
        <w:gridCol w:w="750"/>
        <w:gridCol w:w="1396"/>
        <w:gridCol w:w="1039"/>
        <w:gridCol w:w="1511"/>
        <w:gridCol w:w="1720"/>
        <w:gridCol w:w="2377"/>
        <w:gridCol w:w="1511"/>
        <w:gridCol w:w="1200"/>
        <w:gridCol w:w="1142"/>
      </w:tblGrid>
      <w:tr>
        <w:tblPrEx>
          <w:tblCellMar>
            <w:top w:w="0" w:type="dxa"/>
            <w:left w:w="108" w:type="dxa"/>
            <w:bottom w:w="0" w:type="dxa"/>
            <w:right w:w="108" w:type="dxa"/>
          </w:tblCellMar>
        </w:tblPrEx>
        <w:trPr>
          <w:trHeight w:val="1145"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overflowPunct w:val="0"/>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序号</w:t>
            </w:r>
          </w:p>
        </w:tc>
        <w:tc>
          <w:tcPr>
            <w:tcW w:w="911" w:type="dxa"/>
            <w:tcBorders>
              <w:top w:val="single" w:color="auto" w:sz="4" w:space="0"/>
              <w:left w:val="nil"/>
              <w:bottom w:val="single" w:color="auto" w:sz="4" w:space="0"/>
              <w:right w:val="single" w:color="auto" w:sz="4" w:space="0"/>
            </w:tcBorders>
            <w:noWrap w:val="0"/>
            <w:vAlign w:val="center"/>
          </w:tcPr>
          <w:p>
            <w:pPr>
              <w:overflowPunct w:val="0"/>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试点基金名称</w:t>
            </w:r>
          </w:p>
        </w:tc>
        <w:tc>
          <w:tcPr>
            <w:tcW w:w="750" w:type="dxa"/>
            <w:tcBorders>
              <w:top w:val="single" w:color="auto" w:sz="4" w:space="0"/>
              <w:left w:val="nil"/>
              <w:bottom w:val="single" w:color="auto" w:sz="4" w:space="0"/>
              <w:right w:val="single" w:color="auto" w:sz="4" w:space="0"/>
            </w:tcBorders>
            <w:noWrap w:val="0"/>
            <w:vAlign w:val="top"/>
          </w:tcPr>
          <w:p>
            <w:pPr>
              <w:overflowPunct w:val="0"/>
              <w:rPr>
                <w:rFonts w:hint="default" w:ascii="Times New Roman" w:hAnsi="Times New Roman" w:eastAsia="仿宋_GB2312" w:cs="Times New Roman"/>
                <w:bCs/>
                <w:color w:val="000000"/>
                <w:kern w:val="0"/>
                <w:szCs w:val="21"/>
              </w:rPr>
            </w:pPr>
          </w:p>
          <w:p>
            <w:pPr>
              <w:overflowPunct w:val="0"/>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组织形式</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overflowPunct w:val="0"/>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单只基金QFLP试点规模（某地区）</w:t>
            </w:r>
          </w:p>
        </w:tc>
        <w:tc>
          <w:tcPr>
            <w:tcW w:w="1039" w:type="dxa"/>
            <w:tcBorders>
              <w:top w:val="single" w:color="auto" w:sz="4" w:space="0"/>
              <w:left w:val="nil"/>
              <w:right w:val="single" w:color="auto" w:sz="4" w:space="0"/>
            </w:tcBorders>
            <w:noWrap w:val="0"/>
            <w:vAlign w:val="top"/>
          </w:tcPr>
          <w:p>
            <w:pPr>
              <w:overflowPunct w:val="0"/>
              <w:rPr>
                <w:rFonts w:hint="default" w:ascii="Times New Roman" w:hAnsi="Times New Roman" w:eastAsia="仿宋_GB2312" w:cs="Times New Roman"/>
                <w:bCs/>
                <w:color w:val="000000"/>
                <w:kern w:val="0"/>
                <w:szCs w:val="21"/>
              </w:rPr>
            </w:pPr>
          </w:p>
          <w:p>
            <w:pPr>
              <w:overflowPunct w:val="0"/>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托管人名称</w:t>
            </w:r>
          </w:p>
        </w:tc>
        <w:tc>
          <w:tcPr>
            <w:tcW w:w="1511" w:type="dxa"/>
            <w:tcBorders>
              <w:top w:val="single" w:color="auto" w:sz="4" w:space="0"/>
              <w:left w:val="single" w:color="auto" w:sz="4" w:space="0"/>
              <w:right w:val="single" w:color="auto" w:sz="4" w:space="0"/>
            </w:tcBorders>
            <w:noWrap w:val="0"/>
            <w:vAlign w:val="top"/>
          </w:tcPr>
          <w:p>
            <w:pPr>
              <w:overflowPunct w:val="0"/>
              <w:rPr>
                <w:rFonts w:hint="default" w:ascii="Times New Roman" w:hAnsi="Times New Roman" w:eastAsia="仿宋_GB2312" w:cs="Times New Roman"/>
                <w:bCs/>
                <w:color w:val="000000"/>
                <w:kern w:val="0"/>
                <w:szCs w:val="21"/>
              </w:rPr>
            </w:pPr>
          </w:p>
          <w:p>
            <w:pPr>
              <w:overflowPunct w:val="0"/>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募集境外资金来源</w:t>
            </w:r>
          </w:p>
        </w:tc>
        <w:tc>
          <w:tcPr>
            <w:tcW w:w="1720" w:type="dxa"/>
            <w:tcBorders>
              <w:top w:val="single" w:color="auto" w:sz="4" w:space="0"/>
              <w:left w:val="single" w:color="auto" w:sz="4" w:space="0"/>
              <w:right w:val="nil"/>
            </w:tcBorders>
            <w:noWrap w:val="0"/>
            <w:vAlign w:val="top"/>
          </w:tcPr>
          <w:p>
            <w:pPr>
              <w:overflowPunct w:val="0"/>
              <w:rPr>
                <w:rFonts w:hint="default" w:ascii="Times New Roman" w:hAnsi="Times New Roman" w:eastAsia="仿宋_GB2312" w:cs="Times New Roman"/>
                <w:bCs/>
                <w:color w:val="000000"/>
                <w:kern w:val="0"/>
                <w:szCs w:val="21"/>
              </w:rPr>
            </w:pPr>
          </w:p>
          <w:p>
            <w:pPr>
              <w:overflowPunct w:val="0"/>
              <w:ind w:firstLine="210" w:firstLineChars="100"/>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投向分类</w:t>
            </w:r>
          </w:p>
        </w:tc>
        <w:tc>
          <w:tcPr>
            <w:tcW w:w="3888" w:type="dxa"/>
            <w:gridSpan w:val="2"/>
            <w:tcBorders>
              <w:top w:val="single" w:color="auto" w:sz="4" w:space="0"/>
              <w:left w:val="single" w:color="auto" w:sz="4" w:space="0"/>
              <w:right w:val="nil"/>
            </w:tcBorders>
            <w:noWrap w:val="0"/>
            <w:vAlign w:val="top"/>
          </w:tcPr>
          <w:p>
            <w:pPr>
              <w:overflowPunct w:val="0"/>
              <w:rPr>
                <w:rFonts w:hint="default" w:ascii="Times New Roman" w:hAnsi="Times New Roman" w:eastAsia="仿宋_GB2312" w:cs="Times New Roman"/>
                <w:bCs/>
                <w:color w:val="000000"/>
                <w:kern w:val="0"/>
                <w:szCs w:val="21"/>
              </w:rPr>
            </w:pPr>
          </w:p>
          <w:p>
            <w:pPr>
              <w:overflowPunct w:val="0"/>
              <w:ind w:firstLine="1050" w:firstLineChars="500"/>
              <w:rPr>
                <w:rFonts w:hint="default" w:ascii="Times New Roman" w:hAnsi="Times New Roman" w:eastAsia="仿宋_GB2312" w:cs="Times New Roman"/>
                <w:color w:val="000000"/>
                <w:szCs w:val="21"/>
              </w:rPr>
            </w:pPr>
            <w:r>
              <w:rPr>
                <w:rFonts w:hint="default" w:ascii="Times New Roman" w:hAnsi="Times New Roman" w:eastAsia="仿宋_GB2312" w:cs="Times New Roman"/>
                <w:bCs/>
                <w:color w:val="000000"/>
                <w:kern w:val="0"/>
                <w:szCs w:val="21"/>
              </w:rPr>
              <w:t>具体投资品种及规模</w:t>
            </w:r>
          </w:p>
        </w:tc>
        <w:tc>
          <w:tcPr>
            <w:tcW w:w="1200" w:type="dxa"/>
            <w:tcBorders>
              <w:top w:val="single" w:color="auto" w:sz="4" w:space="0"/>
              <w:left w:val="single" w:color="auto" w:sz="4" w:space="0"/>
              <w:right w:val="nil"/>
            </w:tcBorders>
            <w:noWrap w:val="0"/>
            <w:vAlign w:val="top"/>
          </w:tcPr>
          <w:p>
            <w:pPr>
              <w:overflowPunct w:val="0"/>
              <w:rPr>
                <w:rFonts w:hint="default" w:ascii="Times New Roman" w:hAnsi="Times New Roman" w:eastAsia="仿宋_GB2312" w:cs="Times New Roman"/>
                <w:bCs/>
                <w:color w:val="000000"/>
                <w:kern w:val="0"/>
                <w:szCs w:val="21"/>
              </w:rPr>
            </w:pPr>
          </w:p>
          <w:p>
            <w:pPr>
              <w:overflowPunct w:val="0"/>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基金净值</w:t>
            </w:r>
          </w:p>
        </w:tc>
        <w:tc>
          <w:tcPr>
            <w:tcW w:w="1142" w:type="dxa"/>
            <w:tcBorders>
              <w:top w:val="single" w:color="auto" w:sz="4" w:space="0"/>
              <w:left w:val="single" w:color="auto" w:sz="4" w:space="0"/>
              <w:right w:val="single" w:color="auto" w:sz="4" w:space="0"/>
            </w:tcBorders>
            <w:noWrap w:val="0"/>
            <w:vAlign w:val="top"/>
          </w:tcPr>
          <w:p>
            <w:pPr>
              <w:overflowPunct w:val="0"/>
              <w:rPr>
                <w:rFonts w:hint="default" w:ascii="Times New Roman" w:hAnsi="Times New Roman" w:eastAsia="仿宋_GB2312" w:cs="Times New Roman"/>
                <w:bCs/>
                <w:color w:val="000000"/>
                <w:kern w:val="0"/>
                <w:szCs w:val="21"/>
              </w:rPr>
            </w:pPr>
          </w:p>
          <w:p>
            <w:pPr>
              <w:overflowPunct w:val="0"/>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备注</w:t>
            </w:r>
          </w:p>
        </w:tc>
      </w:tr>
      <w:tr>
        <w:tblPrEx>
          <w:tblCellMar>
            <w:top w:w="0" w:type="dxa"/>
            <w:left w:w="108" w:type="dxa"/>
            <w:bottom w:w="0" w:type="dxa"/>
            <w:right w:w="108" w:type="dxa"/>
          </w:tblCellMar>
        </w:tblPrEx>
        <w:trPr>
          <w:trHeight w:val="246" w:hRule="atLeast"/>
        </w:trPr>
        <w:tc>
          <w:tcPr>
            <w:tcW w:w="493" w:type="dxa"/>
            <w:vMerge w:val="restart"/>
            <w:tcBorders>
              <w:top w:val="nil"/>
              <w:left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1</w:t>
            </w:r>
          </w:p>
        </w:tc>
        <w:tc>
          <w:tcPr>
            <w:tcW w:w="911" w:type="dxa"/>
            <w:vMerge w:val="restart"/>
            <w:tcBorders>
              <w:top w:val="nil"/>
              <w:left w:val="nil"/>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750" w:type="dxa"/>
            <w:vMerge w:val="restart"/>
            <w:tcBorders>
              <w:top w:val="nil"/>
              <w:left w:val="nil"/>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396" w:type="dxa"/>
            <w:vMerge w:val="restart"/>
            <w:tcBorders>
              <w:top w:val="nil"/>
              <w:left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如：100</w:t>
            </w:r>
          </w:p>
          <w:p>
            <w:pPr>
              <w:overflowPunct w:val="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Cs/>
                <w:color w:val="000000"/>
                <w:kern w:val="0"/>
                <w:szCs w:val="21"/>
              </w:rPr>
              <w:t>（北京）</w:t>
            </w:r>
          </w:p>
        </w:tc>
        <w:tc>
          <w:tcPr>
            <w:tcW w:w="1039" w:type="dxa"/>
            <w:vMerge w:val="restart"/>
            <w:tcBorders>
              <w:top w:val="single" w:color="auto" w:sz="4" w:space="0"/>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511" w:type="dxa"/>
            <w:vMerge w:val="restart"/>
            <w:tcBorders>
              <w:top w:val="single" w:color="auto" w:sz="4" w:space="0"/>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720" w:type="dxa"/>
            <w:vMerge w:val="restart"/>
            <w:tcBorders>
              <w:top w:val="single" w:color="auto" w:sz="4" w:space="0"/>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2377"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如：不良资产</w:t>
            </w:r>
          </w:p>
        </w:tc>
        <w:tc>
          <w:tcPr>
            <w:tcW w:w="1511"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50</w:t>
            </w:r>
          </w:p>
        </w:tc>
        <w:tc>
          <w:tcPr>
            <w:tcW w:w="1200" w:type="dxa"/>
            <w:vMerge w:val="restart"/>
            <w:tcBorders>
              <w:top w:val="single" w:color="auto" w:sz="4" w:space="0"/>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142" w:type="dxa"/>
            <w:vMerge w:val="restart"/>
            <w:tcBorders>
              <w:top w:val="single" w:color="auto" w:sz="4" w:space="0"/>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298" w:hRule="atLeast"/>
        </w:trPr>
        <w:tc>
          <w:tcPr>
            <w:tcW w:w="493" w:type="dxa"/>
            <w:vMerge w:val="continue"/>
            <w:tcBorders>
              <w:left w:val="single" w:color="auto" w:sz="4" w:space="0"/>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bCs/>
                <w:color w:val="000000"/>
                <w:kern w:val="0"/>
                <w:szCs w:val="21"/>
              </w:rPr>
            </w:pPr>
          </w:p>
        </w:tc>
        <w:tc>
          <w:tcPr>
            <w:tcW w:w="911" w:type="dxa"/>
            <w:vMerge w:val="continue"/>
            <w:tcBorders>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750" w:type="dxa"/>
            <w:vMerge w:val="continue"/>
            <w:tcBorders>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396" w:type="dxa"/>
            <w:vMerge w:val="continue"/>
            <w:tcBorders>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bCs/>
                <w:color w:val="000000"/>
                <w:sz w:val="24"/>
              </w:rPr>
            </w:pPr>
          </w:p>
        </w:tc>
        <w:tc>
          <w:tcPr>
            <w:tcW w:w="1039" w:type="dxa"/>
            <w:vMerge w:val="continue"/>
            <w:tcBorders>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511" w:type="dxa"/>
            <w:vMerge w:val="continue"/>
            <w:tcBorders>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720" w:type="dxa"/>
            <w:vMerge w:val="continue"/>
            <w:tcBorders>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2377"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kern w:val="0"/>
                <w:sz w:val="24"/>
              </w:rPr>
            </w:pPr>
          </w:p>
        </w:tc>
        <w:tc>
          <w:tcPr>
            <w:tcW w:w="1511" w:type="dxa"/>
            <w:tcBorders>
              <w:top w:val="single" w:color="auto" w:sz="4" w:space="0"/>
              <w:left w:val="single" w:color="auto" w:sz="4" w:space="0"/>
              <w:bottom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kern w:val="0"/>
                <w:sz w:val="24"/>
              </w:rPr>
            </w:pPr>
          </w:p>
        </w:tc>
        <w:tc>
          <w:tcPr>
            <w:tcW w:w="1200" w:type="dxa"/>
            <w:vMerge w:val="continue"/>
            <w:tcBorders>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142" w:type="dxa"/>
            <w:vMerge w:val="continue"/>
            <w:tcBorders>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291" w:hRule="atLeast"/>
        </w:trPr>
        <w:tc>
          <w:tcPr>
            <w:tcW w:w="493" w:type="dxa"/>
            <w:vMerge w:val="continue"/>
            <w:tcBorders>
              <w:left w:val="single" w:color="auto" w:sz="4" w:space="0"/>
              <w:bottom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bCs/>
                <w:color w:val="000000"/>
                <w:kern w:val="0"/>
                <w:szCs w:val="21"/>
              </w:rPr>
            </w:pPr>
          </w:p>
        </w:tc>
        <w:tc>
          <w:tcPr>
            <w:tcW w:w="911" w:type="dxa"/>
            <w:vMerge w:val="continue"/>
            <w:tcBorders>
              <w:left w:val="nil"/>
              <w:bottom w:val="single" w:color="auto" w:sz="4" w:space="0"/>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750" w:type="dxa"/>
            <w:vMerge w:val="continue"/>
            <w:tcBorders>
              <w:left w:val="nil"/>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396" w:type="dxa"/>
            <w:vMerge w:val="continue"/>
            <w:tcBorders>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bCs/>
                <w:color w:val="000000"/>
                <w:sz w:val="24"/>
              </w:rPr>
            </w:pPr>
          </w:p>
        </w:tc>
        <w:tc>
          <w:tcPr>
            <w:tcW w:w="1039" w:type="dxa"/>
            <w:vMerge w:val="continue"/>
            <w:tcBorders>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511" w:type="dxa"/>
            <w:vMerge w:val="continue"/>
            <w:tcBorders>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720" w:type="dxa"/>
            <w:vMerge w:val="continue"/>
            <w:tcBorders>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2377" w:type="dxa"/>
            <w:tcBorders>
              <w:top w:val="single" w:color="auto" w:sz="4" w:space="0"/>
              <w:left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kern w:val="0"/>
                <w:sz w:val="24"/>
              </w:rPr>
            </w:pPr>
          </w:p>
        </w:tc>
        <w:tc>
          <w:tcPr>
            <w:tcW w:w="1511" w:type="dxa"/>
            <w:tcBorders>
              <w:top w:val="single" w:color="auto" w:sz="4" w:space="0"/>
              <w:left w:val="single" w:color="auto" w:sz="4" w:space="0"/>
              <w:right w:val="single" w:color="auto" w:sz="4" w:space="0"/>
            </w:tcBorders>
            <w:noWrap w:val="0"/>
            <w:vAlign w:val="top"/>
          </w:tcPr>
          <w:p>
            <w:pPr>
              <w:overflowPunct w:val="0"/>
              <w:spacing w:line="400" w:lineRule="exact"/>
              <w:jc w:val="center"/>
              <w:rPr>
                <w:rFonts w:hint="default" w:ascii="Times New Roman" w:hAnsi="Times New Roman" w:eastAsia="仿宋_GB2312" w:cs="Times New Roman"/>
                <w:color w:val="000000"/>
                <w:kern w:val="0"/>
                <w:sz w:val="24"/>
              </w:rPr>
            </w:pPr>
          </w:p>
        </w:tc>
        <w:tc>
          <w:tcPr>
            <w:tcW w:w="1200" w:type="dxa"/>
            <w:vMerge w:val="continue"/>
            <w:tcBorders>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142" w:type="dxa"/>
            <w:vMerge w:val="continue"/>
            <w:tcBorders>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297" w:hRule="atLeast"/>
        </w:trPr>
        <w:tc>
          <w:tcPr>
            <w:tcW w:w="493" w:type="dxa"/>
            <w:vMerge w:val="restart"/>
            <w:tcBorders>
              <w:top w:val="single" w:color="auto" w:sz="4" w:space="0"/>
              <w:left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bCs/>
                <w:color w:val="000000"/>
                <w:kern w:val="0"/>
                <w:szCs w:val="21"/>
              </w:rPr>
            </w:pPr>
            <w:r>
              <w:rPr>
                <w:rFonts w:hint="default" w:ascii="Times New Roman" w:hAnsi="Times New Roman" w:eastAsia="仿宋_GB2312" w:cs="Times New Roman"/>
                <w:bCs/>
                <w:color w:val="000000"/>
                <w:kern w:val="0"/>
                <w:szCs w:val="21"/>
              </w:rPr>
              <w:t>2</w:t>
            </w:r>
          </w:p>
        </w:tc>
        <w:tc>
          <w:tcPr>
            <w:tcW w:w="911" w:type="dxa"/>
            <w:vMerge w:val="restart"/>
            <w:tcBorders>
              <w:top w:val="single" w:color="auto" w:sz="4" w:space="0"/>
              <w:left w:val="nil"/>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750" w:type="dxa"/>
            <w:vMerge w:val="restart"/>
            <w:tcBorders>
              <w:top w:val="single" w:color="auto" w:sz="4" w:space="0"/>
              <w:left w:val="nil"/>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396" w:type="dxa"/>
            <w:vMerge w:val="restart"/>
            <w:tcBorders>
              <w:top w:val="single" w:color="auto" w:sz="4" w:space="0"/>
              <w:left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1039" w:type="dxa"/>
            <w:vMerge w:val="restart"/>
            <w:tcBorders>
              <w:top w:val="single" w:color="auto" w:sz="4" w:space="0"/>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511" w:type="dxa"/>
            <w:vMerge w:val="restart"/>
            <w:tcBorders>
              <w:top w:val="single" w:color="auto" w:sz="4" w:space="0"/>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720" w:type="dxa"/>
            <w:vMerge w:val="restart"/>
            <w:tcBorders>
              <w:top w:val="single" w:color="auto" w:sz="4" w:space="0"/>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2377"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511"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200" w:type="dxa"/>
            <w:vMerge w:val="restart"/>
            <w:tcBorders>
              <w:top w:val="single" w:color="auto" w:sz="4" w:space="0"/>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142" w:type="dxa"/>
            <w:vMerge w:val="restart"/>
            <w:tcBorders>
              <w:top w:val="single" w:color="auto" w:sz="4" w:space="0"/>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234" w:hRule="atLeast"/>
        </w:trPr>
        <w:tc>
          <w:tcPr>
            <w:tcW w:w="493" w:type="dxa"/>
            <w:vMerge w:val="continue"/>
            <w:tcBorders>
              <w:left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bCs/>
                <w:color w:val="000000"/>
                <w:kern w:val="0"/>
                <w:szCs w:val="21"/>
              </w:rPr>
            </w:pPr>
          </w:p>
        </w:tc>
        <w:tc>
          <w:tcPr>
            <w:tcW w:w="911" w:type="dxa"/>
            <w:vMerge w:val="continue"/>
            <w:tcBorders>
              <w:left w:val="nil"/>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750" w:type="dxa"/>
            <w:vMerge w:val="continue"/>
            <w:tcBorders>
              <w:left w:val="nil"/>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396" w:type="dxa"/>
            <w:vMerge w:val="continue"/>
            <w:tcBorders>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1039" w:type="dxa"/>
            <w:vMerge w:val="continue"/>
            <w:tcBorders>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511" w:type="dxa"/>
            <w:vMerge w:val="continue"/>
            <w:tcBorders>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720" w:type="dxa"/>
            <w:vMerge w:val="continue"/>
            <w:tcBorders>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2377"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511"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200" w:type="dxa"/>
            <w:vMerge w:val="continue"/>
            <w:tcBorders>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142" w:type="dxa"/>
            <w:vMerge w:val="continue"/>
            <w:tcBorders>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223" w:hRule="atLeast"/>
        </w:trPr>
        <w:tc>
          <w:tcPr>
            <w:tcW w:w="493" w:type="dxa"/>
            <w:vMerge w:val="continue"/>
            <w:tcBorders>
              <w:left w:val="single" w:color="auto" w:sz="4" w:space="0"/>
              <w:right w:val="single" w:color="auto" w:sz="4" w:space="0"/>
            </w:tcBorders>
            <w:shd w:val="clear" w:color="auto" w:fill="auto"/>
            <w:noWrap w:val="0"/>
            <w:vAlign w:val="center"/>
          </w:tcPr>
          <w:p>
            <w:pPr>
              <w:overflowPunct w:val="0"/>
              <w:jc w:val="center"/>
              <w:rPr>
                <w:rFonts w:hint="default" w:ascii="Times New Roman" w:hAnsi="Times New Roman" w:eastAsia="仿宋_GB2312" w:cs="Times New Roman"/>
                <w:bCs/>
                <w:color w:val="000000"/>
                <w:kern w:val="0"/>
                <w:szCs w:val="21"/>
              </w:rPr>
            </w:pPr>
          </w:p>
        </w:tc>
        <w:tc>
          <w:tcPr>
            <w:tcW w:w="911" w:type="dxa"/>
            <w:vMerge w:val="continue"/>
            <w:tcBorders>
              <w:left w:val="nil"/>
              <w:right w:val="single" w:color="auto" w:sz="4" w:space="0"/>
            </w:tcBorders>
            <w:shd w:val="clear" w:color="auto" w:fill="FFFFFF"/>
            <w:noWrap w:val="0"/>
            <w:vAlign w:val="center"/>
          </w:tcPr>
          <w:p>
            <w:pPr>
              <w:overflowPunct w:val="0"/>
              <w:jc w:val="center"/>
              <w:rPr>
                <w:rFonts w:hint="default" w:ascii="Times New Roman" w:hAnsi="Times New Roman" w:eastAsia="仿宋_GB2312" w:cs="Times New Roman"/>
                <w:color w:val="000000"/>
                <w:kern w:val="0"/>
                <w:sz w:val="24"/>
              </w:rPr>
            </w:pPr>
          </w:p>
        </w:tc>
        <w:tc>
          <w:tcPr>
            <w:tcW w:w="750" w:type="dxa"/>
            <w:vMerge w:val="continue"/>
            <w:tcBorders>
              <w:left w:val="nil"/>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396" w:type="dxa"/>
            <w:vMerge w:val="continue"/>
            <w:tcBorders>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1039" w:type="dxa"/>
            <w:vMerge w:val="continue"/>
            <w:tcBorders>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511" w:type="dxa"/>
            <w:vMerge w:val="continue"/>
            <w:tcBorders>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720" w:type="dxa"/>
            <w:vMerge w:val="continue"/>
            <w:tcBorders>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2377" w:type="dxa"/>
            <w:tcBorders>
              <w:top w:val="single" w:color="auto" w:sz="4" w:space="0"/>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511" w:type="dxa"/>
            <w:tcBorders>
              <w:top w:val="single" w:color="auto" w:sz="4" w:space="0"/>
              <w:left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200" w:type="dxa"/>
            <w:vMerge w:val="continue"/>
            <w:tcBorders>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142" w:type="dxa"/>
            <w:vMerge w:val="continue"/>
            <w:tcBorders>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115" w:hRule="atLeast"/>
        </w:trPr>
        <w:tc>
          <w:tcPr>
            <w:tcW w:w="3550"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合计</w:t>
            </w:r>
          </w:p>
        </w:tc>
        <w:tc>
          <w:tcPr>
            <w:tcW w:w="1039"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511"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720"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3888"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115" w:hRule="atLeast"/>
        </w:trPr>
        <w:tc>
          <w:tcPr>
            <w:tcW w:w="3550" w:type="dxa"/>
            <w:gridSpan w:val="4"/>
            <w:tcBorders>
              <w:top w:val="single" w:color="auto" w:sz="4" w:space="0"/>
              <w:left w:val="single" w:color="auto" w:sz="4" w:space="0"/>
              <w:bottom w:val="single" w:color="000000" w:sz="4" w:space="0"/>
              <w:right w:val="single" w:color="auto" w:sz="4" w:space="0"/>
            </w:tcBorders>
            <w:noWrap w:val="0"/>
            <w:vAlign w:val="center"/>
          </w:tcPr>
          <w:p>
            <w:pPr>
              <w:overflowPunct w:val="0"/>
              <w:jc w:val="center"/>
              <w:rPr>
                <w:rFonts w:hint="default" w:ascii="Times New Roman" w:hAnsi="Times New Roman" w:eastAsia="仿宋_GB2312" w:cs="Times New Roman"/>
                <w:color w:val="000000"/>
                <w:kern w:val="0"/>
                <w:sz w:val="24"/>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511"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720"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3888"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overflowPunct w:val="0"/>
              <w:jc w:val="center"/>
              <w:rPr>
                <w:rFonts w:hint="default" w:ascii="Times New Roman" w:hAnsi="Times New Roman" w:eastAsia="仿宋_GB2312" w:cs="Times New Roman"/>
                <w:color w:val="000000"/>
                <w:kern w:val="0"/>
                <w:sz w:val="24"/>
              </w:rPr>
            </w:pPr>
          </w:p>
        </w:tc>
      </w:tr>
    </w:tbl>
    <w:p>
      <w:pPr>
        <w:overflowPunct w:val="0"/>
        <w:spacing w:line="320" w:lineRule="exact"/>
        <w:jc w:val="left"/>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填表人：                  联系电话：               负责人：（签章）                填表时间：  年  月  日</w:t>
      </w:r>
    </w:p>
    <w:p>
      <w:pPr>
        <w:overflowPunct w:val="0"/>
        <w:spacing w:line="300" w:lineRule="exact"/>
        <w:jc w:val="left"/>
        <w:rPr>
          <w:rFonts w:hint="default" w:ascii="Times New Roman" w:hAnsi="Times New Roman" w:eastAsia="仿宋_GB2312" w:cs="Times New Roman"/>
          <w:bCs/>
          <w:color w:val="000000"/>
          <w:spacing w:val="-11"/>
          <w:sz w:val="24"/>
        </w:rPr>
      </w:pPr>
    </w:p>
    <w:p>
      <w:pPr>
        <w:overflowPunct w:val="0"/>
        <w:spacing w:line="300" w:lineRule="exact"/>
        <w:rPr>
          <w:rFonts w:hint="default" w:ascii="Times New Roman" w:hAnsi="Times New Roman" w:eastAsia="仿宋_GB2312" w:cs="Times New Roman"/>
          <w:bCs/>
          <w:color w:val="000000"/>
          <w:spacing w:val="-11"/>
          <w:sz w:val="24"/>
        </w:rPr>
      </w:pPr>
      <w:r>
        <w:rPr>
          <w:rFonts w:hint="default" w:ascii="Times New Roman" w:hAnsi="Times New Roman" w:eastAsia="仿宋_GB2312" w:cs="Times New Roman"/>
          <w:bCs/>
          <w:color w:val="000000"/>
          <w:spacing w:val="-11"/>
          <w:sz w:val="24"/>
        </w:rPr>
        <w:t>填表说明：1.本表填表人为管理企业。2.管理企业应同时向其试点企业所在开发区管委会报送此报表。3.组织形式填写：公司制/合伙制/契约制。4.单只基金QFLP试点规模（某地区）指：管理企业在同一试点地区发起成立多只试点基金时，其自行分配的单只基金募集境外资金规模。需按试点地区的不同分别填写，如：试点基金占用的是北京QFLP规模100万美元，则填写100（北京）（仅实行“余额制”管理企业填写）。5.募集境外资金来源情况填写：前五大资金来源主体（包括金额及占比）。6.按照《资管新规》分类，投向分类应填写以下类型之一：（1）固定收益类(投向该类不低于80%）；（2）权益类(投向该类不低于80%）；（3）商品及金融衍生品类(投向该类不低于80%）；（4）混合类(前三类均未高于80%）。固定收益类包括：存款、债券、不良资产、夹层等债权类资产；权益类包括：股票、非上市股权等权益类资产。7.具体投资品种填写：试点基金投向类型，应按不同类型具体分行填写（可多填），如：非上市股权、股票、债券、不良资产、夹层、商品、衍生品等。规模填写：具体投资规模，如该类型有公允价格，按照市值法计算后填写；如无公允价格，按照成本法计算后填写。8.基金净值=基金净资产/基金份额（基金净值大于1，表明盈余；小于1，表明亏损）；9.备注填写境内投资项目需要进一步补充说明的事项。10.管理企业可根据业务情况增减相关行数。</w:t>
      </w:r>
    </w:p>
    <w:p>
      <w:pPr>
        <w:overflowPunct w:val="0"/>
        <w:spacing w:line="560" w:lineRule="exact"/>
        <w:ind w:firstLine="640" w:firstLineChars="200"/>
        <w:rPr>
          <w:rFonts w:hint="default" w:ascii="Times New Roman" w:hAnsi="Times New Roman" w:eastAsia="仿宋_GB2312" w:cs="Times New Roman"/>
          <w:color w:val="000000"/>
          <w:kern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sectPr>
          <w:pgSz w:w="16838" w:h="11906" w:orient="landscape"/>
          <w:pgMar w:top="1587" w:right="2098" w:bottom="1474" w:left="1985" w:header="851" w:footer="1417" w:gutter="0"/>
          <w:cols w:space="0" w:num="1"/>
          <w:rtlGutter w:val="0"/>
          <w:docGrid w:type="lines" w:linePitch="315" w:charSpace="0"/>
        </w:sect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580" w:lineRule="exact"/>
        <w:rPr>
          <w:rFonts w:hint="default" w:ascii="Times New Roman" w:hAnsi="Times New Roman" w:eastAsia="黑体" w:cs="Times New Roman"/>
          <w:b w:val="0"/>
          <w:bCs w:val="0"/>
          <w:sz w:val="32"/>
          <w:szCs w:val="32"/>
        </w:rPr>
      </w:pPr>
    </w:p>
    <w:p>
      <w:pPr>
        <w:spacing w:line="20" w:lineRule="exact"/>
        <w:rPr>
          <w:rFonts w:hint="default" w:ascii="Times New Roman" w:hAnsi="Times New Roman" w:cs="Times New Roman"/>
          <w:b w:val="0"/>
          <w:bCs w:val="0"/>
          <w:sz w:val="28"/>
          <w:szCs w:val="28"/>
        </w:rPr>
      </w:pPr>
    </w:p>
    <w:sectPr>
      <w:footerReference r:id="rId5" w:type="default"/>
      <w:footerReference r:id="rId6" w:type="even"/>
      <w:pgSz w:w="11906" w:h="16838"/>
      <w:pgMar w:top="2098" w:right="1474" w:bottom="1984" w:left="1587" w:header="851" w:footer="1417"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lstom">
    <w:altName w:val="DejaVu Math TeX Gyre"/>
    <w:panose1 w:val="00000000000000000000"/>
    <w:charset w:val="00"/>
    <w:family w:val="auto"/>
    <w:pitch w:val="default"/>
    <w:sig w:usb0="00000000" w:usb1="00000000" w:usb2="00000000" w:usb3="00000000" w:csb0="00000001"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left"/>
      <w:rPr>
        <w:rFonts w:ascii="仿宋_GB2312" w:eastAsia="仿宋_GB2312"/>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abstractNum w:abstractNumId="1">
    <w:nsid w:val="00000002"/>
    <w:multiLevelType w:val="singleLevel"/>
    <w:tmpl w:val="00000002"/>
    <w:lvl w:ilvl="0" w:tentative="0">
      <w:start w:val="4"/>
      <w:numFmt w:val="chineseCounting"/>
      <w:suff w:val="space"/>
      <w:lvlText w:val="第%1条"/>
      <w:lvlJc w:val="left"/>
      <w:rPr>
        <w:rFonts w:hint="eastAsia"/>
      </w:rPr>
    </w:lvl>
  </w:abstractNum>
  <w:abstractNum w:abstractNumId="2">
    <w:nsid w:val="00000003"/>
    <w:multiLevelType w:val="singleLevel"/>
    <w:tmpl w:val="00000003"/>
    <w:lvl w:ilvl="0" w:tentative="0">
      <w:start w:val="15"/>
      <w:numFmt w:val="chineseCounting"/>
      <w:suff w:val="space"/>
      <w:lvlText w:val="第%1条"/>
      <w:lvlJc w:val="left"/>
      <w:rPr>
        <w:rFonts w:hint="eastAsia"/>
      </w:rPr>
    </w:lvl>
  </w:abstractNum>
  <w:abstractNum w:abstractNumId="3">
    <w:nsid w:val="00000004"/>
    <w:multiLevelType w:val="singleLevel"/>
    <w:tmpl w:val="00000004"/>
    <w:lvl w:ilvl="0" w:tentative="0">
      <w:start w:val="19"/>
      <w:numFmt w:val="chineseCounting"/>
      <w:suff w:val="space"/>
      <w:lvlText w:val="第%1条"/>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FFF51D1"/>
    <w:rsid w:val="21815626"/>
    <w:rsid w:val="2ADE68B3"/>
    <w:rsid w:val="2FEF9C72"/>
    <w:rsid w:val="3A91C8FD"/>
    <w:rsid w:val="3AB61067"/>
    <w:rsid w:val="4D979589"/>
    <w:rsid w:val="57FEACDE"/>
    <w:rsid w:val="5BA3C0E1"/>
    <w:rsid w:val="5BC6A150"/>
    <w:rsid w:val="5FF60E7F"/>
    <w:rsid w:val="60E81003"/>
    <w:rsid w:val="6B13DE3A"/>
    <w:rsid w:val="6F27DE64"/>
    <w:rsid w:val="72FF5CF2"/>
    <w:rsid w:val="7FF40175"/>
    <w:rsid w:val="BB8BE6B7"/>
    <w:rsid w:val="BEE784C9"/>
    <w:rsid w:val="DEFF19B8"/>
    <w:rsid w:val="E7E80A49"/>
    <w:rsid w:val="EFBD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next w:val="1"/>
    <w:qFormat/>
    <w:uiPriority w:val="0"/>
    <w:pPr>
      <w:widowControl/>
      <w:autoSpaceDE w:val="0"/>
      <w:autoSpaceDN w:val="0"/>
      <w:adjustRightInd w:val="0"/>
    </w:pPr>
    <w:rPr>
      <w:rFonts w:ascii="Alstom" w:hAnsi="Alstom" w:eastAsia="宋体" w:cs="Times New Roman"/>
      <w:color w:val="000000"/>
      <w:kern w:val="0"/>
      <w:sz w:val="22"/>
      <w:lang w:val="en-GB" w:eastAsia="es-ES"/>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3">
    <w:name w:val="BodyText1I2"/>
    <w:basedOn w:val="14"/>
    <w:qFormat/>
    <w:uiPriority w:val="0"/>
    <w:pPr>
      <w:ind w:firstLine="420" w:firstLineChars="200"/>
    </w:pPr>
    <w:rPr>
      <w:rFonts w:ascii="Times New Roman" w:hAnsi="Times New Roman" w:eastAsia="宋体" w:cs="Times New Roman"/>
    </w:rPr>
  </w:style>
  <w:style w:type="paragraph" w:customStyle="1" w:styleId="14">
    <w:name w:val="BodyTextIndent"/>
    <w:basedOn w:val="1"/>
    <w:qFormat/>
    <w:uiPriority w:val="0"/>
    <w:pPr>
      <w:spacing w:after="120"/>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3</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2022-01-23T16:29:00Z</dcterms:created>
  <dc:creator>张殿武</dc:creator>
  <cp:lastModifiedBy>kylin</cp:lastModifiedBy>
  <cp:lastPrinted>2012-09-03T14:13:00Z</cp:lastPrinted>
  <dcterms:modified xsi:type="dcterms:W3CDTF">2025-04-09T09:10:49Z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