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A4EDE">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仿宋" w:hAnsi="仿宋" w:eastAsia="仿宋"/>
          <w:b/>
          <w:bCs/>
          <w:sz w:val="36"/>
          <w:szCs w:val="36"/>
          <w:highlight w:val="none"/>
          <w:lang w:val="en-US" w:eastAsia="zh-CN"/>
        </w:rPr>
      </w:pPr>
      <w:r>
        <w:rPr>
          <w:rFonts w:hint="eastAsia" w:ascii="仿宋" w:hAnsi="仿宋" w:eastAsia="仿宋"/>
          <w:b/>
          <w:bCs/>
          <w:sz w:val="36"/>
          <w:szCs w:val="36"/>
          <w:highlight w:val="none"/>
          <w:lang w:val="en-US" w:eastAsia="zh-CN"/>
        </w:rPr>
        <w:t>附件2：马鞍山市雨山区人工智能特色产业母基金托管机构申报资料清单</w:t>
      </w:r>
    </w:p>
    <w:p w14:paraId="63BC4280">
      <w:pPr>
        <w:pStyle w:val="2"/>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申请参选银行需根据本公告要求自行准备书面申报材料，其中正本1份，副本2份。</w:t>
      </w:r>
    </w:p>
    <w:p w14:paraId="33F3C33E">
      <w:pPr>
        <w:pStyle w:val="2"/>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申报清单包括但不限于以下材料：</w:t>
      </w:r>
      <w:bookmarkStart w:id="0" w:name="_GoBack"/>
      <w:bookmarkEnd w:id="0"/>
    </w:p>
    <w:p w14:paraId="41B3580D">
      <w:pPr>
        <w:pStyle w:val="2"/>
        <w:keepNext w:val="0"/>
        <w:keepLines w:val="0"/>
        <w:pageBreakBefore w:val="0"/>
        <w:widowControl w:val="0"/>
        <w:numPr>
          <w:ilvl w:val="0"/>
          <w:numId w:val="0"/>
        </w:numPr>
        <w:kinsoku/>
        <w:wordWrap/>
        <w:overflowPunct/>
        <w:topLinePunct w:val="0"/>
        <w:autoSpaceDE/>
        <w:autoSpaceDN/>
        <w:bidi w:val="0"/>
        <w:adjustRightInd/>
        <w:spacing w:line="500" w:lineRule="exact"/>
        <w:ind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1.依法存续的营业执照（提供营业执照复印件加盖公章）；</w:t>
      </w:r>
    </w:p>
    <w:p w14:paraId="596F2C56">
      <w:pPr>
        <w:pStyle w:val="2"/>
        <w:keepNext w:val="0"/>
        <w:keepLines w:val="0"/>
        <w:pageBreakBefore w:val="0"/>
        <w:widowControl w:val="0"/>
        <w:numPr>
          <w:ilvl w:val="0"/>
          <w:numId w:val="0"/>
        </w:numPr>
        <w:kinsoku/>
        <w:wordWrap/>
        <w:overflowPunct/>
        <w:topLinePunct w:val="0"/>
        <w:autoSpaceDE/>
        <w:autoSpaceDN/>
        <w:bidi w:val="0"/>
        <w:adjustRightInd/>
        <w:spacing w:line="500" w:lineRule="exact"/>
        <w:ind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2.基金托管人资格证明（基金托管人资格批复的复印件，加盖公章）；</w:t>
      </w:r>
    </w:p>
    <w:p w14:paraId="21B60C53">
      <w:pPr>
        <w:pStyle w:val="2"/>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3.基金托管业绩情况。申报机构托管业绩的相关证明文件可提供合同、协议的复印件或提供中国证券投资基金业协会公示截图复印件，并加盖公章；</w:t>
      </w:r>
    </w:p>
    <w:p w14:paraId="21E3D6AF">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theme="minorBidi"/>
          <w:kern w:val="2"/>
          <w:sz w:val="30"/>
          <w:szCs w:val="30"/>
          <w:highlight w:val="none"/>
          <w:lang w:val="en-US" w:eastAsia="zh-CN" w:bidi="ar-SA"/>
        </w:rPr>
      </w:pPr>
      <w:r>
        <w:rPr>
          <w:rFonts w:hint="eastAsia" w:ascii="仿宋" w:hAnsi="仿宋" w:eastAsia="仿宋" w:cstheme="minorBidi"/>
          <w:kern w:val="2"/>
          <w:sz w:val="30"/>
          <w:szCs w:val="30"/>
          <w:highlight w:val="none"/>
          <w:lang w:val="en-US" w:eastAsia="zh-CN" w:bidi="ar-SA"/>
        </w:rPr>
        <w:t>4.托管服务情况介绍。主要阐述托管机构目前托管团队简介、基金托管情况、托管服务能力以及其他综合服务能力；</w:t>
      </w:r>
    </w:p>
    <w:p w14:paraId="68D011C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cstheme="minorBidi"/>
          <w:kern w:val="2"/>
          <w:sz w:val="30"/>
          <w:szCs w:val="30"/>
          <w:highlight w:val="none"/>
          <w:lang w:val="en-US" w:eastAsia="zh-CN" w:bidi="ar-SA"/>
        </w:rPr>
        <w:t>5.托管机构风险控制能力情况介绍。主要阐述托管机构目前已制定的针对基金托管业务内部控制及风险管理制度，</w:t>
      </w:r>
      <w:r>
        <w:rPr>
          <w:rFonts w:hint="eastAsia" w:ascii="仿宋" w:hAnsi="仿宋" w:eastAsia="仿宋"/>
          <w:sz w:val="30"/>
          <w:szCs w:val="30"/>
          <w:highlight w:val="none"/>
          <w:lang w:val="en-US" w:eastAsia="zh-CN"/>
        </w:rPr>
        <w:t>包括但不限于业务管理、操作规程、会计核算等制度以及</w:t>
      </w:r>
      <w:r>
        <w:rPr>
          <w:rFonts w:hint="eastAsia" w:ascii="仿宋" w:hAnsi="仿宋" w:eastAsia="仿宋"/>
          <w:b/>
          <w:bCs/>
          <w:sz w:val="30"/>
          <w:szCs w:val="30"/>
          <w:highlight w:val="none"/>
          <w:lang w:val="en-US" w:eastAsia="zh-CN"/>
        </w:rPr>
        <w:t>针对本次基金托管</w:t>
      </w:r>
      <w:r>
        <w:rPr>
          <w:rFonts w:hint="eastAsia" w:ascii="仿宋" w:hAnsi="仿宋" w:eastAsia="仿宋"/>
          <w:sz w:val="30"/>
          <w:szCs w:val="30"/>
          <w:highlight w:val="none"/>
          <w:lang w:val="en-US" w:eastAsia="zh-CN"/>
        </w:rPr>
        <w:t>的风险控制方案；</w:t>
      </w:r>
    </w:p>
    <w:p w14:paraId="78E0BF77">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6.银行协定存款利率承诺；</w:t>
      </w:r>
    </w:p>
    <w:p w14:paraId="689DC90D">
      <w:pPr>
        <w:pStyle w:val="2"/>
        <w:keepNext w:val="0"/>
        <w:keepLines w:val="0"/>
        <w:pageBreakBefore w:val="0"/>
        <w:widowControl w:val="0"/>
        <w:kinsoku/>
        <w:wordWrap/>
        <w:overflowPunct/>
        <w:topLinePunct w:val="0"/>
        <w:autoSpaceDE/>
        <w:autoSpaceDN/>
        <w:bidi w:val="0"/>
        <w:adjustRightInd/>
        <w:spacing w:line="500" w:lineRule="exact"/>
        <w:ind w:left="0" w:leftChars="0"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7.服务费用减免情况等服务优惠措施承诺书；</w:t>
      </w:r>
    </w:p>
    <w:p w14:paraId="52BCB803">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8.托管机构对地方贡献能力（可以体现申报银行对当地的综合贡献、对当地企业的存贷款支持、与当地政府及企业的合作情况、以及银行在其他方面对当地经济发展的支持力度等相关的资料）；</w:t>
      </w:r>
    </w:p>
    <w:p w14:paraId="70DF2B2E">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9.参选银行认为需加以说明的其他资料。</w:t>
      </w:r>
    </w:p>
    <w:p w14:paraId="74B4D0F3">
      <w:pPr>
        <w:keepNext w:val="0"/>
        <w:keepLines w:val="0"/>
        <w:pageBreakBefore w:val="0"/>
        <w:widowControl w:val="0"/>
        <w:kinsoku/>
        <w:wordWrap/>
        <w:overflowPunct/>
        <w:topLinePunct w:val="0"/>
        <w:autoSpaceDE/>
        <w:autoSpaceDN/>
        <w:bidi w:val="0"/>
        <w:adjustRightInd/>
        <w:spacing w:line="500" w:lineRule="exact"/>
        <w:textAlignment w:val="auto"/>
        <w:rPr>
          <w:rFonts w:hint="default" w:eastAsiaTheme="minor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16F1A"/>
    <w:rsid w:val="119266EF"/>
    <w:rsid w:val="1AD16F1A"/>
    <w:rsid w:val="223D0F38"/>
    <w:rsid w:val="2CB23BE8"/>
    <w:rsid w:val="2D4D6085"/>
    <w:rsid w:val="318813DC"/>
    <w:rsid w:val="32C26104"/>
    <w:rsid w:val="34103453"/>
    <w:rsid w:val="35B05222"/>
    <w:rsid w:val="38CB17C4"/>
    <w:rsid w:val="3B76255B"/>
    <w:rsid w:val="3ED66600"/>
    <w:rsid w:val="3FF95FC0"/>
    <w:rsid w:val="61061D24"/>
    <w:rsid w:val="6F8136AF"/>
    <w:rsid w:val="70C95337"/>
    <w:rsid w:val="7967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napToGrid w:val="0"/>
      <w:spacing w:line="360" w:lineRule="auto"/>
      <w:ind w:firstLine="240" w:firstLineChars="100"/>
    </w:pPr>
    <w:rPr>
      <w:rFonts w:ascii="宋体"/>
      <w:sz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483</Words>
  <Characters>492</Characters>
  <Lines>0</Lines>
  <Paragraphs>0</Paragraphs>
  <TotalTime>0</TotalTime>
  <ScaleCrop>false</ScaleCrop>
  <LinksUpToDate>false</LinksUpToDate>
  <CharactersWithSpaces>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2025-04-08T01:05:00Z</dcterms:created>
  <dc:creator>HAZQ</dc:creator>
  <cp:lastModifiedBy>崔盛曦</cp:lastModifiedBy>
  <dcterms:modified xsi:type="dcterms:W3CDTF">2025-04-24T11:32:10Z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DDA9D87C2BC14B92B8E35FD71E4C2422_13</vt:lpwstr>
  </property>
  <property fmtid="{D5CDD505-2E9C-101B-9397-08002B2CF9AE}" pid="4" name="KSOTemplateDocerSaveRecord">
    <vt:lpwstr>eyJoZGlkIjoiMGMwYjU0Mzk4ZTYxNDlkYmFkMDIxODRhZTc2NDQ1M2YiLCJ1c2VySWQiOiIxNzg3ODMxOCJ9</vt:lpwstr>
  </property>
</Properties>
</file>