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B9C03">
      <w:pPr>
        <w:spacing w:before="120" w:after="120" w:line="224" w:lineRule="auto"/>
        <w:ind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附件</w:t>
      </w:r>
      <w:r>
        <w:rPr>
          <w:rFonts w:ascii="黑体" w:hAnsi="黑体" w:eastAsia="黑体" w:cs="黑体"/>
          <w:spacing w:val="-3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2</w:t>
      </w:r>
    </w:p>
    <w:p w14:paraId="3B0CE2D3">
      <w:pPr>
        <w:pStyle w:val="3"/>
        <w:spacing w:before="120" w:after="120" w:line="255" w:lineRule="auto"/>
        <w:ind w:firstLine="0" w:firstLineChars="0"/>
        <w:rPr>
          <w:lang w:eastAsia="zh-CN"/>
        </w:rPr>
      </w:pPr>
    </w:p>
    <w:p w14:paraId="78669A48">
      <w:pPr>
        <w:pStyle w:val="11"/>
        <w:spacing w:before="120" w:after="120"/>
        <w:rPr>
          <w:rFonts w:hint="default" w:eastAsia="方正小标宋简体"/>
          <w:lang w:val="en-US" w:eastAsia="zh-CN"/>
        </w:rPr>
      </w:pPr>
      <w:r>
        <w:rPr>
          <w:rFonts w:hint="eastAsia"/>
          <w:lang w:val="en-US" w:eastAsia="zh-CN"/>
        </w:rPr>
        <w:t>长江鑫时代鄂州产业投资基金合伙企业（有限合伙）参股基金申报方案</w:t>
      </w:r>
    </w:p>
    <w:p w14:paraId="1339C700">
      <w:pPr>
        <w:pStyle w:val="11"/>
        <w:spacing w:before="120" w:after="120"/>
      </w:pPr>
    </w:p>
    <w:p w14:paraId="0DEEF975">
      <w:pPr>
        <w:pStyle w:val="11"/>
        <w:spacing w:before="120" w:after="120"/>
      </w:pPr>
    </w:p>
    <w:p w14:paraId="23E4B015">
      <w:pPr>
        <w:pStyle w:val="3"/>
        <w:spacing w:before="120" w:after="120" w:line="246" w:lineRule="auto"/>
        <w:ind w:firstLine="0" w:firstLineChars="0"/>
        <w:rPr>
          <w:lang w:eastAsia="zh-CN"/>
        </w:rPr>
      </w:pPr>
    </w:p>
    <w:p w14:paraId="1743E069">
      <w:pPr>
        <w:pStyle w:val="3"/>
        <w:spacing w:before="120" w:after="120" w:line="246" w:lineRule="auto"/>
        <w:ind w:firstLine="420"/>
        <w:rPr>
          <w:lang w:eastAsia="zh-CN"/>
        </w:rPr>
      </w:pPr>
    </w:p>
    <w:p w14:paraId="2204DA43">
      <w:pPr>
        <w:pStyle w:val="3"/>
        <w:spacing w:before="120" w:after="120" w:line="246" w:lineRule="auto"/>
        <w:ind w:firstLine="420"/>
        <w:rPr>
          <w:lang w:eastAsia="zh-CN"/>
        </w:rPr>
      </w:pPr>
    </w:p>
    <w:p w14:paraId="4693B0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2ADAF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E623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主要负责人：</w:t>
      </w:r>
    </w:p>
    <w:p w14:paraId="5767A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D26C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数据截止日期：【X年X月X日】</w:t>
      </w:r>
    </w:p>
    <w:p w14:paraId="0456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</w:p>
    <w:p w14:paraId="4786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 w14:paraId="2C34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1910" w:h="16850"/>
          <w:pgMar w:top="1432" w:right="1475" w:bottom="1441" w:left="1680" w:header="0" w:footer="1114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</w:p>
    <w:p w14:paraId="2E0E2E80">
      <w:pPr>
        <w:pStyle w:val="11"/>
        <w:spacing w:before="120" w:after="120"/>
        <w:jc w:val="center"/>
      </w:pPr>
      <w:r>
        <w:t>目 录</w:t>
      </w:r>
    </w:p>
    <w:p w14:paraId="711A9F3E">
      <w:pPr>
        <w:pStyle w:val="13"/>
        <w:spacing w:before="0" w:after="0"/>
      </w:pPr>
      <w:r>
        <w:t>一、基金设立背景</w:t>
      </w:r>
    </w:p>
    <w:p w14:paraId="255C0DF4">
      <w:pPr>
        <w:pStyle w:val="13"/>
        <w:spacing w:before="0" w:after="0"/>
      </w:pPr>
      <w:r>
        <w:t>二、基金设立总体方案</w:t>
      </w:r>
    </w:p>
    <w:p w14:paraId="57900A01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（一）</w:t>
      </w:r>
      <w:r>
        <w:rPr>
          <w:rFonts w:hint="eastAsia"/>
        </w:rPr>
        <w:t>基金主要要素</w:t>
      </w:r>
    </w:p>
    <w:p w14:paraId="4BDCA353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（二）</w:t>
      </w:r>
      <w:r>
        <w:rPr>
          <w:rFonts w:hint="eastAsia"/>
        </w:rPr>
        <w:t>基金主要发起人</w:t>
      </w:r>
    </w:p>
    <w:p w14:paraId="6A72949F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（三）</w:t>
      </w:r>
      <w:r>
        <w:rPr>
          <w:rFonts w:hint="eastAsia"/>
        </w:rPr>
        <w:t>基金管理人及GP</w:t>
      </w:r>
    </w:p>
    <w:p w14:paraId="48BC8010">
      <w:pPr>
        <w:pStyle w:val="12"/>
        <w:rPr>
          <w:rFonts w:hint="eastAsia"/>
        </w:rPr>
      </w:pPr>
      <w:r>
        <w:rPr>
          <w:rFonts w:hint="eastAsia"/>
        </w:rPr>
        <w:t>1.管理人基本信息</w:t>
      </w:r>
    </w:p>
    <w:p w14:paraId="0289B9A9">
      <w:pPr>
        <w:pStyle w:val="12"/>
        <w:rPr>
          <w:rFonts w:hint="eastAsia"/>
        </w:rPr>
      </w:pPr>
      <w:r>
        <w:rPr>
          <w:rFonts w:hint="eastAsia"/>
        </w:rPr>
        <w:t>2.管理人业绩情况</w:t>
      </w:r>
    </w:p>
    <w:p w14:paraId="78A445AF">
      <w:pPr>
        <w:pStyle w:val="12"/>
        <w:rPr>
          <w:rFonts w:hint="eastAsia"/>
        </w:rPr>
      </w:pPr>
      <w:r>
        <w:rPr>
          <w:rFonts w:hint="eastAsia"/>
        </w:rPr>
        <w:t>3.管理人核心团队介绍</w:t>
      </w:r>
    </w:p>
    <w:p w14:paraId="51123ABE">
      <w:pPr>
        <w:pStyle w:val="12"/>
        <w:rPr>
          <w:rFonts w:hint="eastAsia"/>
        </w:rPr>
      </w:pPr>
      <w:r>
        <w:rPr>
          <w:rFonts w:hint="eastAsia"/>
        </w:rPr>
        <w:t>4.GP 基本信息</w:t>
      </w:r>
    </w:p>
    <w:p w14:paraId="436478A5">
      <w:pPr>
        <w:pStyle w:val="12"/>
        <w:rPr>
          <w:rFonts w:hint="eastAsia"/>
        </w:rPr>
      </w:pPr>
      <w:r>
        <w:rPr>
          <w:rFonts w:hint="eastAsia"/>
        </w:rPr>
        <w:t>5.GP 业绩情况</w:t>
      </w:r>
    </w:p>
    <w:p w14:paraId="007521D2">
      <w:pPr>
        <w:pStyle w:val="12"/>
        <w:rPr>
          <w:rFonts w:hint="eastAsia"/>
        </w:rPr>
      </w:pPr>
      <w:r>
        <w:rPr>
          <w:rFonts w:hint="eastAsia"/>
        </w:rPr>
        <w:t>6.GP 核心团队介绍</w:t>
      </w:r>
    </w:p>
    <w:p w14:paraId="0444E74C">
      <w:pPr>
        <w:pStyle w:val="12"/>
        <w:rPr>
          <w:rFonts w:hint="eastAsia"/>
          <w:color w:val="auto"/>
        </w:rPr>
      </w:pPr>
      <w:bookmarkStart w:id="0" w:name="OLE_LINK1"/>
      <w:r>
        <w:rPr>
          <w:rFonts w:hint="eastAsia"/>
          <w:color w:val="auto"/>
        </w:rPr>
        <w:t>7.管理基金情况</w:t>
      </w:r>
      <w:bookmarkEnd w:id="0"/>
    </w:p>
    <w:p w14:paraId="38274771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（四）基金核心要素</w:t>
      </w:r>
    </w:p>
    <w:p w14:paraId="09DF951D">
      <w:pPr>
        <w:pStyle w:val="12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三、业绩评价与归因</w:t>
      </w:r>
    </w:p>
    <w:p w14:paraId="18C106D6">
      <w:pPr>
        <w:pStyle w:val="13"/>
      </w:pPr>
      <w:r>
        <w:rPr>
          <w:rFonts w:hint="eastAsia"/>
          <w:lang w:val="en-US" w:eastAsia="zh-CN"/>
        </w:rPr>
        <w:t>四、</w:t>
      </w:r>
      <w:r>
        <w:t>基金运作规范</w:t>
      </w:r>
    </w:p>
    <w:p w14:paraId="72D9475A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（一）</w:t>
      </w:r>
      <w:r>
        <w:rPr>
          <w:rFonts w:hint="eastAsia"/>
        </w:rPr>
        <w:t>投资策略</w:t>
      </w:r>
    </w:p>
    <w:p w14:paraId="74652ABD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（二）</w:t>
      </w:r>
      <w:r>
        <w:rPr>
          <w:rFonts w:hint="eastAsia"/>
        </w:rPr>
        <w:t>基金投资流程</w:t>
      </w:r>
    </w:p>
    <w:p w14:paraId="5586B4F2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（三）</w:t>
      </w:r>
      <w:r>
        <w:rPr>
          <w:rFonts w:hint="eastAsia"/>
        </w:rPr>
        <w:t>基金风险分析及防控措施</w:t>
      </w:r>
    </w:p>
    <w:p w14:paraId="062BF0D4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（四）</w:t>
      </w:r>
      <w:r>
        <w:rPr>
          <w:rFonts w:hint="eastAsia"/>
        </w:rPr>
        <w:t>基金日常管理</w:t>
      </w:r>
    </w:p>
    <w:p w14:paraId="248973D3">
      <w:pPr>
        <w:pStyle w:val="13"/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 首批拟投重点项目</w:t>
      </w:r>
    </w:p>
    <w:p w14:paraId="7D178649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（一）</w:t>
      </w:r>
      <w:r>
        <w:rPr>
          <w:rFonts w:hint="eastAsia"/>
        </w:rPr>
        <w:t>项目一： (项目名称)</w:t>
      </w:r>
    </w:p>
    <w:p w14:paraId="5147C6E8">
      <w:pPr>
        <w:pStyle w:val="12"/>
        <w:rPr>
          <w:rFonts w:hint="eastAsia"/>
        </w:rPr>
      </w:pPr>
      <w:r>
        <w:rPr>
          <w:rFonts w:hint="eastAsia"/>
        </w:rPr>
        <w:t>1.拟投标的企业情况</w:t>
      </w:r>
    </w:p>
    <w:p w14:paraId="43CBE56A">
      <w:pPr>
        <w:pStyle w:val="12"/>
        <w:rPr>
          <w:rFonts w:hint="eastAsia"/>
        </w:rPr>
      </w:pPr>
      <w:r>
        <w:rPr>
          <w:rFonts w:hint="eastAsia"/>
        </w:rPr>
        <w:t>2.投资基本背景逻辑</w:t>
      </w:r>
    </w:p>
    <w:p w14:paraId="66144776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（二）</w:t>
      </w:r>
      <w:r>
        <w:rPr>
          <w:rFonts w:hint="eastAsia"/>
        </w:rPr>
        <w:t>项目二：  (项目名称)</w:t>
      </w:r>
    </w:p>
    <w:p w14:paraId="23CE7921">
      <w:pPr>
        <w:pStyle w:val="13"/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、重点储备项目</w:t>
      </w:r>
    </w:p>
    <w:p w14:paraId="146E2D48">
      <w:pPr>
        <w:pStyle w:val="13"/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、利益冲突和解决方案</w:t>
      </w:r>
    </w:p>
    <w:p w14:paraId="2D3678A4">
      <w:pPr>
        <w:pStyle w:val="13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资金募集计划说明</w:t>
      </w:r>
    </w:p>
    <w:p w14:paraId="5D75B17B">
      <w:pPr>
        <w:pStyle w:val="13"/>
      </w:pPr>
      <w:r>
        <w:rPr>
          <w:rFonts w:hint="eastAsia"/>
          <w:lang w:val="en-US" w:eastAsia="zh-CN"/>
        </w:rPr>
        <w:t>九</w:t>
      </w:r>
      <w:bookmarkStart w:id="20" w:name="_GoBack"/>
      <w:bookmarkEnd w:id="20"/>
      <w:r>
        <w:rPr>
          <w:rFonts w:hint="eastAsia"/>
        </w:rPr>
        <w:t>、子基金管理机构其他基础材料</w:t>
      </w:r>
    </w:p>
    <w:p w14:paraId="5EC06FA4">
      <w:pPr>
        <w:spacing w:before="120" w:after="120" w:line="221" w:lineRule="auto"/>
        <w:ind w:firstLine="580"/>
        <w:rPr>
          <w:rFonts w:hint="eastAsia" w:ascii="黑体" w:hAnsi="黑体" w:eastAsia="黑体" w:cs="黑体"/>
          <w:sz w:val="29"/>
          <w:szCs w:val="29"/>
        </w:rPr>
        <w:sectPr>
          <w:footerReference r:id="rId6" w:type="default"/>
          <w:pgSz w:w="11910" w:h="16850"/>
          <w:pgMar w:top="1432" w:right="1786" w:bottom="1353" w:left="1680" w:header="0" w:footer="1065" w:gutter="0"/>
          <w:cols w:space="720" w:num="1"/>
        </w:sectPr>
      </w:pPr>
    </w:p>
    <w:p w14:paraId="5008DBE4">
      <w:pPr>
        <w:pStyle w:val="13"/>
        <w:numPr>
          <w:ilvl w:val="0"/>
          <w:numId w:val="2"/>
        </w:numPr>
        <w:spacing w:before="0" w:after="0"/>
        <w:rPr>
          <w:rFonts w:hint="eastAsia"/>
        </w:rPr>
      </w:pPr>
      <w:r>
        <w:rPr>
          <w:rFonts w:hint="eastAsia"/>
        </w:rPr>
        <w:t>基金设立背景</w:t>
      </w:r>
    </w:p>
    <w:p w14:paraId="3AAE6294">
      <w:pPr>
        <w:ind w:firstLine="560" w:firstLineChars="200"/>
        <w:rPr>
          <w:rFonts w:hint="eastAsia" w:ascii="仿宋" w:hAnsi="仿宋" w:eastAsia="仿宋" w:cs="Times New Roman"/>
          <w:i/>
          <w:iCs/>
          <w:sz w:val="28"/>
          <w:szCs w:val="28"/>
        </w:rPr>
      </w:pPr>
      <w:bookmarkStart w:id="1" w:name="_Toc141770420"/>
      <w:bookmarkStart w:id="2" w:name="_Toc15554648"/>
      <w:bookmarkStart w:id="3" w:name="_Toc141772604"/>
      <w:bookmarkStart w:id="4" w:name="_Toc141770337"/>
      <w:bookmarkStart w:id="5" w:name="_Toc141770503"/>
      <w:bookmarkStart w:id="6" w:name="_Hlk148728650"/>
      <w:r>
        <w:rPr>
          <w:rFonts w:hint="eastAsia" w:ascii="仿宋" w:hAnsi="仿宋" w:eastAsia="仿宋" w:cs="Times New Roman"/>
          <w:i/>
          <w:iCs/>
          <w:sz w:val="28"/>
          <w:szCs w:val="28"/>
        </w:rPr>
        <w:t>（政策、</w:t>
      </w:r>
      <w:bookmarkEnd w:id="1"/>
      <w:bookmarkEnd w:id="2"/>
      <w:bookmarkEnd w:id="3"/>
      <w:bookmarkEnd w:id="4"/>
      <w:bookmarkEnd w:id="5"/>
      <w:bookmarkStart w:id="7" w:name="_Toc141770338"/>
      <w:bookmarkStart w:id="8" w:name="_Toc141770504"/>
      <w:bookmarkStart w:id="9" w:name="_Toc141770421"/>
      <w:bookmarkStart w:id="10" w:name="_Toc141772605"/>
      <w:bookmarkStart w:id="11" w:name="_Toc15554649"/>
      <w:r>
        <w:rPr>
          <w:rFonts w:hint="eastAsia" w:ascii="仿宋" w:hAnsi="仿宋" w:eastAsia="仿宋" w:cs="Times New Roman"/>
          <w:i/>
          <w:iCs/>
          <w:sz w:val="28"/>
          <w:szCs w:val="28"/>
        </w:rPr>
        <w:t>区域或产业发展背景</w:t>
      </w:r>
      <w:bookmarkEnd w:id="7"/>
      <w:bookmarkEnd w:id="8"/>
      <w:bookmarkEnd w:id="9"/>
      <w:bookmarkEnd w:id="10"/>
      <w:bookmarkEnd w:id="11"/>
      <w:bookmarkStart w:id="12" w:name="_Toc141772606"/>
      <w:bookmarkStart w:id="13" w:name="_Toc141770505"/>
      <w:bookmarkStart w:id="14" w:name="_Toc141770422"/>
      <w:bookmarkStart w:id="15" w:name="_Toc141770339"/>
      <w:r>
        <w:rPr>
          <w:rFonts w:hint="eastAsia" w:ascii="仿宋" w:hAnsi="仿宋" w:eastAsia="仿宋" w:cs="Times New Roman"/>
          <w:i/>
          <w:iCs/>
          <w:sz w:val="28"/>
          <w:szCs w:val="28"/>
        </w:rPr>
        <w:t>、与</w:t>
      </w:r>
      <w:r>
        <w:rPr>
          <w:rFonts w:hint="eastAsia" w:ascii="仿宋" w:hAnsi="仿宋" w:eastAsia="仿宋" w:cs="Times New Roman"/>
          <w:i/>
          <w:iCs/>
          <w:sz w:val="28"/>
          <w:szCs w:val="28"/>
          <w:lang w:val="en-US" w:eastAsia="zh-CN"/>
        </w:rPr>
        <w:t>鄂州市</w:t>
      </w:r>
      <w:r>
        <w:rPr>
          <w:rFonts w:hint="eastAsia" w:ascii="仿宋" w:hAnsi="仿宋" w:eastAsia="仿宋" w:cs="Times New Roman"/>
          <w:i/>
          <w:iCs/>
          <w:sz w:val="28"/>
          <w:szCs w:val="28"/>
        </w:rPr>
        <w:t>产业发展协同情况</w:t>
      </w:r>
      <w:bookmarkEnd w:id="12"/>
      <w:bookmarkEnd w:id="13"/>
      <w:bookmarkEnd w:id="14"/>
      <w:bookmarkEnd w:id="15"/>
      <w:r>
        <w:rPr>
          <w:rFonts w:hint="eastAsia" w:ascii="仿宋" w:hAnsi="仿宋" w:eastAsia="仿宋" w:cs="Times New Roman"/>
          <w:i/>
          <w:iCs/>
          <w:sz w:val="28"/>
          <w:szCs w:val="28"/>
        </w:rPr>
        <w:t>等）</w:t>
      </w:r>
    </w:p>
    <w:bookmarkEnd w:id="6"/>
    <w:p w14:paraId="54B0558B">
      <w:pPr>
        <w:pStyle w:val="13"/>
        <w:numPr>
          <w:ilvl w:val="0"/>
          <w:numId w:val="0"/>
        </w:numPr>
        <w:spacing w:before="0" w:after="0"/>
        <w:rPr>
          <w:rFonts w:hint="eastAsia"/>
        </w:rPr>
      </w:pPr>
    </w:p>
    <w:p w14:paraId="7EE8A9B1">
      <w:pPr>
        <w:pStyle w:val="13"/>
        <w:spacing w:before="0" w:after="0"/>
      </w:pPr>
      <w:r>
        <w:rPr>
          <w:rFonts w:hint="eastAsia"/>
        </w:rPr>
        <w:t>二、基金设立总体方案</w:t>
      </w:r>
    </w:p>
    <w:p w14:paraId="3EC2F2C6">
      <w:pPr>
        <w:pStyle w:val="14"/>
        <w:numPr>
          <w:ilvl w:val="0"/>
          <w:numId w:val="0"/>
        </w:numPr>
        <w:ind w:left="-10" w:leftChars="0" w:firstLine="580" w:firstLineChars="200"/>
        <w:rPr>
          <w:rFonts w:hint="eastAsia" w:ascii="楷体" w:hAnsi="楷体" w:eastAsia="楷体" w:cs="楷体"/>
          <w:color w:val="auto"/>
          <w:sz w:val="29"/>
          <w:szCs w:val="29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9"/>
          <w:szCs w:val="29"/>
          <w:lang w:val="en-US" w:eastAsia="zh-CN" w:bidi="ar-SA"/>
        </w:rPr>
        <w:t>（一）</w:t>
      </w:r>
      <w:r>
        <w:rPr>
          <w:rFonts w:hint="eastAsia"/>
        </w:rPr>
        <w:t>基金主要要素</w:t>
      </w:r>
    </w:p>
    <w:tbl>
      <w:tblPr>
        <w:tblStyle w:val="16"/>
        <w:tblpPr w:leftFromText="180" w:rightFromText="180" w:vertAnchor="text" w:horzAnchor="page" w:tblpX="1550" w:tblpY="150"/>
        <w:tblOverlap w:val="never"/>
        <w:tblW w:w="8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2097"/>
        <w:gridCol w:w="1289"/>
        <w:gridCol w:w="1169"/>
        <w:gridCol w:w="1268"/>
        <w:gridCol w:w="704"/>
      </w:tblGrid>
      <w:tr w14:paraId="3F360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63" w:type="dxa"/>
            <w:vAlign w:val="center"/>
          </w:tcPr>
          <w:p w14:paraId="57E858FD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基金名称</w:t>
            </w:r>
          </w:p>
        </w:tc>
        <w:tc>
          <w:tcPr>
            <w:tcW w:w="6527" w:type="dxa"/>
            <w:gridSpan w:val="5"/>
          </w:tcPr>
          <w:p w14:paraId="07AAD18F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7516A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63" w:type="dxa"/>
            <w:vAlign w:val="center"/>
          </w:tcPr>
          <w:p w14:paraId="15C914CF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基金注册地</w:t>
            </w:r>
          </w:p>
        </w:tc>
        <w:tc>
          <w:tcPr>
            <w:tcW w:w="6527" w:type="dxa"/>
            <w:gridSpan w:val="5"/>
          </w:tcPr>
          <w:p w14:paraId="5E30115B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1DB6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63" w:type="dxa"/>
            <w:vAlign w:val="center"/>
          </w:tcPr>
          <w:p w14:paraId="010AD388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基金规模</w:t>
            </w:r>
          </w:p>
        </w:tc>
        <w:tc>
          <w:tcPr>
            <w:tcW w:w="6527" w:type="dxa"/>
            <w:gridSpan w:val="5"/>
            <w:vAlign w:val="center"/>
          </w:tcPr>
          <w:p w14:paraId="1761CB05">
            <w:pPr>
              <w:pStyle w:val="15"/>
              <w:spacing w:before="156" w:after="156" w:line="227" w:lineRule="auto"/>
              <w:ind w:left="132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-8"/>
                <w:position w:val="-1"/>
              </w:rPr>
              <w:t xml:space="preserve">基金总规模：    </w:t>
            </w:r>
            <w:r>
              <w:rPr>
                <w:color w:val="auto"/>
                <w:spacing w:val="-8"/>
                <w:position w:val="1"/>
              </w:rPr>
              <w:t xml:space="preserve">首期认缴规模：  </w:t>
            </w:r>
            <w:r>
              <w:rPr>
                <w:color w:val="auto"/>
                <w:spacing w:val="-9"/>
                <w:position w:val="1"/>
              </w:rPr>
              <w:t xml:space="preserve">  </w:t>
            </w:r>
            <w:r>
              <w:rPr>
                <w:color w:val="auto"/>
                <w:spacing w:val="-9"/>
              </w:rPr>
              <w:t>首期拟实缴规模：</w:t>
            </w:r>
          </w:p>
        </w:tc>
      </w:tr>
      <w:tr w14:paraId="01190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63" w:type="dxa"/>
            <w:vAlign w:val="center"/>
          </w:tcPr>
          <w:p w14:paraId="747484BB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管理权益</w:t>
            </w:r>
          </w:p>
        </w:tc>
        <w:tc>
          <w:tcPr>
            <w:tcW w:w="6527" w:type="dxa"/>
            <w:gridSpan w:val="5"/>
            <w:vAlign w:val="center"/>
          </w:tcPr>
          <w:p w14:paraId="3514FC1F">
            <w:pPr>
              <w:pStyle w:val="15"/>
              <w:spacing w:before="156" w:after="156" w:line="227" w:lineRule="auto"/>
              <w:ind w:left="141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1"/>
              </w:rPr>
              <w:t>□自主管理型基金</w:t>
            </w:r>
            <w:r>
              <w:rPr>
                <w:color w:val="auto"/>
                <w:spacing w:val="10"/>
              </w:rPr>
              <w:t xml:space="preserve">           </w:t>
            </w:r>
            <w:r>
              <w:rPr>
                <w:color w:val="auto"/>
                <w:spacing w:val="1"/>
              </w:rPr>
              <w:t>□非自主管理型基金</w:t>
            </w:r>
          </w:p>
        </w:tc>
      </w:tr>
      <w:tr w14:paraId="7645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63" w:type="dxa"/>
            <w:vAlign w:val="center"/>
          </w:tcPr>
          <w:p w14:paraId="39612F65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基金存续期</w:t>
            </w:r>
          </w:p>
        </w:tc>
        <w:tc>
          <w:tcPr>
            <w:tcW w:w="6527" w:type="dxa"/>
            <w:gridSpan w:val="5"/>
            <w:vAlign w:val="center"/>
          </w:tcPr>
          <w:p w14:paraId="6063F89A">
            <w:pPr>
              <w:spacing w:before="156" w:after="156"/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</w:tr>
      <w:tr w14:paraId="526EF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 w14:paraId="53E16053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基金出资结构</w:t>
            </w:r>
          </w:p>
        </w:tc>
        <w:tc>
          <w:tcPr>
            <w:tcW w:w="2097" w:type="dxa"/>
            <w:vAlign w:val="center"/>
          </w:tcPr>
          <w:p w14:paraId="0839347C">
            <w:pPr>
              <w:pStyle w:val="15"/>
              <w:spacing w:before="156" w:after="156"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</w:rPr>
              <w:t>出资人名称</w:t>
            </w:r>
          </w:p>
        </w:tc>
        <w:tc>
          <w:tcPr>
            <w:tcW w:w="1289" w:type="dxa"/>
            <w:vAlign w:val="center"/>
          </w:tcPr>
          <w:p w14:paraId="159F34D8">
            <w:pPr>
              <w:pStyle w:val="15"/>
              <w:spacing w:before="156" w:after="156"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类型</w:t>
            </w:r>
          </w:p>
        </w:tc>
        <w:tc>
          <w:tcPr>
            <w:tcW w:w="1169" w:type="dxa"/>
            <w:vAlign w:val="center"/>
          </w:tcPr>
          <w:p w14:paraId="17BAF400">
            <w:pPr>
              <w:pStyle w:val="15"/>
              <w:spacing w:before="156" w:after="156" w:line="240" w:lineRule="auto"/>
              <w:ind w:firstLine="0" w:firstLineChars="0"/>
              <w:jc w:val="center"/>
              <w:rPr>
                <w:color w:val="auto"/>
                <w:spacing w:val="7"/>
              </w:rPr>
            </w:pPr>
            <w:r>
              <w:rPr>
                <w:color w:val="auto"/>
                <w:spacing w:val="7"/>
              </w:rPr>
              <w:t>首期</w:t>
            </w:r>
          </w:p>
          <w:p w14:paraId="7A2F59F2">
            <w:pPr>
              <w:pStyle w:val="15"/>
              <w:spacing w:before="156" w:after="156"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认缴金额</w:t>
            </w:r>
          </w:p>
        </w:tc>
        <w:tc>
          <w:tcPr>
            <w:tcW w:w="1268" w:type="dxa"/>
            <w:vAlign w:val="center"/>
          </w:tcPr>
          <w:p w14:paraId="059A90BA">
            <w:pPr>
              <w:pStyle w:val="15"/>
              <w:spacing w:before="156" w:after="156"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首期</w:t>
            </w:r>
          </w:p>
          <w:p w14:paraId="15AEF422">
            <w:pPr>
              <w:pStyle w:val="15"/>
              <w:spacing w:before="156" w:after="156"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拟实缴金额</w:t>
            </w:r>
          </w:p>
        </w:tc>
        <w:tc>
          <w:tcPr>
            <w:tcW w:w="704" w:type="dxa"/>
            <w:vAlign w:val="center"/>
          </w:tcPr>
          <w:p w14:paraId="73D8778B">
            <w:pPr>
              <w:pStyle w:val="15"/>
              <w:spacing w:before="156" w:after="156"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8"/>
              </w:rPr>
              <w:t>出资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占比</w:t>
            </w:r>
          </w:p>
        </w:tc>
      </w:tr>
      <w:tr w14:paraId="3CAD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 w14:paraId="06D47925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097" w:type="dxa"/>
          </w:tcPr>
          <w:p w14:paraId="20382F80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289" w:type="dxa"/>
          </w:tcPr>
          <w:p w14:paraId="2682F7AD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169" w:type="dxa"/>
          </w:tcPr>
          <w:p w14:paraId="096467D7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268" w:type="dxa"/>
          </w:tcPr>
          <w:p w14:paraId="6BF05B3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704" w:type="dxa"/>
          </w:tcPr>
          <w:p w14:paraId="7EE89BC7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15585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 w14:paraId="5ACDC128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097" w:type="dxa"/>
          </w:tcPr>
          <w:p w14:paraId="2277FA18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289" w:type="dxa"/>
          </w:tcPr>
          <w:p w14:paraId="6FC2270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169" w:type="dxa"/>
          </w:tcPr>
          <w:p w14:paraId="06606694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268" w:type="dxa"/>
          </w:tcPr>
          <w:p w14:paraId="3B4BFB3B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704" w:type="dxa"/>
          </w:tcPr>
          <w:p w14:paraId="6CF1DA80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20DD8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 w14:paraId="795D7853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097" w:type="dxa"/>
          </w:tcPr>
          <w:p w14:paraId="11DE0D3A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289" w:type="dxa"/>
          </w:tcPr>
          <w:p w14:paraId="0EAE3454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169" w:type="dxa"/>
          </w:tcPr>
          <w:p w14:paraId="4C1A2E37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1268" w:type="dxa"/>
          </w:tcPr>
          <w:p w14:paraId="236BDA8F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704" w:type="dxa"/>
          </w:tcPr>
          <w:p w14:paraId="7BAC6CF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0C3A9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963" w:type="dxa"/>
            <w:vAlign w:val="center"/>
          </w:tcPr>
          <w:p w14:paraId="6CD7933F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基金管理人</w:t>
            </w:r>
          </w:p>
        </w:tc>
        <w:tc>
          <w:tcPr>
            <w:tcW w:w="6527" w:type="dxa"/>
            <w:gridSpan w:val="5"/>
          </w:tcPr>
          <w:p w14:paraId="2538B9BF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4BC8B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63" w:type="dxa"/>
            <w:vAlign w:val="center"/>
          </w:tcPr>
          <w:p w14:paraId="3DC86BF5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管理机制</w:t>
            </w:r>
          </w:p>
          <w:p w14:paraId="4CE25DB6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(如有双GP)</w:t>
            </w:r>
          </w:p>
        </w:tc>
        <w:tc>
          <w:tcPr>
            <w:tcW w:w="6527" w:type="dxa"/>
            <w:gridSpan w:val="5"/>
          </w:tcPr>
          <w:p w14:paraId="2331E271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4144E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63" w:type="dxa"/>
            <w:vAlign w:val="center"/>
          </w:tcPr>
          <w:p w14:paraId="6EDE59BF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执行事务合伙人</w:t>
            </w:r>
          </w:p>
        </w:tc>
        <w:tc>
          <w:tcPr>
            <w:tcW w:w="6527" w:type="dxa"/>
            <w:gridSpan w:val="5"/>
          </w:tcPr>
          <w:p w14:paraId="6325EEBE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</w:tbl>
    <w:tbl>
      <w:tblPr>
        <w:tblStyle w:val="16"/>
        <w:tblW w:w="8490" w:type="dxa"/>
        <w:tblInd w:w="-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6540"/>
      </w:tblGrid>
      <w:tr w14:paraId="5C647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950" w:type="dxa"/>
            <w:vAlign w:val="center"/>
          </w:tcPr>
          <w:p w14:paraId="0A6CAED6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执行事务合伙人 委派代表</w:t>
            </w:r>
          </w:p>
        </w:tc>
        <w:tc>
          <w:tcPr>
            <w:tcW w:w="6540" w:type="dxa"/>
            <w:vAlign w:val="center"/>
          </w:tcPr>
          <w:p w14:paraId="067BF4A1">
            <w:pPr>
              <w:pStyle w:val="15"/>
              <w:spacing w:beforeLines="0" w:afterLines="0"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</w:tr>
      <w:tr w14:paraId="4955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50" w:type="dxa"/>
            <w:vAlign w:val="center"/>
          </w:tcPr>
          <w:p w14:paraId="1438BD78">
            <w:pPr>
              <w:pStyle w:val="15"/>
              <w:spacing w:beforeLines="0" w:afterLines="0" w:line="219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管理费</w:t>
            </w:r>
          </w:p>
        </w:tc>
        <w:tc>
          <w:tcPr>
            <w:tcW w:w="6540" w:type="dxa"/>
          </w:tcPr>
          <w:p w14:paraId="5FC951D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6B3E9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950" w:type="dxa"/>
            <w:vAlign w:val="center"/>
          </w:tcPr>
          <w:p w14:paraId="7F89A814">
            <w:pPr>
              <w:pStyle w:val="15"/>
              <w:spacing w:beforeLines="0" w:afterLines="0" w:line="22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投资领域</w:t>
            </w:r>
          </w:p>
        </w:tc>
        <w:tc>
          <w:tcPr>
            <w:tcW w:w="6540" w:type="dxa"/>
          </w:tcPr>
          <w:p w14:paraId="5F02031F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6FD93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50" w:type="dxa"/>
            <w:vAlign w:val="center"/>
          </w:tcPr>
          <w:p w14:paraId="5C86E44E">
            <w:pPr>
              <w:pStyle w:val="15"/>
              <w:spacing w:beforeLines="0" w:afterLines="0" w:line="22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基金返投方案</w:t>
            </w:r>
          </w:p>
        </w:tc>
        <w:tc>
          <w:tcPr>
            <w:tcW w:w="6540" w:type="dxa"/>
          </w:tcPr>
          <w:p w14:paraId="3DF15F13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32F3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50" w:type="dxa"/>
            <w:vAlign w:val="center"/>
          </w:tcPr>
          <w:p w14:paraId="7ABEADE4">
            <w:pPr>
              <w:pStyle w:val="15"/>
              <w:spacing w:beforeLines="0" w:afterLines="0" w:line="219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基金决策机制</w:t>
            </w:r>
          </w:p>
        </w:tc>
        <w:tc>
          <w:tcPr>
            <w:tcW w:w="6540" w:type="dxa"/>
          </w:tcPr>
          <w:p w14:paraId="0021FCFE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471DF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50" w:type="dxa"/>
            <w:vAlign w:val="center"/>
          </w:tcPr>
          <w:p w14:paraId="39A39D4E">
            <w:pPr>
              <w:pStyle w:val="15"/>
              <w:spacing w:beforeLines="0" w:afterLines="0" w:line="219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收益分配</w:t>
            </w:r>
          </w:p>
        </w:tc>
        <w:tc>
          <w:tcPr>
            <w:tcW w:w="6540" w:type="dxa"/>
          </w:tcPr>
          <w:p w14:paraId="54D694F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0BEDC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950" w:type="dxa"/>
            <w:vAlign w:val="center"/>
          </w:tcPr>
          <w:p w14:paraId="63234194">
            <w:pPr>
              <w:pStyle w:val="15"/>
              <w:spacing w:beforeLines="0" w:afterLines="0" w:line="219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退出机制</w:t>
            </w:r>
          </w:p>
        </w:tc>
        <w:tc>
          <w:tcPr>
            <w:tcW w:w="6540" w:type="dxa"/>
          </w:tcPr>
          <w:p w14:paraId="5A97C858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5BED5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50" w:type="dxa"/>
            <w:vAlign w:val="center"/>
          </w:tcPr>
          <w:p w14:paraId="3B43876C">
            <w:pPr>
              <w:pStyle w:val="15"/>
              <w:spacing w:beforeLines="0" w:afterLines="0" w:line="219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缴款方式</w:t>
            </w:r>
          </w:p>
        </w:tc>
        <w:tc>
          <w:tcPr>
            <w:tcW w:w="6540" w:type="dxa"/>
            <w:vAlign w:val="center"/>
          </w:tcPr>
          <w:p w14:paraId="28AEFB59">
            <w:pPr>
              <w:pStyle w:val="15"/>
              <w:spacing w:before="156" w:after="156" w:line="219" w:lineRule="auto"/>
              <w:ind w:left="181" w:firstLine="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首期缴款金额及后期缴款前提条件</w:t>
            </w:r>
          </w:p>
        </w:tc>
      </w:tr>
    </w:tbl>
    <w:p w14:paraId="3B85D6E0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（二）</w:t>
      </w:r>
      <w:r>
        <w:t>基金主要发起人</w:t>
      </w:r>
    </w:p>
    <w:p w14:paraId="18911510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（三）</w:t>
      </w:r>
      <w:r>
        <w:t>基金管理人及GP</w:t>
      </w:r>
    </w:p>
    <w:p w14:paraId="10E1B772">
      <w:pPr>
        <w:pStyle w:val="12"/>
        <w:rPr>
          <w:rFonts w:hint="eastAsia"/>
        </w:rPr>
      </w:pPr>
      <w:r>
        <w:t>1.管理人基本信息</w:t>
      </w:r>
    </w:p>
    <w:p w14:paraId="3E473F78">
      <w:pPr>
        <w:pStyle w:val="12"/>
      </w:pPr>
      <w:r>
        <w:t>2.管理人业绩情况</w:t>
      </w:r>
    </w:p>
    <w:p w14:paraId="4E5ABB21">
      <w:pPr>
        <w:pStyle w:val="12"/>
      </w:pPr>
      <w:r>
        <w:t>3.管理人核心团队介绍</w:t>
      </w:r>
    </w:p>
    <w:p w14:paraId="5CDCB3D2">
      <w:pPr>
        <w:snapToGrid w:val="0"/>
        <w:spacing w:line="360" w:lineRule="auto"/>
        <w:rPr>
          <w:rFonts w:hint="eastAsia"/>
        </w:rPr>
      </w:pPr>
      <w:r>
        <w:rPr>
          <w:rFonts w:ascii="Times New Roman" w:hAnsi="Times New Roman" w:eastAsia="楷体_GB2312" w:cs="Times New Roman"/>
          <w:i/>
          <w:sz w:val="28"/>
          <w:szCs w:val="28"/>
        </w:rPr>
        <w:t>（请提供关键人士、投委会成员、合伙人等核心人员</w:t>
      </w: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介绍、</w:t>
      </w:r>
      <w:r>
        <w:rPr>
          <w:rFonts w:ascii="Times New Roman" w:hAnsi="Times New Roman" w:eastAsia="楷体_GB2312" w:cs="Times New Roman"/>
          <w:i/>
          <w:sz w:val="28"/>
          <w:szCs w:val="28"/>
        </w:rPr>
        <w:t>过往工作</w:t>
      </w: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情况</w:t>
      </w:r>
      <w:r>
        <w:rPr>
          <w:rFonts w:ascii="Times New Roman" w:hAnsi="Times New Roman" w:eastAsia="楷体_GB2312" w:cs="Times New Roman"/>
          <w:i/>
          <w:sz w:val="28"/>
          <w:szCs w:val="28"/>
        </w:rPr>
        <w:t>、核心团队成员的职能</w:t>
      </w: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、团队成员彼此认识或共事情况、最近5年人员离职情况）</w:t>
      </w:r>
      <w:r>
        <w:rPr>
          <w:rFonts w:ascii="Times New Roman" w:hAnsi="Times New Roman" w:eastAsia="楷体_GB2312" w:cs="Times New Roman"/>
          <w:i/>
          <w:sz w:val="28"/>
          <w:szCs w:val="28"/>
        </w:rPr>
        <w:t xml:space="preserve"> </w:t>
      </w:r>
    </w:p>
    <w:p w14:paraId="09C9C758">
      <w:pPr>
        <w:pStyle w:val="12"/>
        <w:rPr>
          <w:rFonts w:hint="eastAsia"/>
        </w:rPr>
      </w:pPr>
      <w:r>
        <w:t>4.GP 基本信息</w:t>
      </w:r>
      <w:r>
        <w:rPr>
          <w:rFonts w:hint="eastAsia"/>
        </w:rPr>
        <w:t>（管理人和GP一致时无此项）</w:t>
      </w:r>
    </w:p>
    <w:p w14:paraId="1CF13318">
      <w:pPr>
        <w:pStyle w:val="12"/>
        <w:rPr>
          <w:rFonts w:hint="eastAsia"/>
        </w:rPr>
      </w:pPr>
      <w:r>
        <w:t>5.GP 业绩情况</w:t>
      </w:r>
    </w:p>
    <w:p w14:paraId="6C41D511">
      <w:pPr>
        <w:pStyle w:val="12"/>
        <w:rPr>
          <w:rFonts w:hint="eastAsia"/>
        </w:rPr>
      </w:pPr>
      <w:r>
        <w:t>6.GP 核心团队介绍</w:t>
      </w:r>
    </w:p>
    <w:p w14:paraId="3497D39B">
      <w:pPr>
        <w:pStyle w:val="12"/>
        <w:rPr>
          <w:rFonts w:hint="eastAsia"/>
          <w:color w:val="auto"/>
        </w:rPr>
      </w:pPr>
      <w:r>
        <w:rPr>
          <w:rFonts w:hint="eastAsia"/>
          <w:color w:val="auto"/>
        </w:rPr>
        <w:t>7.管理基金情况</w:t>
      </w:r>
    </w:p>
    <w:p w14:paraId="3F9DA079">
      <w:pPr>
        <w:pStyle w:val="12"/>
        <w:ind w:firstLine="664"/>
        <w:rPr>
          <w:rFonts w:hint="eastAsia"/>
        </w:rPr>
      </w:pPr>
      <w:r>
        <w:rPr>
          <w:rFonts w:hint="eastAsia" w:ascii="Times New Roman" w:hAnsi="Times New Roman"/>
          <w:spacing w:val="6"/>
        </w:rPr>
        <w:t>说明并提供管理基金列表。同时请附上证明“</w:t>
      </w:r>
      <w:r>
        <w:rPr>
          <w:rFonts w:hint="eastAsia" w:ascii="Times New Roman" w:hAnsi="Times New Roman"/>
          <w:bCs/>
        </w:rPr>
        <w:t>子</w:t>
      </w:r>
      <w:r>
        <w:rPr>
          <w:rFonts w:hint="eastAsia" w:ascii="Times New Roman" w:hAnsi="Times New Roman"/>
          <w:bCs/>
          <w:color w:val="auto"/>
        </w:rPr>
        <w:t>基金管理机构或其主要股东（公司制）、普通合伙人（合伙制），或其</w:t>
      </w:r>
      <w:r>
        <w:rPr>
          <w:rFonts w:hint="eastAsia"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核心团队（合伙人级别的团队成员，下同）作为骨干成员</w:t>
      </w:r>
      <w:r>
        <w:rPr>
          <w:rFonts w:hint="eastAsia" w:ascii="Times New Roman" w:hAnsi="Times New Roman"/>
          <w:bCs/>
          <w:color w:val="auto"/>
        </w:rPr>
        <w:t>，</w:t>
      </w:r>
      <w:r>
        <w:rPr>
          <w:rFonts w:hint="eastAsia" w:ascii="Times New Roman" w:hAnsi="Times New Roman"/>
          <w:bCs/>
        </w:rPr>
        <w:t>共同累计管理创业投资基金实缴规模不低于3亿元人民币（或等值货币）</w:t>
      </w:r>
      <w:r>
        <w:rPr>
          <w:rFonts w:hint="eastAsia" w:ascii="Times New Roman" w:hAnsi="Times New Roman"/>
          <w:spacing w:val="6"/>
        </w:rPr>
        <w:t>”的相关材料，包括但不限于提供LPA关键页、基金审计报告关键页等材料。</w:t>
      </w:r>
      <w:r>
        <w:rPr>
          <w:rFonts w:hint="eastAsia"/>
        </w:rPr>
        <w:t>其中，对核心团队作为骨干成员管理的基金，需提供以下证明材料：</w:t>
      </w:r>
    </w:p>
    <w:p w14:paraId="1D222085">
      <w:pPr>
        <w:pStyle w:val="12"/>
        <w:rPr>
          <w:rFonts w:hint="eastAsia"/>
        </w:rPr>
      </w:pPr>
      <w:r>
        <w:rPr>
          <w:rFonts w:hint="eastAsia"/>
        </w:rPr>
        <w:t>（一）基金LPA，其中约定该成员为基金的关键人士；或担任投资决策委员会成员的证明材料。</w:t>
      </w:r>
    </w:p>
    <w:p w14:paraId="41464AA2">
      <w:pPr>
        <w:pStyle w:val="12"/>
        <w:rPr>
          <w:rFonts w:hint="eastAsia"/>
        </w:rPr>
      </w:pPr>
      <w:r>
        <w:rPr>
          <w:rFonts w:hint="eastAsia"/>
        </w:rPr>
        <w:t>（二）时任公司出具的岗位证明或劳动合同等材料。</w:t>
      </w:r>
    </w:p>
    <w:p w14:paraId="40AA0B28">
      <w:pPr>
        <w:pStyle w:val="14"/>
        <w:numPr>
          <w:ilvl w:val="0"/>
          <w:numId w:val="0"/>
        </w:numPr>
        <w:ind w:left="-11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（四）</w:t>
      </w:r>
      <w:r>
        <w:rPr>
          <w:rFonts w:hint="eastAsia"/>
        </w:rPr>
        <w:t>基金核心要素</w:t>
      </w:r>
    </w:p>
    <w:p w14:paraId="567AE35C">
      <w:pPr>
        <w:pStyle w:val="12"/>
        <w:ind w:firstLine="664"/>
        <w:rPr>
          <w:rFonts w:hint="eastAsia"/>
        </w:rPr>
      </w:pPr>
      <w:r>
        <w:rPr>
          <w:rFonts w:hint="eastAsia" w:ascii="Times New Roman" w:hAnsi="Times New Roman"/>
          <w:spacing w:val="6"/>
        </w:rPr>
        <w:t>重点说明</w:t>
      </w:r>
      <w:r>
        <w:rPr>
          <w:rFonts w:ascii="Times New Roman" w:hAnsi="Times New Roman"/>
          <w:spacing w:val="6"/>
        </w:rPr>
        <w:t>管理人对</w:t>
      </w:r>
      <w:r>
        <w:rPr>
          <w:rFonts w:hint="eastAsia" w:ascii="Times New Roman" w:hAnsi="Times New Roman"/>
          <w:spacing w:val="6"/>
        </w:rPr>
        <w:t>子</w:t>
      </w:r>
      <w:r>
        <w:rPr>
          <w:rFonts w:ascii="Times New Roman" w:hAnsi="Times New Roman"/>
          <w:spacing w:val="6"/>
        </w:rPr>
        <w:t>基金的运作理念与</w:t>
      </w:r>
      <w:r>
        <w:rPr>
          <w:rFonts w:hint="eastAsia" w:ascii="Times New Roman" w:hAnsi="Times New Roman"/>
          <w:spacing w:val="6"/>
        </w:rPr>
        <w:t>投资</w:t>
      </w:r>
      <w:r>
        <w:rPr>
          <w:rFonts w:ascii="Times New Roman" w:hAnsi="Times New Roman"/>
          <w:spacing w:val="6"/>
        </w:rPr>
        <w:t>策</w:t>
      </w:r>
      <w:r>
        <w:rPr>
          <w:rFonts w:ascii="Times New Roman" w:hAnsi="Times New Roman"/>
          <w:color w:val="auto"/>
          <w:spacing w:val="6"/>
        </w:rPr>
        <w:t>略</w:t>
      </w:r>
      <w:r>
        <w:rPr>
          <w:rFonts w:hint="eastAsia" w:ascii="Times New Roman" w:hAnsi="Times New Roman"/>
          <w:color w:val="auto"/>
          <w:spacing w:val="6"/>
        </w:rPr>
        <w:t>，</w:t>
      </w:r>
      <w:r>
        <w:rPr>
          <w:rFonts w:hint="eastAsia" w:ascii="Times New Roman" w:hAnsi="Times New Roman"/>
          <w:b/>
          <w:bCs/>
          <w:color w:val="auto"/>
          <w:spacing w:val="6"/>
        </w:rPr>
        <w:t>子基金投资方向与鑫时代鄂州基金拟重点支持方向的契合度</w:t>
      </w:r>
      <w:r>
        <w:rPr>
          <w:rFonts w:hint="eastAsia" w:ascii="Times New Roman" w:hAnsi="Times New Roman"/>
          <w:color w:val="auto"/>
          <w:spacing w:val="6"/>
        </w:rPr>
        <w:t>，</w:t>
      </w:r>
      <w:r>
        <w:rPr>
          <w:rFonts w:ascii="Times New Roman" w:hAnsi="Times New Roman"/>
          <w:color w:val="auto"/>
          <w:spacing w:val="6"/>
        </w:rPr>
        <w:t>子基金投资方向与管理机构资源禀赋相关性</w:t>
      </w:r>
      <w:r>
        <w:rPr>
          <w:rFonts w:hint="eastAsia" w:ascii="Times New Roman" w:hAnsi="Times New Roman"/>
          <w:color w:val="auto"/>
          <w:spacing w:val="6"/>
        </w:rPr>
        <w:t>，</w:t>
      </w:r>
      <w:r>
        <w:rPr>
          <w:rFonts w:hint="eastAsia" w:ascii="Times New Roman" w:hAnsi="Times New Roman"/>
          <w:spacing w:val="6"/>
        </w:rPr>
        <w:t>并提供附件3基金要素表。</w:t>
      </w:r>
    </w:p>
    <w:p w14:paraId="4625D287">
      <w:pPr>
        <w:pStyle w:val="13"/>
        <w:rPr>
          <w:rFonts w:hint="eastAsia"/>
        </w:rPr>
      </w:pPr>
      <w:r>
        <w:t>三、</w:t>
      </w:r>
      <w:r>
        <w:rPr>
          <w:rFonts w:hint="eastAsia"/>
        </w:rPr>
        <w:t>业绩评价与归因</w:t>
      </w:r>
    </w:p>
    <w:p w14:paraId="03F59FAC">
      <w:pPr>
        <w:keepNext/>
        <w:keepLines/>
        <w:snapToGrid w:val="0"/>
        <w:spacing w:before="156" w:beforeLines="50" w:after="0" w:afterLines="-2147483648" w:line="360" w:lineRule="auto"/>
        <w:ind w:firstLine="562" w:firstLineChars="200"/>
        <w:outlineLvl w:val="1"/>
        <w:rPr>
          <w:rFonts w:ascii="Times New Roman" w:hAnsi="Times New Roman" w:eastAsia="楷体_GB2312" w:cs="Times New Roman"/>
          <w:i/>
          <w:iCs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eastAsia="zh-CN"/>
          <w14:ligatures w14:val="none"/>
        </w:rPr>
        <w:t xml:space="preserve">（一）历史投资业绩定量分析 </w:t>
      </w:r>
      <w:bookmarkStart w:id="16" w:name="_Toc141770346"/>
      <w:bookmarkStart w:id="17" w:name="_Toc141772613"/>
      <w:bookmarkStart w:id="18" w:name="_Toc141770515"/>
      <w:bookmarkStart w:id="19" w:name="_Toc141770429"/>
      <w:r>
        <w:rPr>
          <w:rFonts w:hint="eastAsia" w:ascii="Times New Roman" w:hAnsi="Times New Roman" w:eastAsia="楷体_GB2312" w:cs="Times New Roman"/>
          <w:i/>
          <w:iCs/>
          <w:sz w:val="28"/>
          <w:szCs w:val="28"/>
        </w:rPr>
        <w:t>（包括IRR</w:t>
      </w:r>
      <w:r>
        <w:rPr>
          <w:rFonts w:ascii="Times New Roman" w:hAnsi="Times New Roman" w:eastAsia="楷体_GB2312" w:cs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楷体_GB2312" w:cs="Times New Roman"/>
          <w:i/>
          <w:iCs/>
          <w:sz w:val="28"/>
          <w:szCs w:val="28"/>
        </w:rPr>
        <w:t>DPI等指标）</w:t>
      </w:r>
      <w:bookmarkEnd w:id="16"/>
      <w:bookmarkEnd w:id="17"/>
      <w:bookmarkEnd w:id="18"/>
      <w:bookmarkEnd w:id="19"/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360"/>
        <w:gridCol w:w="720"/>
        <w:gridCol w:w="982"/>
        <w:gridCol w:w="1276"/>
        <w:gridCol w:w="1417"/>
        <w:gridCol w:w="993"/>
        <w:gridCol w:w="850"/>
        <w:gridCol w:w="851"/>
        <w:gridCol w:w="850"/>
      </w:tblGrid>
      <w:tr w14:paraId="1076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5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922058A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pacing w:val="6"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6"/>
                <w:kern w:val="0"/>
                <w:sz w:val="22"/>
                <w:lang w:val="en-GB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B0D84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i/>
                <w:i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6"/>
                <w:kern w:val="0"/>
                <w:sz w:val="22"/>
                <w:lang w:val="en-GB"/>
              </w:rPr>
              <w:t>基金名称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680B0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6"/>
                <w:kern w:val="0"/>
                <w:sz w:val="22"/>
                <w:lang w:val="en-GB"/>
              </w:rPr>
              <w:t>设立时间</w:t>
            </w:r>
          </w:p>
        </w:tc>
        <w:tc>
          <w:tcPr>
            <w:tcW w:w="982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4AA23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"/>
                <w:kern w:val="0"/>
                <w:sz w:val="22"/>
                <w:lang w:val="en-GB"/>
              </w:rPr>
              <w:t>实缴规模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8919C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3"/>
                <w:kern w:val="0"/>
                <w:sz w:val="22"/>
                <w:lang w:val="en-GB"/>
              </w:rPr>
              <w:t>对外投资金额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F9038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  <w:t>基金当前整体估值</w:t>
            </w:r>
          </w:p>
        </w:tc>
        <w:tc>
          <w:tcPr>
            <w:tcW w:w="993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3230D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  <w:t>投资项目数量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89A52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2"/>
                <w:kern w:val="0"/>
                <w:sz w:val="22"/>
                <w:lang w:val="en-GB"/>
              </w:rPr>
              <w:t>D</w:t>
            </w:r>
            <w:r>
              <w:rPr>
                <w:rFonts w:ascii="仿宋" w:hAnsi="仿宋" w:eastAsia="仿宋" w:cs="Times New Roman"/>
                <w:b/>
                <w:bCs/>
                <w:spacing w:val="-2"/>
                <w:kern w:val="0"/>
                <w:sz w:val="22"/>
                <w:lang w:val="en-GB"/>
              </w:rPr>
              <w:t>PI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FB3F0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5"/>
                <w:kern w:val="0"/>
                <w:sz w:val="22"/>
                <w:lang w:val="en-GB"/>
              </w:rPr>
              <w:t>回报倍数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7A231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lang w:val="en-GB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2"/>
                <w:lang w:val="en-GB"/>
              </w:rPr>
              <w:t>IRR</w:t>
            </w:r>
          </w:p>
        </w:tc>
      </w:tr>
      <w:tr w14:paraId="574A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854" w:type="dxa"/>
            <w:shd w:val="clear" w:color="auto" w:fill="FFFFFF"/>
          </w:tcPr>
          <w:p w14:paraId="45FDA481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  <w:t>1</w:t>
            </w:r>
          </w:p>
        </w:tc>
        <w:tc>
          <w:tcPr>
            <w:tcW w:w="136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4E813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72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5E3C9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9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ED409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DBC04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EC064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99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C9E48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1463A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1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9CFCF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2B27C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</w:tr>
      <w:tr w14:paraId="6B9B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854" w:type="dxa"/>
            <w:shd w:val="clear" w:color="auto" w:fill="FFFFFF"/>
          </w:tcPr>
          <w:p w14:paraId="147C9506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  <w:t>2</w:t>
            </w:r>
          </w:p>
        </w:tc>
        <w:tc>
          <w:tcPr>
            <w:tcW w:w="136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FD37B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72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77CA5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9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61DA3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01C75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45983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99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239A8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5F3FD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1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A7C8C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68B5C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</w:tr>
      <w:tr w14:paraId="5C13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854" w:type="dxa"/>
            <w:shd w:val="clear" w:color="auto" w:fill="FFFFFF"/>
          </w:tcPr>
          <w:p w14:paraId="41E26C82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  <w:t>3</w:t>
            </w:r>
          </w:p>
        </w:tc>
        <w:tc>
          <w:tcPr>
            <w:tcW w:w="136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C7E98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72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3EE46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9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14E2A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DF5A5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A70DE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99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95F6C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5C288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1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AB86B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182D0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</w:tr>
      <w:tr w14:paraId="059F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854" w:type="dxa"/>
            <w:shd w:val="clear" w:color="auto" w:fill="FFFFFF"/>
          </w:tcPr>
          <w:p w14:paraId="2130FA50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lang w:val="en-GB"/>
              </w:rPr>
              <w:t>4</w:t>
            </w:r>
          </w:p>
        </w:tc>
        <w:tc>
          <w:tcPr>
            <w:tcW w:w="136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3DF15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72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37F09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9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6E588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666C7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68EBB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0C016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8BD6C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8A7B9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00626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4F81BD"/>
                <w:kern w:val="0"/>
                <w:sz w:val="22"/>
                <w:lang w:val="en-GB" w:eastAsia="en-US"/>
              </w:rPr>
            </w:pPr>
          </w:p>
        </w:tc>
      </w:tr>
      <w:tr w14:paraId="6602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2934" w:type="dxa"/>
            <w:gridSpan w:val="3"/>
            <w:shd w:val="clear" w:color="auto" w:fill="FFFFFF"/>
          </w:tcPr>
          <w:p w14:paraId="1FD5BD90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  <w:r>
              <w:rPr>
                <w:rFonts w:hint="eastAsia" w:ascii="仿宋" w:hAnsi="仿宋" w:eastAsia="仿宋" w:cs="Times New Roman"/>
                <w:b/>
                <w:spacing w:val="1"/>
                <w:kern w:val="0"/>
                <w:sz w:val="22"/>
                <w:lang w:val="en-GB"/>
              </w:rPr>
              <w:t>总计</w:t>
            </w:r>
          </w:p>
        </w:tc>
        <w:tc>
          <w:tcPr>
            <w:tcW w:w="9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5CB97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127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DC8A2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141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81AC2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FF4B5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73CA7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43629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B2C6D"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color w:val="4F81BD"/>
                <w:kern w:val="0"/>
                <w:sz w:val="22"/>
                <w:lang w:val="en-GB" w:eastAsia="en-US"/>
              </w:rPr>
            </w:pPr>
          </w:p>
        </w:tc>
      </w:tr>
    </w:tbl>
    <w:p w14:paraId="136CEB4A">
      <w:pPr>
        <w:keepNext/>
        <w:keepLines/>
        <w:snapToGrid w:val="0"/>
        <w:spacing w:before="156" w:beforeLines="50" w:after="0" w:afterLines="-2147483648" w:line="360" w:lineRule="auto"/>
        <w:ind w:firstLine="562" w:firstLineChars="200"/>
        <w:outlineLvl w:val="1"/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eastAsia="zh-CN"/>
          <w14:ligatures w14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  <w14:ligatures w14:val="none"/>
        </w:rPr>
        <w:t>二）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  <w:t>历史基金投资退出情况分析</w:t>
      </w:r>
    </w:p>
    <w:p w14:paraId="5E29192D">
      <w:pPr>
        <w:keepNext/>
        <w:keepLines/>
        <w:snapToGrid w:val="0"/>
        <w:spacing w:before="156" w:beforeLines="50" w:after="0" w:afterLines="-2147483648" w:line="360" w:lineRule="auto"/>
        <w:ind w:firstLine="562" w:firstLineChars="200"/>
        <w:outlineLvl w:val="1"/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eastAsia="zh-CN"/>
          <w14:ligatures w14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  <w14:ligatures w14:val="none"/>
        </w:rPr>
        <w:t>三）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  <w:t>基金投资策略支撑情况</w:t>
      </w:r>
    </w:p>
    <w:p w14:paraId="3C853A0A">
      <w:pPr>
        <w:snapToGrid w:val="0"/>
        <w:spacing w:line="360" w:lineRule="auto"/>
        <w:rPr>
          <w:rFonts w:hint="eastAsia" w:ascii="Times New Roman" w:hAnsi="Times New Roman" w:eastAsia="楷体_GB2312" w:cs="Times New Roman"/>
          <w:i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i/>
          <w:sz w:val="28"/>
          <w:szCs w:val="28"/>
          <w:lang w:val="en-US" w:eastAsia="zh-CN"/>
        </w:rPr>
        <w:t>（过往行业或方向投资经历、相关产业背景方、特殊投资情况等）</w:t>
      </w:r>
    </w:p>
    <w:p w14:paraId="28A14449">
      <w:pPr>
        <w:keepNext/>
        <w:keepLines/>
        <w:snapToGrid w:val="0"/>
        <w:spacing w:before="156" w:beforeLines="50" w:after="0" w:afterLines="-2147483648" w:line="360" w:lineRule="auto"/>
        <w:ind w:firstLine="562" w:firstLineChars="200"/>
        <w:outlineLvl w:val="1"/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eastAsia="zh-CN"/>
          <w14:ligatures w14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  <w14:ligatures w14:val="none"/>
        </w:rPr>
        <w:t>四）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  <w:t>基金投后赋能能力</w:t>
      </w:r>
    </w:p>
    <w:p w14:paraId="1BBF92E1">
      <w:pPr>
        <w:keepNext/>
        <w:keepLines/>
        <w:snapToGrid w:val="0"/>
        <w:spacing w:before="156" w:beforeLines="50" w:after="0" w:afterLines="-2147483648" w:line="360" w:lineRule="auto"/>
        <w:ind w:firstLine="562" w:firstLineChars="200"/>
        <w:outlineLvl w:val="1"/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eastAsia="zh-CN"/>
          <w14:ligatures w14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  <w14:ligatures w14:val="none"/>
        </w:rPr>
        <w:t>五）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14:ligatures w14:val="none"/>
        </w:rPr>
        <w:t>基金招商返投能力</w:t>
      </w:r>
    </w:p>
    <w:p w14:paraId="675E6413">
      <w:pPr>
        <w:keepNext/>
        <w:keepLines/>
        <w:snapToGrid w:val="0"/>
        <w:spacing w:before="156" w:beforeLines="50" w:line="360" w:lineRule="auto"/>
        <w:ind w:firstLine="562" w:firstLineChars="200"/>
        <w:outlineLvl w:val="1"/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（六）在行业权威机构排名情况及前期处分情况</w:t>
      </w:r>
    </w:p>
    <w:p w14:paraId="4371147E">
      <w:pPr>
        <w:pStyle w:val="13"/>
      </w:pPr>
      <w:r>
        <w:rPr>
          <w:rFonts w:hint="eastAsia"/>
          <w:lang w:val="en-US" w:eastAsia="zh-CN"/>
        </w:rPr>
        <w:t>四、</w:t>
      </w:r>
      <w:r>
        <w:t>基金运作规范</w:t>
      </w:r>
    </w:p>
    <w:p w14:paraId="642BF7F8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（一）</w:t>
      </w:r>
      <w:r>
        <w:t>投资策略</w:t>
      </w:r>
    </w:p>
    <w:p w14:paraId="05D4C8E7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（二）</w:t>
      </w:r>
      <w:r>
        <w:t>基金投资流程</w:t>
      </w:r>
    </w:p>
    <w:p w14:paraId="72D5D207">
      <w:pPr>
        <w:snapToGrid w:val="0"/>
        <w:spacing w:line="360" w:lineRule="auto"/>
        <w:rPr>
          <w:rFonts w:hint="eastAsia"/>
        </w:rPr>
      </w:pP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（介绍</w:t>
      </w:r>
      <w:r>
        <w:rPr>
          <w:rFonts w:ascii="Times New Roman" w:hAnsi="Times New Roman" w:eastAsia="楷体_GB2312" w:cs="Times New Roman"/>
          <w:i/>
          <w:sz w:val="28"/>
          <w:szCs w:val="28"/>
        </w:rPr>
        <w:t>项目</w:t>
      </w: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获取</w:t>
      </w:r>
      <w:r>
        <w:rPr>
          <w:rFonts w:ascii="Times New Roman" w:hAnsi="Times New Roman" w:eastAsia="楷体_GB2312" w:cs="Times New Roman"/>
          <w:i/>
          <w:sz w:val="28"/>
          <w:szCs w:val="28"/>
        </w:rPr>
        <w:t>主要渠道</w:t>
      </w: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、</w:t>
      </w:r>
      <w:r>
        <w:rPr>
          <w:rFonts w:ascii="Times New Roman" w:hAnsi="Times New Roman" w:eastAsia="楷体_GB2312" w:cs="Times New Roman"/>
          <w:i/>
          <w:sz w:val="28"/>
          <w:szCs w:val="28"/>
        </w:rPr>
        <w:t>项目开发能力有何独特性</w:t>
      </w: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、项目判断和决策流程。介绍</w:t>
      </w:r>
      <w:r>
        <w:rPr>
          <w:rFonts w:ascii="Times New Roman" w:hAnsi="Times New Roman" w:eastAsia="楷体_GB2312" w:cs="Times New Roman"/>
          <w:i/>
          <w:sz w:val="28"/>
          <w:szCs w:val="28"/>
        </w:rPr>
        <w:t>内部控制</w:t>
      </w:r>
      <w:r>
        <w:rPr>
          <w:rFonts w:hint="eastAsia" w:ascii="Times New Roman" w:hAnsi="Times New Roman" w:eastAsia="楷体_GB2312" w:cs="Times New Roman"/>
          <w:i/>
          <w:sz w:val="28"/>
          <w:szCs w:val="28"/>
        </w:rPr>
        <w:t>安排、投后管理流程等。）</w:t>
      </w:r>
    </w:p>
    <w:p w14:paraId="4F2BF74C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（三）</w:t>
      </w:r>
      <w:r>
        <w:t>基金风险分析及防控措施</w:t>
      </w:r>
    </w:p>
    <w:p w14:paraId="64BAECFC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（四）</w:t>
      </w:r>
      <w:r>
        <w:t>基金日常管理</w:t>
      </w:r>
    </w:p>
    <w:p w14:paraId="7222593C">
      <w:pPr>
        <w:pStyle w:val="12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（五）共同管理人说明</w:t>
      </w:r>
    </w:p>
    <w:p w14:paraId="2AC63CE6">
      <w:pPr>
        <w:pStyle w:val="12"/>
        <w:rPr>
          <w:rFonts w:hint="eastAsia"/>
        </w:rPr>
      </w:pPr>
      <w:r>
        <w:rPr>
          <w:rFonts w:hint="eastAsia"/>
        </w:rPr>
        <w:t>如采用双GP模式，请说明共同管理人的基本情况、投资情况、共同管理模式、基金内控、利益分配等内容。</w:t>
      </w:r>
    </w:p>
    <w:p w14:paraId="121AFED3">
      <w:pPr>
        <w:pStyle w:val="13"/>
      </w:pPr>
      <w:r>
        <w:rPr>
          <w:rFonts w:hint="eastAsia"/>
          <w:lang w:val="en-US" w:eastAsia="zh-CN"/>
        </w:rPr>
        <w:t>五</w:t>
      </w:r>
      <w:r>
        <w:t>、首批拟投重点项目</w:t>
      </w:r>
    </w:p>
    <w:p w14:paraId="30AEB221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（一）</w:t>
      </w:r>
      <w:r>
        <w:t>项目一： (项目名称)</w:t>
      </w:r>
    </w:p>
    <w:p w14:paraId="38F46EC9">
      <w:pPr>
        <w:pStyle w:val="12"/>
        <w:rPr>
          <w:rFonts w:hint="eastAsia"/>
        </w:rPr>
      </w:pPr>
      <w:r>
        <w:t>1.拟投标的企业情况</w:t>
      </w:r>
    </w:p>
    <w:p w14:paraId="144AE3D9">
      <w:pPr>
        <w:pStyle w:val="12"/>
        <w:rPr>
          <w:rFonts w:hint="eastAsia"/>
        </w:rPr>
      </w:pPr>
      <w:r>
        <w:t>2.投资基本背景逻辑</w:t>
      </w:r>
    </w:p>
    <w:p w14:paraId="1813B29B">
      <w:pPr>
        <w:pStyle w:val="14"/>
        <w:numPr>
          <w:ilvl w:val="0"/>
          <w:numId w:val="0"/>
        </w:numPr>
        <w:ind w:left="-10" w:leftChars="0"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21"/>
          <w:lang w:val="en-US" w:eastAsia="zh-CN" w:bidi="ar-SA"/>
        </w:rPr>
        <w:t>（二）</w:t>
      </w:r>
      <w:r>
        <w:t>项目二： (项目名称)</w:t>
      </w:r>
    </w:p>
    <w:p w14:paraId="46B7B5AE">
      <w:pPr>
        <w:pStyle w:val="13"/>
      </w:pPr>
      <w:r>
        <w:rPr>
          <w:rFonts w:hint="eastAsia"/>
          <w:lang w:val="en-US" w:eastAsia="zh-CN"/>
        </w:rPr>
        <w:t>六</w:t>
      </w:r>
      <w:r>
        <w:t>、重点储备项目</w:t>
      </w:r>
    </w:p>
    <w:p w14:paraId="10C1B818">
      <w:pPr>
        <w:spacing w:before="156" w:after="156" w:line="22" w:lineRule="exact"/>
        <w:ind w:firstLine="480"/>
      </w:pPr>
    </w:p>
    <w:tbl>
      <w:tblPr>
        <w:tblStyle w:val="16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1"/>
        <w:gridCol w:w="3056"/>
        <w:gridCol w:w="3052"/>
      </w:tblGrid>
      <w:tr w14:paraId="33CE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611" w:type="dxa"/>
            <w:vAlign w:val="center"/>
          </w:tcPr>
          <w:p w14:paraId="72C02910">
            <w:pPr>
              <w:pStyle w:val="15"/>
              <w:spacing w:beforeLines="0" w:afterLines="0" w:line="22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5"/>
                <w:sz w:val="22"/>
                <w:szCs w:val="22"/>
              </w:rPr>
              <w:t>项目名称</w:t>
            </w:r>
          </w:p>
        </w:tc>
        <w:tc>
          <w:tcPr>
            <w:tcW w:w="3056" w:type="dxa"/>
            <w:vAlign w:val="center"/>
          </w:tcPr>
          <w:p w14:paraId="50F43B6E">
            <w:pPr>
              <w:pStyle w:val="15"/>
              <w:spacing w:beforeLines="0" w:afterLines="0" w:line="220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4"/>
                <w:sz w:val="22"/>
                <w:szCs w:val="22"/>
              </w:rPr>
              <w:t>所处行业</w:t>
            </w:r>
          </w:p>
        </w:tc>
        <w:tc>
          <w:tcPr>
            <w:tcW w:w="3052" w:type="dxa"/>
            <w:vAlign w:val="center"/>
          </w:tcPr>
          <w:p w14:paraId="4498C51A">
            <w:pPr>
              <w:pStyle w:val="15"/>
              <w:spacing w:beforeLines="0" w:afterLines="0" w:line="219" w:lineRule="auto"/>
              <w:ind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5"/>
                <w:sz w:val="22"/>
                <w:szCs w:val="22"/>
              </w:rPr>
              <w:t>主营业务</w:t>
            </w:r>
          </w:p>
        </w:tc>
      </w:tr>
      <w:tr w14:paraId="013FB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611" w:type="dxa"/>
          </w:tcPr>
          <w:p w14:paraId="0A1F1266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3056" w:type="dxa"/>
          </w:tcPr>
          <w:p w14:paraId="65117C6A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3052" w:type="dxa"/>
          </w:tcPr>
          <w:p w14:paraId="6ADED28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  <w:tr w14:paraId="2CE00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611" w:type="dxa"/>
          </w:tcPr>
          <w:p w14:paraId="0578D10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3056" w:type="dxa"/>
          </w:tcPr>
          <w:p w14:paraId="06F808A9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  <w:tc>
          <w:tcPr>
            <w:tcW w:w="3052" w:type="dxa"/>
          </w:tcPr>
          <w:p w14:paraId="7470F7D1">
            <w:pPr>
              <w:spacing w:before="156" w:after="156"/>
              <w:ind w:firstLine="0" w:firstLineChars="0"/>
              <w:rPr>
                <w:rFonts w:ascii="Arial"/>
                <w:sz w:val="21"/>
              </w:rPr>
            </w:pPr>
          </w:p>
        </w:tc>
      </w:tr>
    </w:tbl>
    <w:p w14:paraId="2935F25E">
      <w:pPr>
        <w:pStyle w:val="13"/>
        <w:numPr>
          <w:ilvl w:val="0"/>
          <w:numId w:val="0"/>
        </w:numPr>
        <w:ind w:firstLine="643" w:firstLineChars="200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利益冲突和解决方案</w:t>
      </w:r>
    </w:p>
    <w:p w14:paraId="159FC7A2">
      <w:pPr>
        <w:pStyle w:val="12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子基金管理机构其他在管基金的利益冲突和解决方案。</w:t>
      </w:r>
    </w:p>
    <w:p w14:paraId="2DBA5045">
      <w:pPr>
        <w:pStyle w:val="12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子基金与管理团队个人投资的利益冲突和解决方案。</w:t>
      </w:r>
    </w:p>
    <w:p w14:paraId="5FA6264E">
      <w:pPr>
        <w:pStyle w:val="12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近期是否在募集设立其他基金。</w:t>
      </w:r>
    </w:p>
    <w:p w14:paraId="041863DE">
      <w:pPr>
        <w:pStyle w:val="13"/>
        <w:numPr>
          <w:ilvl w:val="0"/>
          <w:numId w:val="0"/>
        </w:numPr>
        <w:ind w:firstLine="643" w:firstLineChars="200"/>
      </w:pPr>
      <w:r>
        <w:rPr>
          <w:rFonts w:hint="eastAsia" w:cs="Arial"/>
          <w:b/>
          <w:snapToGrid w:val="0"/>
          <w:color w:val="000000"/>
          <w:kern w:val="44"/>
          <w:sz w:val="32"/>
          <w:szCs w:val="32"/>
          <w:lang w:val="en-US" w:eastAsia="zh-CN" w:bidi="ar-SA"/>
        </w:rPr>
        <w:t>八</w:t>
      </w:r>
      <w:r>
        <w:rPr>
          <w:rFonts w:hint="eastAsia" w:ascii="Calibri" w:hAnsi="Calibri" w:eastAsia="黑体" w:cs="Arial"/>
          <w:b/>
          <w:snapToGrid w:val="0"/>
          <w:color w:val="000000"/>
          <w:kern w:val="44"/>
          <w:sz w:val="32"/>
          <w:szCs w:val="32"/>
          <w:lang w:val="en-US" w:eastAsia="zh-CN" w:bidi="ar-SA"/>
        </w:rPr>
        <w:t>、</w:t>
      </w:r>
      <w:r>
        <w:rPr>
          <w:rFonts w:hint="eastAsia"/>
        </w:rPr>
        <w:t>资金募集计划说明</w:t>
      </w:r>
    </w:p>
    <w:p w14:paraId="36BBF3D8">
      <w:pPr>
        <w:pStyle w:val="13"/>
        <w:ind w:firstLine="640"/>
        <w:rPr>
          <w:rFonts w:hint="eastAsia" w:ascii="仿宋_GB2312" w:hAnsi="仿宋_GB2312" w:eastAsia="仿宋_GB2312" w:cs="仿宋_GB2312"/>
          <w:b w:val="0"/>
          <w:kern w:val="0"/>
        </w:rPr>
      </w:pPr>
      <w:r>
        <w:rPr>
          <w:rFonts w:hint="eastAsia" w:ascii="仿宋_GB2312" w:hAnsi="仿宋_GB2312" w:eastAsia="仿宋_GB2312" w:cs="仿宋_GB2312"/>
          <w:b w:val="0"/>
          <w:kern w:val="0"/>
        </w:rPr>
        <w:t>说明资金的募集情况，并按顺序依次介绍全部出资人（机构或个人）的概况，是否包含产业方、管理人关联方出资，如出资方将对基金产生重大影响或有其他特殊需求，也请说明。并附以下材料：</w:t>
      </w:r>
    </w:p>
    <w:p w14:paraId="63868826">
      <w:pPr>
        <w:pStyle w:val="13"/>
        <w:ind w:firstLine="640"/>
        <w:rPr>
          <w:rFonts w:hint="eastAsia" w:ascii="仿宋_GB2312" w:hAnsi="仿宋_GB2312" w:eastAsia="仿宋_GB2312" w:cs="仿宋_GB2312"/>
          <w:b w:val="0"/>
          <w:kern w:val="0"/>
        </w:rPr>
      </w:pPr>
      <w:r>
        <w:rPr>
          <w:rFonts w:hint="eastAsia" w:ascii="仿宋_GB2312" w:hAnsi="仿宋_GB2312" w:eastAsia="仿宋_GB2312" w:cs="仿宋_GB2312"/>
          <w:b w:val="0"/>
          <w:kern w:val="0"/>
        </w:rPr>
        <w:t>（一）申报机构出资承诺：提供承诺函（管理人及普通合伙人）及相应出资能力证明；</w:t>
      </w:r>
    </w:p>
    <w:p w14:paraId="3B21FC1C">
      <w:pPr>
        <w:pStyle w:val="13"/>
        <w:ind w:firstLine="640"/>
        <w:rPr>
          <w:rFonts w:hint="eastAsia" w:ascii="仿宋_GB2312" w:hAnsi="仿宋_GB2312" w:eastAsia="仿宋_GB2312" w:cs="仿宋_GB2312"/>
          <w:b w:val="0"/>
          <w:kern w:val="0"/>
        </w:rPr>
      </w:pPr>
      <w:r>
        <w:rPr>
          <w:rFonts w:hint="eastAsia" w:ascii="仿宋_GB2312" w:hAnsi="仿宋_GB2312" w:eastAsia="仿宋_GB2312" w:cs="仿宋_GB2312"/>
          <w:b w:val="0"/>
          <w:kern w:val="0"/>
        </w:rPr>
        <w:t>（二）其他出资人承诺：提供出资人承诺函（出资机构/自然人）。如为后续募集期的子基金，需提供LPA、子基金现有全体出资人同意</w:t>
      </w:r>
      <w:r>
        <w:rPr>
          <w:rFonts w:hint="eastAsia" w:ascii="仿宋_GB2312" w:hAnsi="仿宋_GB2312" w:eastAsia="仿宋_GB2312" w:cs="仿宋_GB2312"/>
          <w:b w:val="0"/>
          <w:kern w:val="0"/>
          <w:lang w:val="en-US" w:eastAsia="zh-CN"/>
        </w:rPr>
        <w:t>鑫时代鄂州</w:t>
      </w:r>
      <w:r>
        <w:rPr>
          <w:rFonts w:hint="eastAsia" w:ascii="仿宋_GB2312" w:hAnsi="仿宋_GB2312" w:eastAsia="仿宋_GB2312" w:cs="仿宋_GB2312"/>
          <w:b w:val="0"/>
          <w:kern w:val="0"/>
        </w:rPr>
        <w:t>基金以平价增资及享有子基金已投资项目收益（如有）的合伙人会议决议或股东会决议。</w:t>
      </w:r>
    </w:p>
    <w:p w14:paraId="21D1A400">
      <w:pPr>
        <w:pStyle w:val="13"/>
        <w:ind w:firstLine="640"/>
      </w:pPr>
      <w:r>
        <w:rPr>
          <w:rFonts w:hint="eastAsia" w:ascii="仿宋_GB2312" w:hAnsi="仿宋_GB2312" w:eastAsia="仿宋_GB2312" w:cs="仿宋_GB2312"/>
          <w:b w:val="0"/>
          <w:kern w:val="0"/>
        </w:rPr>
        <w:t>（三）有产业方出资的，若产业方为非上市公司，需要提供上一会计年度年营业收入超过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</w:rPr>
        <w:t>10亿元的</w:t>
      </w:r>
      <w:r>
        <w:rPr>
          <w:rFonts w:hint="eastAsia" w:ascii="仿宋_GB2312" w:hAnsi="仿宋_GB2312" w:eastAsia="仿宋_GB2312" w:cs="仿宋_GB2312"/>
          <w:b w:val="0"/>
          <w:kern w:val="0"/>
        </w:rPr>
        <w:t>相关证明材料。</w:t>
      </w:r>
    </w:p>
    <w:p w14:paraId="028D6813">
      <w:pPr>
        <w:pStyle w:val="13"/>
        <w:numPr>
          <w:ilvl w:val="0"/>
          <w:numId w:val="0"/>
        </w:numPr>
        <w:ind w:firstLine="643" w:firstLineChars="200"/>
        <w:rPr>
          <w:rFonts w:hint="eastAsia" w:eastAsia="黑体"/>
          <w:lang w:eastAsia="zh-CN"/>
        </w:rPr>
      </w:pPr>
      <w:r>
        <w:rPr>
          <w:rFonts w:hint="eastAsia" w:cs="Arial"/>
          <w:b/>
          <w:snapToGrid w:val="0"/>
          <w:color w:val="000000"/>
          <w:kern w:val="44"/>
          <w:sz w:val="32"/>
          <w:szCs w:val="32"/>
          <w:lang w:val="en-US" w:eastAsia="zh-CN" w:bidi="ar-SA"/>
        </w:rPr>
        <w:t>九</w:t>
      </w:r>
      <w:r>
        <w:rPr>
          <w:rFonts w:hint="eastAsia" w:ascii="Calibri" w:hAnsi="Calibri" w:eastAsia="黑体" w:cs="Arial"/>
          <w:b/>
          <w:snapToGrid w:val="0"/>
          <w:color w:val="000000"/>
          <w:kern w:val="44"/>
          <w:sz w:val="32"/>
          <w:szCs w:val="32"/>
          <w:lang w:val="en-US" w:eastAsia="zh-CN" w:bidi="ar-SA"/>
        </w:rPr>
        <w:t>、</w:t>
      </w:r>
      <w:r>
        <w:rPr>
          <w:rFonts w:hint="eastAsia"/>
        </w:rPr>
        <w:t>子基金管理机构</w:t>
      </w:r>
      <w:r>
        <w:rPr>
          <w:rFonts w:hint="eastAsia"/>
          <w:lang w:val="en-US" w:eastAsia="zh-CN"/>
        </w:rPr>
        <w:t>其他基础材料</w:t>
      </w:r>
    </w:p>
    <w:p w14:paraId="05DE4CBD">
      <w:pPr>
        <w:pStyle w:val="12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子基金管理机构的营业执照复印件（盖章）等工商资料。</w:t>
      </w:r>
    </w:p>
    <w:p w14:paraId="3C32AC1B">
      <w:pPr>
        <w:pStyle w:val="12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至少3个股权投资的成功案例介绍。</w:t>
      </w:r>
    </w:p>
    <w:p w14:paraId="7F01502D">
      <w:pPr>
        <w:pStyle w:val="5"/>
        <w:spacing w:before="156" w:after="156" w:line="560" w:lineRule="exact"/>
        <w:ind w:firstLine="664"/>
        <w:rPr>
          <w:b w:val="0"/>
          <w:bCs w:val="0"/>
          <w:color w:val="auto"/>
          <w:highlight w:val="none"/>
        </w:rPr>
      </w:pPr>
      <w:r>
        <w:rPr>
          <w:rFonts w:hint="eastAsia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其核心团队作为骨干成员，有</w:t>
      </w:r>
      <w:r>
        <w:rPr>
          <w:rFonts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3</w:t>
      </w:r>
      <w:r>
        <w:rPr>
          <w:rFonts w:hint="eastAsia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个（含）以上成功投资案例”的相关材料，包括但不限于提供投资决策、出资、退出等相关证明，审计报告关键页、估值报告关键页、后续轮融资协议关键页、证券账户交易明细表，银行流水等证明材料。其中，核心团队作为骨干成员投资的项目，应为核心团队作为骨干成员管理的基金所投资的项目。</w:t>
      </w:r>
    </w:p>
    <w:p w14:paraId="706DD118">
      <w:pPr>
        <w:pStyle w:val="12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投资企业列表。须包括项目名称、专项领域、投资时间、投资轮次、投资金额、占股比例、是否有董事席位、派出董事姓名、是否派出管理人员、退出方式、项目是否有后续增值融资、项目公司联系人及电话等。</w:t>
      </w:r>
    </w:p>
    <w:p w14:paraId="3FFB8493">
      <w:pPr>
        <w:pStyle w:val="12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基金管理人的股权投资管理、风险控制、项目遴选机制、投资决策机制、内部财务管理制度等制度文件。</w:t>
      </w:r>
    </w:p>
    <w:p w14:paraId="2F19C2CF">
      <w:pPr>
        <w:pStyle w:val="12"/>
        <w:ind w:firstLine="320" w:firstLineChars="100"/>
        <w:rPr>
          <w:rFonts w:hint="eastAsia"/>
        </w:rPr>
      </w:pPr>
      <w:r>
        <w:rPr>
          <w:rFonts w:hint="eastAsia"/>
        </w:rPr>
        <w:t>说明以下内容。</w:t>
      </w:r>
    </w:p>
    <w:p w14:paraId="0A535D03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（1）基金治理架构：基金股东会与董事会、合伙人会议与投资决策委员会、咨询委员会（如有）权责划分。</w:t>
      </w:r>
    </w:p>
    <w:p w14:paraId="3B23FF73">
      <w:pPr>
        <w:pStyle w:val="12"/>
        <w:spacing w:line="480" w:lineRule="auto"/>
        <w:ind w:firstLine="0" w:firstLineChars="0"/>
        <w:rPr>
          <w:rFonts w:hint="eastAsia"/>
        </w:rPr>
      </w:pPr>
      <w:r>
        <w:rPr>
          <w:rFonts w:hint="eastAsia"/>
        </w:rPr>
        <w:t>（2）基金投资策略：主要说明投资领域、阶段、地域、限制、闲置资金使用等。</w:t>
      </w:r>
    </w:p>
    <w:p w14:paraId="6F0BC3EE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（3）项目获取机制：结合基金投资方向及团队构成特点，说明项目来源、项目遴选程序。</w:t>
      </w:r>
    </w:p>
    <w:p w14:paraId="3168638B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（4）投资决策机制：应详细说明投资决策机构、组成、决策方式、程序、表决机制、关联交易处理方式等。</w:t>
      </w:r>
    </w:p>
    <w:p w14:paraId="0CBF9C7F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（5）激励约束机制：说明管理机构薪酬水平、跟投等激励约束机制。</w:t>
      </w:r>
    </w:p>
    <w:p w14:paraId="2DE3752D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（6）投后管理制度：结合基金投资方向及团队构成特点，详细说明投后管理内容、分工及所能提供的投后增值服务（须重点说明管理人为被投企业提供后续增值服务的能力，可通过案例进行佐证）。</w:t>
      </w:r>
    </w:p>
    <w:p w14:paraId="0A130C4D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（7）风险控制机制：结合基金投资方向及团队构成特点，列出本基金可能出现的风险，并对可能出现的风险提出应对措施。</w:t>
      </w:r>
    </w:p>
    <w:p w14:paraId="17CBAE5B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（8）投资退出策略：结合基金投资方向及团队构成特点说明退出策略。</w:t>
      </w:r>
    </w:p>
    <w:p w14:paraId="7BEC9E5D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附相关材料：相关管理制度、机制清单。</w:t>
      </w:r>
    </w:p>
    <w:p w14:paraId="3F8456AA">
      <w:pPr>
        <w:pStyle w:val="12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主要经营管理人员的身份证明和履历材料、从业资格证明材料，并附个人详细介绍，字数不少于500字。</w:t>
      </w:r>
    </w:p>
    <w:p w14:paraId="52FD7B6B">
      <w:pPr>
        <w:pStyle w:val="12"/>
        <w:ind w:firstLine="0" w:firstLineChars="0"/>
        <w:rPr>
          <w:rFonts w:hint="eastAsia"/>
        </w:rPr>
      </w:pPr>
      <w:r>
        <w:rPr>
          <w:rFonts w:hint="eastAsia"/>
        </w:rPr>
        <w:t>（说明并提供管理团队成员列表。请附上证明“子基金管理机构至少有3名具备3年以上股权投资经验的高级管理人员”的相关材料，包括但不限于人员简历等。）</w:t>
      </w:r>
    </w:p>
    <w:p w14:paraId="61749288">
      <w:pPr>
        <w:pStyle w:val="1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DE614">
    <w:pPr>
      <w:spacing w:before="120" w:after="120" w:line="177" w:lineRule="auto"/>
      <w:ind w:firstLine="660"/>
      <w:rPr>
        <w:rFonts w:hint="eastAsia"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3F389">
    <w:pPr>
      <w:spacing w:before="120" w:after="120" w:line="176" w:lineRule="auto"/>
      <w:ind w:firstLine="580"/>
      <w:rPr>
        <w:rFonts w:hint="eastAsia"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8269E"/>
    <w:multiLevelType w:val="singleLevel"/>
    <w:tmpl w:val="AD48269E"/>
    <w:lvl w:ilvl="0" w:tentative="0">
      <w:start w:val="1"/>
      <w:numFmt w:val="chineseCounting"/>
      <w:pStyle w:val="14"/>
      <w:suff w:val="nothing"/>
      <w:lvlText w:val="（%1）"/>
      <w:lvlJc w:val="left"/>
      <w:pPr>
        <w:ind w:left="-10"/>
      </w:pPr>
      <w:rPr>
        <w:rFonts w:hint="eastAsia"/>
        <w:b w:val="0"/>
        <w:bCs w:val="0"/>
      </w:rPr>
    </w:lvl>
  </w:abstractNum>
  <w:abstractNum w:abstractNumId="1">
    <w:nsid w:val="C17AB3C8"/>
    <w:multiLevelType w:val="singleLevel"/>
    <w:tmpl w:val="C17AB3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A74B09"/>
    <w:multiLevelType w:val="singleLevel"/>
    <w:tmpl w:val="E0A74B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A773AE2"/>
    <w:multiLevelType w:val="singleLevel"/>
    <w:tmpl w:val="FA773A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NThlOGI3M2RkNjI5Zjg1ZjU3MjcxNWViZmQ3NmQifQ=="/>
  </w:docVars>
  <w:rsids>
    <w:rsidRoot w:val="64DC079F"/>
    <w:rsid w:val="00456117"/>
    <w:rsid w:val="00A07BA5"/>
    <w:rsid w:val="00AD4F71"/>
    <w:rsid w:val="00C2096B"/>
    <w:rsid w:val="0E1D3055"/>
    <w:rsid w:val="380D34F8"/>
    <w:rsid w:val="3CF2227B"/>
    <w:rsid w:val="3E8F01AF"/>
    <w:rsid w:val="431E2B2B"/>
    <w:rsid w:val="53A92658"/>
    <w:rsid w:val="64DC079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="Times New Roman" w:hAnsi="Times New Roman" w:eastAsia="SimSun-ExtB" w:cs="Times New Roman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4">
    <w:name w:val="annotation subject"/>
    <w:basedOn w:val="2"/>
    <w:next w:val="2"/>
    <w:link w:val="18"/>
    <w:qFormat/>
    <w:uiPriority w:val="0"/>
    <w:rPr>
      <w:b/>
      <w:bCs/>
    </w:rPr>
  </w:style>
  <w:style w:type="paragraph" w:styleId="5">
    <w:name w:val="Body Text First Indent 2"/>
    <w:basedOn w:val="1"/>
    <w:qFormat/>
    <w:uiPriority w:val="0"/>
    <w:pPr>
      <w:ind w:firstLine="420"/>
    </w:pPr>
  </w:style>
  <w:style w:type="table" w:styleId="7">
    <w:name w:val="Table Grid"/>
    <w:basedOn w:val="6"/>
    <w:qFormat/>
    <w:uiPriority w:val="5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公文正文"/>
    <w:basedOn w:val="1"/>
    <w:qFormat/>
    <w:uiPriority w:val="0"/>
    <w:pPr>
      <w:spacing w:before="0" w:beforeLines="0" w:after="0" w:afterLines="0" w:line="560" w:lineRule="exact"/>
      <w:ind w:firstLine="640"/>
    </w:pPr>
    <w:rPr>
      <w:rFonts w:ascii="仿宋_GB2312" w:hAnsi="仿宋_GB2312" w:eastAsia="仿宋_GB2312" w:cs="仿宋_GB2312"/>
      <w:snapToGrid w:val="0"/>
      <w:color w:val="000000"/>
      <w:kern w:val="0"/>
      <w:sz w:val="32"/>
      <w:szCs w:val="32"/>
    </w:rPr>
  </w:style>
  <w:style w:type="paragraph" w:customStyle="1" w:styleId="13">
    <w:name w:val="一级标题"/>
    <w:basedOn w:val="1"/>
    <w:qFormat/>
    <w:uiPriority w:val="0"/>
    <w:pPr>
      <w:keepNext/>
      <w:keepLines/>
      <w:spacing w:beforeLines="0" w:afterLines="0" w:line="560" w:lineRule="exact"/>
      <w:ind w:firstLine="643"/>
      <w:outlineLvl w:val="0"/>
    </w:pPr>
    <w:rPr>
      <w:rFonts w:ascii="Calibri" w:hAnsi="Calibri" w:eastAsia="黑体" w:cs="Arial"/>
      <w:b/>
      <w:snapToGrid w:val="0"/>
      <w:color w:val="000000"/>
      <w:kern w:val="44"/>
      <w:sz w:val="32"/>
      <w:szCs w:val="32"/>
    </w:rPr>
  </w:style>
  <w:style w:type="paragraph" w:customStyle="1" w:styleId="14">
    <w:name w:val="二级标题"/>
    <w:basedOn w:val="1"/>
    <w:qFormat/>
    <w:uiPriority w:val="0"/>
    <w:pPr>
      <w:keepNext/>
      <w:keepLines/>
      <w:numPr>
        <w:ilvl w:val="0"/>
        <w:numId w:val="1"/>
      </w:numPr>
      <w:spacing w:before="0" w:beforeLines="0" w:after="0" w:afterLines="0" w:line="560" w:lineRule="exact"/>
      <w:ind w:left="-11" w:firstLine="640"/>
      <w:outlineLvl w:val="1"/>
    </w:pPr>
    <w:rPr>
      <w:rFonts w:ascii="楷体_GB2312" w:hAnsi="楷体_GB2312" w:eastAsia="楷体_GB2312" w:cs="楷体_GB2312"/>
      <w:snapToGrid w:val="0"/>
      <w:color w:val="000000"/>
      <w:kern w:val="0"/>
      <w:sz w:val="32"/>
      <w:szCs w:val="21"/>
    </w:rPr>
  </w:style>
  <w:style w:type="paragraph" w:customStyle="1" w:styleId="15">
    <w:name w:val="Table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after="0"/>
      <w:jc w:val="left"/>
      <w:textAlignment w:val="baseline"/>
    </w:pPr>
    <w:rPr>
      <w:rFonts w:hint="eastAsia" w:ascii="宋体" w:hAnsi="宋体" w:eastAsia="宋体"/>
      <w:color w:val="000000"/>
      <w:kern w:val="0"/>
      <w:szCs w:val="24"/>
    </w:rPr>
  </w:style>
  <w:style w:type="table" w:customStyle="1" w:styleId="16">
    <w:name w:val="Table Normal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17">
    <w:name w:val="批注文字 字符"/>
    <w:basedOn w:val="8"/>
    <w:link w:val="2"/>
    <w:qFormat/>
    <w:uiPriority w:val="0"/>
    <w:rPr>
      <w:rFonts w:ascii="Times New Roman" w:hAnsi="Times New Roman" w:eastAsia="SimSun-ExtB" w:cs="Times New Roman"/>
      <w:kern w:val="2"/>
      <w:sz w:val="24"/>
      <w:szCs w:val="22"/>
    </w:rPr>
  </w:style>
  <w:style w:type="character" w:customStyle="1" w:styleId="18">
    <w:name w:val="批注主题 字符"/>
    <w:basedOn w:val="17"/>
    <w:link w:val="4"/>
    <w:qFormat/>
    <w:uiPriority w:val="0"/>
    <w:rPr>
      <w:rFonts w:ascii="Times New Roman" w:hAnsi="Times New Roman" w:eastAsia="SimSun-ExtB" w:cs="Times New Roman"/>
      <w:b/>
      <w:bCs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2655</Words>
  <Characters>2708</Characters>
  <Lines>19</Lines>
  <Paragraphs>5</Paragraphs>
  <TotalTime>5</TotalTime>
  <ScaleCrop>false</ScaleCrop>
  <LinksUpToDate>false</LinksUpToDate>
  <CharactersWithSpaces>2747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2024-12-10T09:49:00Z</dcterms:created>
  <dc:creator>周晨希</dc:creator>
  <cp:lastModifiedBy>周晨希</cp:lastModifiedBy>
  <dcterms:modified xsi:type="dcterms:W3CDTF">2024-12-12T09:50:57Z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1B9E5626538A43B396A9389655386437_13</vt:lpwstr>
  </property>
</Properties>
</file>