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3084E">
      <w:pPr>
        <w:widowControl/>
        <w:adjustRightInd w:val="0"/>
        <w:snapToGrid w:val="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附件3</w:t>
      </w:r>
    </w:p>
    <w:p w14:paraId="0D92746D">
      <w:pPr>
        <w:spacing w:line="560" w:lineRule="exact"/>
        <w:jc w:val="center"/>
        <w:rPr>
          <w:rFonts w:ascii="楷体_GB2312" w:hAnsi="Calibri" w:eastAsia="楷体_GB2312" w:cs="Times New Roman"/>
          <w:b/>
          <w:sz w:val="24"/>
          <w:szCs w:val="24"/>
        </w:rPr>
      </w:pPr>
      <w:r>
        <w:rPr>
          <w:rFonts w:hint="eastAsia" w:ascii="楷体_GB2312" w:hAnsi="Calibri" w:eastAsia="楷体_GB2312" w:cs="Times New Roman"/>
          <w:b/>
          <w:sz w:val="24"/>
          <w:szCs w:val="24"/>
        </w:rPr>
        <w:t>基金要素表（申请机构盖章）</w:t>
      </w:r>
    </w:p>
    <w:tbl>
      <w:tblPr>
        <w:tblStyle w:val="3"/>
        <w:tblW w:w="9351" w:type="dxa"/>
        <w:tblInd w:w="-5" w:type="dxa"/>
        <w:tblLayout w:type="autofit"/>
        <w:tblCellMar>
          <w:top w:w="0" w:type="dxa"/>
          <w:left w:w="108" w:type="dxa"/>
          <w:bottom w:w="0" w:type="dxa"/>
          <w:right w:w="108" w:type="dxa"/>
        </w:tblCellMar>
      </w:tblPr>
      <w:tblGrid>
        <w:gridCol w:w="601"/>
        <w:gridCol w:w="3965"/>
        <w:gridCol w:w="4785"/>
      </w:tblGrid>
      <w:tr w14:paraId="7BCCDD81">
        <w:tblPrEx>
          <w:tblCellMar>
            <w:top w:w="0" w:type="dxa"/>
            <w:left w:w="108" w:type="dxa"/>
            <w:bottom w:w="0" w:type="dxa"/>
            <w:right w:w="108" w:type="dxa"/>
          </w:tblCellMar>
        </w:tblPrEx>
        <w:trPr>
          <w:trHeight w:val="7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46893624">
            <w:pPr>
              <w:tabs>
                <w:tab w:val="center" w:pos="4153"/>
              </w:tabs>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3965" w:type="dxa"/>
            <w:tcBorders>
              <w:top w:val="single" w:color="auto" w:sz="4" w:space="0"/>
              <w:left w:val="nil"/>
              <w:bottom w:val="single" w:color="auto" w:sz="4" w:space="0"/>
              <w:right w:val="single" w:color="auto" w:sz="4" w:space="0"/>
            </w:tcBorders>
            <w:shd w:val="clear" w:color="auto" w:fill="auto"/>
            <w:vAlign w:val="center"/>
          </w:tcPr>
          <w:p w14:paraId="18EED3EE">
            <w:pPr>
              <w:tabs>
                <w:tab w:val="center" w:pos="4153"/>
              </w:tabs>
              <w:rPr>
                <w:rFonts w:ascii="Times New Roman" w:hAnsi="Times New Roman" w:eastAsia="仿宋" w:cs="Times New Roman"/>
                <w:b/>
                <w:bCs/>
                <w:sz w:val="24"/>
                <w:szCs w:val="24"/>
              </w:rPr>
            </w:pPr>
            <w:r>
              <w:rPr>
                <w:rFonts w:ascii="Times New Roman" w:hAnsi="Times New Roman" w:eastAsia="仿宋" w:cs="Times New Roman"/>
                <w:b/>
                <w:bCs/>
                <w:sz w:val="24"/>
                <w:szCs w:val="24"/>
              </w:rPr>
              <w:t>核心商业条款</w:t>
            </w:r>
          </w:p>
        </w:tc>
        <w:tc>
          <w:tcPr>
            <w:tcW w:w="4785" w:type="dxa"/>
            <w:tcBorders>
              <w:top w:val="single" w:color="auto" w:sz="4" w:space="0"/>
              <w:left w:val="nil"/>
              <w:bottom w:val="single" w:color="auto" w:sz="4" w:space="0"/>
              <w:right w:val="single" w:color="auto" w:sz="4" w:space="0"/>
            </w:tcBorders>
            <w:shd w:val="clear" w:color="auto" w:fill="auto"/>
            <w:vAlign w:val="center"/>
          </w:tcPr>
          <w:p w14:paraId="1D450491">
            <w:pPr>
              <w:tabs>
                <w:tab w:val="center" w:pos="4153"/>
              </w:tabs>
              <w:rPr>
                <w:rFonts w:ascii="Times New Roman" w:hAnsi="Times New Roman" w:eastAsia="仿宋" w:cs="Times New Roman"/>
                <w:b/>
                <w:bCs/>
                <w:sz w:val="24"/>
                <w:szCs w:val="24"/>
              </w:rPr>
            </w:pPr>
            <w:r>
              <w:rPr>
                <w:rFonts w:ascii="Times New Roman" w:hAnsi="Times New Roman" w:eastAsia="仿宋" w:cs="Times New Roman"/>
                <w:b/>
                <w:bCs/>
                <w:sz w:val="24"/>
                <w:szCs w:val="24"/>
              </w:rPr>
              <w:t>具体约定</w:t>
            </w:r>
          </w:p>
        </w:tc>
      </w:tr>
      <w:tr w14:paraId="07055889">
        <w:tblPrEx>
          <w:tblCellMar>
            <w:top w:w="0" w:type="dxa"/>
            <w:left w:w="108" w:type="dxa"/>
            <w:bottom w:w="0" w:type="dxa"/>
            <w:right w:w="108" w:type="dxa"/>
          </w:tblCellMar>
        </w:tblPrEx>
        <w:trPr>
          <w:trHeight w:val="467" w:hRule="atLeast"/>
        </w:trPr>
        <w:tc>
          <w:tcPr>
            <w:tcW w:w="601" w:type="dxa"/>
            <w:tcBorders>
              <w:top w:val="nil"/>
              <w:left w:val="single" w:color="auto" w:sz="4" w:space="0"/>
              <w:bottom w:val="single" w:color="auto" w:sz="4" w:space="0"/>
              <w:right w:val="single" w:color="auto" w:sz="4" w:space="0"/>
            </w:tcBorders>
            <w:shd w:val="clear" w:color="auto" w:fill="auto"/>
            <w:vAlign w:val="center"/>
          </w:tcPr>
          <w:p w14:paraId="7D5A8BDB">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3965" w:type="dxa"/>
            <w:tcBorders>
              <w:top w:val="nil"/>
              <w:left w:val="nil"/>
              <w:bottom w:val="single" w:color="auto" w:sz="4" w:space="0"/>
              <w:right w:val="single" w:color="auto" w:sz="4" w:space="0"/>
            </w:tcBorders>
            <w:shd w:val="clear" w:color="auto" w:fill="auto"/>
            <w:vAlign w:val="center"/>
          </w:tcPr>
          <w:p w14:paraId="15B44347">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基金名称</w:t>
            </w:r>
          </w:p>
        </w:tc>
        <w:tc>
          <w:tcPr>
            <w:tcW w:w="4785" w:type="dxa"/>
            <w:tcBorders>
              <w:top w:val="nil"/>
              <w:left w:val="nil"/>
              <w:bottom w:val="single" w:color="auto" w:sz="4" w:space="0"/>
              <w:right w:val="single" w:color="auto" w:sz="4" w:space="0"/>
            </w:tcBorders>
            <w:shd w:val="clear" w:color="auto" w:fill="auto"/>
            <w:vAlign w:val="center"/>
          </w:tcPr>
          <w:p w14:paraId="3F85B1DE">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632B8264">
        <w:tblPrEx>
          <w:tblCellMar>
            <w:top w:w="0" w:type="dxa"/>
            <w:left w:w="108" w:type="dxa"/>
            <w:bottom w:w="0" w:type="dxa"/>
            <w:right w:w="108" w:type="dxa"/>
          </w:tblCellMar>
        </w:tblPrEx>
        <w:trPr>
          <w:trHeight w:val="497" w:hRule="atLeast"/>
        </w:trPr>
        <w:tc>
          <w:tcPr>
            <w:tcW w:w="601" w:type="dxa"/>
            <w:tcBorders>
              <w:top w:val="nil"/>
              <w:left w:val="single" w:color="auto" w:sz="4" w:space="0"/>
              <w:bottom w:val="single" w:color="auto" w:sz="4" w:space="0"/>
              <w:right w:val="single" w:color="auto" w:sz="4" w:space="0"/>
            </w:tcBorders>
            <w:shd w:val="clear" w:color="auto" w:fill="auto"/>
            <w:vAlign w:val="center"/>
          </w:tcPr>
          <w:p w14:paraId="73222CCC">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3965" w:type="dxa"/>
            <w:tcBorders>
              <w:top w:val="nil"/>
              <w:left w:val="nil"/>
              <w:bottom w:val="single" w:color="auto" w:sz="4" w:space="0"/>
              <w:right w:val="single" w:color="auto" w:sz="4" w:space="0"/>
            </w:tcBorders>
            <w:shd w:val="clear" w:color="auto" w:fill="auto"/>
            <w:vAlign w:val="center"/>
          </w:tcPr>
          <w:p w14:paraId="011D94AF">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基金总规模</w:t>
            </w:r>
          </w:p>
        </w:tc>
        <w:tc>
          <w:tcPr>
            <w:tcW w:w="4785" w:type="dxa"/>
            <w:tcBorders>
              <w:top w:val="nil"/>
              <w:left w:val="nil"/>
              <w:bottom w:val="single" w:color="auto" w:sz="4" w:space="0"/>
              <w:right w:val="single" w:color="auto" w:sz="4" w:space="0"/>
            </w:tcBorders>
            <w:shd w:val="clear" w:color="auto" w:fill="auto"/>
            <w:vAlign w:val="center"/>
          </w:tcPr>
          <w:p w14:paraId="66DDB9BD">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5166AA36">
        <w:tblPrEx>
          <w:tblCellMar>
            <w:top w:w="0" w:type="dxa"/>
            <w:left w:w="108" w:type="dxa"/>
            <w:bottom w:w="0" w:type="dxa"/>
            <w:right w:w="108" w:type="dxa"/>
          </w:tblCellMar>
        </w:tblPrEx>
        <w:trPr>
          <w:trHeight w:val="477" w:hRule="atLeast"/>
        </w:trPr>
        <w:tc>
          <w:tcPr>
            <w:tcW w:w="601" w:type="dxa"/>
            <w:tcBorders>
              <w:top w:val="nil"/>
              <w:left w:val="single" w:color="auto" w:sz="4" w:space="0"/>
              <w:bottom w:val="single" w:color="auto" w:sz="4" w:space="0"/>
              <w:right w:val="single" w:color="auto" w:sz="4" w:space="0"/>
            </w:tcBorders>
            <w:shd w:val="clear" w:color="auto" w:fill="auto"/>
            <w:vAlign w:val="center"/>
          </w:tcPr>
          <w:p w14:paraId="17362FDD">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3</w:t>
            </w:r>
          </w:p>
        </w:tc>
        <w:tc>
          <w:tcPr>
            <w:tcW w:w="3965" w:type="dxa"/>
            <w:tcBorders>
              <w:top w:val="nil"/>
              <w:left w:val="nil"/>
              <w:bottom w:val="single" w:color="auto" w:sz="4" w:space="0"/>
              <w:right w:val="single" w:color="auto" w:sz="4" w:space="0"/>
            </w:tcBorders>
            <w:shd w:val="clear" w:color="auto" w:fill="auto"/>
            <w:vAlign w:val="center"/>
          </w:tcPr>
          <w:p w14:paraId="14D6FC97">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基金认缴规模</w:t>
            </w:r>
          </w:p>
        </w:tc>
        <w:tc>
          <w:tcPr>
            <w:tcW w:w="4785" w:type="dxa"/>
            <w:tcBorders>
              <w:top w:val="nil"/>
              <w:left w:val="nil"/>
              <w:bottom w:val="single" w:color="auto" w:sz="4" w:space="0"/>
              <w:right w:val="single" w:color="auto" w:sz="4" w:space="0"/>
            </w:tcBorders>
            <w:shd w:val="clear" w:color="auto" w:fill="auto"/>
            <w:vAlign w:val="center"/>
          </w:tcPr>
          <w:p w14:paraId="16A4F564">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6FC38067">
        <w:tblPrEx>
          <w:tblCellMar>
            <w:top w:w="0" w:type="dxa"/>
            <w:left w:w="108" w:type="dxa"/>
            <w:bottom w:w="0" w:type="dxa"/>
            <w:right w:w="108" w:type="dxa"/>
          </w:tblCellMar>
        </w:tblPrEx>
        <w:trPr>
          <w:trHeight w:val="483" w:hRule="atLeast"/>
        </w:trPr>
        <w:tc>
          <w:tcPr>
            <w:tcW w:w="601" w:type="dxa"/>
            <w:tcBorders>
              <w:top w:val="nil"/>
              <w:left w:val="single" w:color="auto" w:sz="4" w:space="0"/>
              <w:bottom w:val="single" w:color="auto" w:sz="4" w:space="0"/>
              <w:right w:val="single" w:color="auto" w:sz="4" w:space="0"/>
            </w:tcBorders>
            <w:shd w:val="clear" w:color="auto" w:fill="auto"/>
            <w:vAlign w:val="center"/>
          </w:tcPr>
          <w:p w14:paraId="6A9CABE3">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3965" w:type="dxa"/>
            <w:tcBorders>
              <w:top w:val="nil"/>
              <w:left w:val="nil"/>
              <w:bottom w:val="single" w:color="auto" w:sz="4" w:space="0"/>
              <w:right w:val="single" w:color="auto" w:sz="4" w:space="0"/>
            </w:tcBorders>
            <w:shd w:val="clear" w:color="auto" w:fill="auto"/>
            <w:vAlign w:val="center"/>
          </w:tcPr>
          <w:p w14:paraId="177B0E3E">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其他LP认缴情况</w:t>
            </w:r>
            <w:r>
              <w:rPr>
                <w:rFonts w:hint="eastAsia" w:ascii="Times New Roman" w:hAnsi="Times New Roman" w:eastAsia="仿宋" w:cs="Times New Roman"/>
                <w:bCs/>
                <w:sz w:val="24"/>
                <w:szCs w:val="24"/>
              </w:rPr>
              <w:t>及出资决策进展</w:t>
            </w:r>
          </w:p>
        </w:tc>
        <w:tc>
          <w:tcPr>
            <w:tcW w:w="4785" w:type="dxa"/>
            <w:tcBorders>
              <w:top w:val="nil"/>
              <w:left w:val="nil"/>
              <w:bottom w:val="single" w:color="auto" w:sz="4" w:space="0"/>
              <w:right w:val="single" w:color="auto" w:sz="4" w:space="0"/>
            </w:tcBorders>
            <w:shd w:val="clear" w:color="auto" w:fill="auto"/>
            <w:vAlign w:val="center"/>
          </w:tcPr>
          <w:p w14:paraId="66DE0DC7">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2B099B8E">
        <w:tblPrEx>
          <w:tblCellMar>
            <w:top w:w="0" w:type="dxa"/>
            <w:left w:w="108" w:type="dxa"/>
            <w:bottom w:w="0" w:type="dxa"/>
            <w:right w:w="108" w:type="dxa"/>
          </w:tblCellMar>
        </w:tblPrEx>
        <w:trPr>
          <w:trHeight w:val="491" w:hRule="atLeast"/>
        </w:trPr>
        <w:tc>
          <w:tcPr>
            <w:tcW w:w="601" w:type="dxa"/>
            <w:tcBorders>
              <w:top w:val="nil"/>
              <w:left w:val="single" w:color="auto" w:sz="4" w:space="0"/>
              <w:bottom w:val="single" w:color="auto" w:sz="4" w:space="0"/>
              <w:right w:val="single" w:color="auto" w:sz="4" w:space="0"/>
            </w:tcBorders>
            <w:shd w:val="clear" w:color="auto" w:fill="auto"/>
            <w:vAlign w:val="center"/>
          </w:tcPr>
          <w:p w14:paraId="3A21EBF3">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3965" w:type="dxa"/>
            <w:tcBorders>
              <w:top w:val="nil"/>
              <w:left w:val="nil"/>
              <w:bottom w:val="single" w:color="auto" w:sz="4" w:space="0"/>
              <w:right w:val="single" w:color="auto" w:sz="4" w:space="0"/>
            </w:tcBorders>
            <w:shd w:val="clear" w:color="auto" w:fill="auto"/>
            <w:vAlign w:val="center"/>
          </w:tcPr>
          <w:p w14:paraId="42659EEC">
            <w:pPr>
              <w:tabs>
                <w:tab w:val="center" w:pos="4153"/>
              </w:tabs>
              <w:rPr>
                <w:rFonts w:ascii="Times New Roman" w:hAnsi="Times New Roman" w:eastAsia="仿宋" w:cs="Times New Roman"/>
                <w:bCs/>
                <w:sz w:val="24"/>
                <w:szCs w:val="24"/>
              </w:rPr>
            </w:pPr>
            <w:r>
              <w:rPr>
                <w:rFonts w:hint="eastAsia" w:ascii="Times New Roman" w:hAnsi="Times New Roman" w:eastAsia="仿宋" w:cs="Times New Roman"/>
                <w:bCs/>
                <w:sz w:val="24"/>
                <w:szCs w:val="24"/>
              </w:rPr>
              <w:t>其他</w:t>
            </w:r>
            <w:r>
              <w:rPr>
                <w:rFonts w:ascii="Times New Roman" w:hAnsi="Times New Roman" w:eastAsia="仿宋" w:cs="Times New Roman"/>
                <w:bCs/>
                <w:sz w:val="24"/>
                <w:szCs w:val="24"/>
              </w:rPr>
              <w:t>LP</w:t>
            </w:r>
            <w:r>
              <w:rPr>
                <w:rFonts w:hint="eastAsia" w:ascii="Times New Roman" w:hAnsi="Times New Roman" w:eastAsia="仿宋" w:cs="Times New Roman"/>
                <w:bCs/>
                <w:sz w:val="24"/>
                <w:szCs w:val="24"/>
              </w:rPr>
              <w:t>返投要求</w:t>
            </w:r>
          </w:p>
        </w:tc>
        <w:tc>
          <w:tcPr>
            <w:tcW w:w="4785" w:type="dxa"/>
            <w:tcBorders>
              <w:top w:val="nil"/>
              <w:left w:val="nil"/>
              <w:bottom w:val="single" w:color="auto" w:sz="4" w:space="0"/>
              <w:right w:val="single" w:color="auto" w:sz="4" w:space="0"/>
            </w:tcBorders>
            <w:shd w:val="clear" w:color="auto" w:fill="auto"/>
            <w:vAlign w:val="center"/>
          </w:tcPr>
          <w:p w14:paraId="4F8E8ED0">
            <w:pPr>
              <w:tabs>
                <w:tab w:val="center" w:pos="4153"/>
              </w:tabs>
              <w:rPr>
                <w:rFonts w:ascii="Times New Roman" w:hAnsi="Times New Roman" w:eastAsia="仿宋" w:cs="Times New Roman"/>
                <w:sz w:val="24"/>
                <w:szCs w:val="24"/>
              </w:rPr>
            </w:pPr>
          </w:p>
        </w:tc>
      </w:tr>
      <w:tr w14:paraId="76544D86">
        <w:tblPrEx>
          <w:tblCellMar>
            <w:top w:w="0" w:type="dxa"/>
            <w:left w:w="108" w:type="dxa"/>
            <w:bottom w:w="0" w:type="dxa"/>
            <w:right w:w="108" w:type="dxa"/>
          </w:tblCellMar>
        </w:tblPrEx>
        <w:trPr>
          <w:trHeight w:val="407" w:hRule="atLeast"/>
        </w:trPr>
        <w:tc>
          <w:tcPr>
            <w:tcW w:w="601" w:type="dxa"/>
            <w:tcBorders>
              <w:top w:val="nil"/>
              <w:left w:val="single" w:color="auto" w:sz="4" w:space="0"/>
              <w:bottom w:val="single" w:color="auto" w:sz="4" w:space="0"/>
              <w:right w:val="single" w:color="auto" w:sz="4" w:space="0"/>
            </w:tcBorders>
            <w:shd w:val="clear" w:color="auto" w:fill="auto"/>
            <w:vAlign w:val="center"/>
          </w:tcPr>
          <w:p w14:paraId="2AA14FD5">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3965" w:type="dxa"/>
            <w:tcBorders>
              <w:top w:val="nil"/>
              <w:left w:val="nil"/>
              <w:bottom w:val="single" w:color="auto" w:sz="4" w:space="0"/>
              <w:right w:val="single" w:color="auto" w:sz="4" w:space="0"/>
            </w:tcBorders>
            <w:shd w:val="clear" w:color="auto" w:fill="auto"/>
            <w:vAlign w:val="center"/>
          </w:tcPr>
          <w:p w14:paraId="09806F88">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首期拟到资规模（如有）</w:t>
            </w:r>
          </w:p>
        </w:tc>
        <w:tc>
          <w:tcPr>
            <w:tcW w:w="4785" w:type="dxa"/>
            <w:tcBorders>
              <w:top w:val="nil"/>
              <w:left w:val="nil"/>
              <w:bottom w:val="single" w:color="auto" w:sz="4" w:space="0"/>
              <w:right w:val="single" w:color="auto" w:sz="4" w:space="0"/>
            </w:tcBorders>
            <w:shd w:val="clear" w:color="auto" w:fill="auto"/>
            <w:vAlign w:val="center"/>
          </w:tcPr>
          <w:p w14:paraId="1F435D05">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4ABD33F2">
        <w:tblPrEx>
          <w:tblCellMar>
            <w:top w:w="0" w:type="dxa"/>
            <w:left w:w="108" w:type="dxa"/>
            <w:bottom w:w="0" w:type="dxa"/>
            <w:right w:w="108" w:type="dxa"/>
          </w:tblCellMar>
        </w:tblPrEx>
        <w:trPr>
          <w:trHeight w:val="540" w:hRule="atLeast"/>
        </w:trPr>
        <w:tc>
          <w:tcPr>
            <w:tcW w:w="601" w:type="dxa"/>
            <w:tcBorders>
              <w:top w:val="nil"/>
              <w:left w:val="single" w:color="auto" w:sz="4" w:space="0"/>
              <w:bottom w:val="single" w:color="auto" w:sz="4" w:space="0"/>
              <w:right w:val="single" w:color="auto" w:sz="4" w:space="0"/>
            </w:tcBorders>
            <w:shd w:val="clear" w:color="auto" w:fill="auto"/>
            <w:vAlign w:val="center"/>
          </w:tcPr>
          <w:p w14:paraId="1B2EFD2D">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3965" w:type="dxa"/>
            <w:tcBorders>
              <w:top w:val="nil"/>
              <w:left w:val="nil"/>
              <w:bottom w:val="single" w:color="auto" w:sz="4" w:space="0"/>
              <w:right w:val="single" w:color="auto" w:sz="4" w:space="0"/>
            </w:tcBorders>
            <w:shd w:val="clear" w:color="auto" w:fill="auto"/>
            <w:vAlign w:val="center"/>
          </w:tcPr>
          <w:p w14:paraId="74B3659C">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是否约定</w:t>
            </w:r>
            <w:r>
              <w:rPr>
                <w:rFonts w:hint="eastAsia" w:ascii="Times New Roman" w:hAnsi="Times New Roman" w:eastAsia="仿宋" w:cs="Times New Roman"/>
                <w:bCs/>
                <w:sz w:val="24"/>
                <w:szCs w:val="24"/>
                <w:lang w:val="en-US" w:eastAsia="zh-CN"/>
              </w:rPr>
              <w:t>鑫时代鄂州</w:t>
            </w:r>
            <w:r>
              <w:rPr>
                <w:rFonts w:hint="eastAsia" w:ascii="Times New Roman" w:hAnsi="Times New Roman" w:eastAsia="仿宋" w:cs="Times New Roman"/>
                <w:bCs/>
                <w:sz w:val="24"/>
                <w:szCs w:val="24"/>
              </w:rPr>
              <w:t>基金</w:t>
            </w:r>
            <w:r>
              <w:rPr>
                <w:rFonts w:ascii="Times New Roman" w:hAnsi="Times New Roman" w:eastAsia="仿宋" w:cs="Times New Roman"/>
                <w:bCs/>
                <w:sz w:val="24"/>
                <w:szCs w:val="24"/>
              </w:rPr>
              <w:t>出资以其他出资到位为前提</w:t>
            </w:r>
          </w:p>
        </w:tc>
        <w:tc>
          <w:tcPr>
            <w:tcW w:w="4785" w:type="dxa"/>
            <w:tcBorders>
              <w:top w:val="nil"/>
              <w:left w:val="nil"/>
              <w:bottom w:val="single" w:color="auto" w:sz="4" w:space="0"/>
              <w:right w:val="single" w:color="auto" w:sz="4" w:space="0"/>
            </w:tcBorders>
            <w:shd w:val="clear" w:color="auto" w:fill="auto"/>
            <w:vAlign w:val="center"/>
          </w:tcPr>
          <w:p w14:paraId="214E0FB4">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67AF1BD4">
        <w:tblPrEx>
          <w:tblCellMar>
            <w:top w:w="0" w:type="dxa"/>
            <w:left w:w="108" w:type="dxa"/>
            <w:bottom w:w="0" w:type="dxa"/>
            <w:right w:w="108" w:type="dxa"/>
          </w:tblCellMar>
        </w:tblPrEx>
        <w:trPr>
          <w:trHeight w:val="567" w:hRule="atLeast"/>
        </w:trPr>
        <w:tc>
          <w:tcPr>
            <w:tcW w:w="601" w:type="dxa"/>
            <w:tcBorders>
              <w:top w:val="nil"/>
              <w:left w:val="single" w:color="auto" w:sz="4" w:space="0"/>
              <w:bottom w:val="single" w:color="auto" w:sz="4" w:space="0"/>
              <w:right w:val="single" w:color="auto" w:sz="4" w:space="0"/>
            </w:tcBorders>
            <w:shd w:val="clear" w:color="auto" w:fill="auto"/>
            <w:vAlign w:val="center"/>
          </w:tcPr>
          <w:p w14:paraId="577EB6A9">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8</w:t>
            </w:r>
          </w:p>
        </w:tc>
        <w:tc>
          <w:tcPr>
            <w:tcW w:w="3965" w:type="dxa"/>
            <w:tcBorders>
              <w:top w:val="nil"/>
              <w:left w:val="nil"/>
              <w:bottom w:val="single" w:color="auto" w:sz="4" w:space="0"/>
              <w:right w:val="single" w:color="auto" w:sz="4" w:space="0"/>
            </w:tcBorders>
            <w:shd w:val="clear" w:color="auto" w:fill="auto"/>
            <w:vAlign w:val="center"/>
          </w:tcPr>
          <w:p w14:paraId="333252E1">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后续出资安排（出资前提条件及违约责任） </w:t>
            </w:r>
          </w:p>
        </w:tc>
        <w:tc>
          <w:tcPr>
            <w:tcW w:w="4785" w:type="dxa"/>
            <w:tcBorders>
              <w:top w:val="nil"/>
              <w:left w:val="nil"/>
              <w:bottom w:val="single" w:color="auto" w:sz="4" w:space="0"/>
              <w:right w:val="single" w:color="auto" w:sz="4" w:space="0"/>
            </w:tcBorders>
            <w:shd w:val="clear" w:color="auto" w:fill="auto"/>
            <w:vAlign w:val="center"/>
          </w:tcPr>
          <w:p w14:paraId="2CA24147">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794DB0DB">
        <w:tblPrEx>
          <w:tblCellMar>
            <w:top w:w="0" w:type="dxa"/>
            <w:left w:w="108" w:type="dxa"/>
            <w:bottom w:w="0" w:type="dxa"/>
            <w:right w:w="108" w:type="dxa"/>
          </w:tblCellMar>
        </w:tblPrEx>
        <w:trPr>
          <w:trHeight w:val="5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43CB8874">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9</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723EAE51">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基金存续期（X+Y+Z）及存续期延长的条件 </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69B25402">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245064DB">
        <w:tblPrEx>
          <w:tblCellMar>
            <w:top w:w="0" w:type="dxa"/>
            <w:left w:w="108" w:type="dxa"/>
            <w:bottom w:w="0" w:type="dxa"/>
            <w:right w:w="108" w:type="dxa"/>
          </w:tblCellMar>
        </w:tblPrEx>
        <w:trPr>
          <w:trHeight w:val="552"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3486C37C">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10</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310644B0">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管理人(名称及股权结构)</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5885E934">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0FDB48F2">
        <w:tblPrEx>
          <w:tblCellMar>
            <w:top w:w="0" w:type="dxa"/>
            <w:left w:w="108" w:type="dxa"/>
            <w:bottom w:w="0" w:type="dxa"/>
            <w:right w:w="108" w:type="dxa"/>
          </w:tblCellMar>
        </w:tblPrEx>
        <w:trPr>
          <w:trHeight w:val="55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3B39EDCA">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11</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38643C1E">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GP(名称及股权结构)</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78632DA7">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406B2E0C">
        <w:tblPrEx>
          <w:tblCellMar>
            <w:top w:w="0" w:type="dxa"/>
            <w:left w:w="108" w:type="dxa"/>
            <w:bottom w:w="0" w:type="dxa"/>
            <w:right w:w="108" w:type="dxa"/>
          </w:tblCellMar>
        </w:tblPrEx>
        <w:trPr>
          <w:trHeight w:val="545"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6A8A2754">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12</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5113C34A">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投委会结构及表决机制 </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7E37DECC">
            <w:pPr>
              <w:tabs>
                <w:tab w:val="center" w:pos="4153"/>
              </w:tabs>
              <w:rPr>
                <w:rFonts w:ascii="Times New Roman" w:hAnsi="Times New Roman" w:eastAsia="仿宋" w:cs="Times New Roman"/>
                <w:sz w:val="24"/>
                <w:szCs w:val="24"/>
              </w:rPr>
            </w:pPr>
          </w:p>
        </w:tc>
      </w:tr>
      <w:tr w14:paraId="0810969C">
        <w:tblPrEx>
          <w:tblCellMar>
            <w:top w:w="0" w:type="dxa"/>
            <w:left w:w="108" w:type="dxa"/>
            <w:bottom w:w="0" w:type="dxa"/>
            <w:right w:w="108" w:type="dxa"/>
          </w:tblCellMar>
        </w:tblPrEx>
        <w:trPr>
          <w:trHeight w:val="54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6AD25899">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13</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229DE869">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管理费（包括投资期、退出期、延长期的缴纳计算基数和比例、提取及分配方式） </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1EE9BD51">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4A019418">
        <w:tblPrEx>
          <w:tblCellMar>
            <w:top w:w="0" w:type="dxa"/>
            <w:left w:w="108" w:type="dxa"/>
            <w:bottom w:w="0" w:type="dxa"/>
            <w:right w:w="108" w:type="dxa"/>
          </w:tblCellMar>
        </w:tblPrEx>
        <w:trPr>
          <w:trHeight w:val="512"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7F6E8B67">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14</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4EE6D91E">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收益分配（说明分配顺序和分配比例，以及门槛收益情况）    </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0924208E">
            <w:pPr>
              <w:tabs>
                <w:tab w:val="center" w:pos="4153"/>
              </w:tabs>
              <w:rPr>
                <w:rFonts w:ascii="Times New Roman" w:hAnsi="Times New Roman" w:eastAsia="仿宋" w:cs="Times New Roman"/>
                <w:sz w:val="24"/>
                <w:szCs w:val="24"/>
              </w:rPr>
            </w:pPr>
            <w:bookmarkStart w:id="0" w:name="RANGE!C19"/>
            <w:r>
              <w:rPr>
                <w:rFonts w:ascii="Times New Roman" w:hAnsi="Times New Roman" w:eastAsia="仿宋" w:cs="Times New Roman"/>
                <w:sz w:val="24"/>
                <w:szCs w:val="24"/>
              </w:rPr>
              <w:t>　</w:t>
            </w:r>
            <w:bookmarkEnd w:id="0"/>
          </w:p>
        </w:tc>
      </w:tr>
      <w:tr w14:paraId="32991972">
        <w:tblPrEx>
          <w:tblCellMar>
            <w:top w:w="0" w:type="dxa"/>
            <w:left w:w="108" w:type="dxa"/>
            <w:bottom w:w="0" w:type="dxa"/>
            <w:right w:w="108" w:type="dxa"/>
          </w:tblCellMar>
        </w:tblPrEx>
        <w:trPr>
          <w:trHeight w:val="54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399B3283">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15</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11EDA49C">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返投要求</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64D0A00E">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52B34E4A">
        <w:tblPrEx>
          <w:tblCellMar>
            <w:top w:w="0" w:type="dxa"/>
            <w:left w:w="108" w:type="dxa"/>
            <w:bottom w:w="0" w:type="dxa"/>
            <w:right w:w="108" w:type="dxa"/>
          </w:tblCellMar>
        </w:tblPrEx>
        <w:trPr>
          <w:trHeight w:val="540"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3671F485">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16</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4CBE5E71">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跟投安排（拟参股基金管理团队方）    </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3E3A03DF">
            <w:pPr>
              <w:tabs>
                <w:tab w:val="center" w:pos="4153"/>
              </w:tabs>
              <w:rPr>
                <w:rFonts w:ascii="Times New Roman" w:hAnsi="Times New Roman" w:eastAsia="仿宋" w:cs="Times New Roman"/>
                <w:sz w:val="24"/>
                <w:szCs w:val="24"/>
              </w:rPr>
            </w:pPr>
            <w:bookmarkStart w:id="1" w:name="RANGE!C26"/>
            <w:r>
              <w:rPr>
                <w:rFonts w:ascii="Times New Roman" w:hAnsi="Times New Roman" w:eastAsia="仿宋" w:cs="Times New Roman"/>
                <w:sz w:val="24"/>
                <w:szCs w:val="24"/>
              </w:rPr>
              <w:t>　</w:t>
            </w:r>
            <w:bookmarkEnd w:id="1"/>
          </w:p>
        </w:tc>
      </w:tr>
      <w:tr w14:paraId="773EBBE2">
        <w:tblPrEx>
          <w:tblCellMar>
            <w:top w:w="0" w:type="dxa"/>
            <w:left w:w="108" w:type="dxa"/>
            <w:bottom w:w="0" w:type="dxa"/>
            <w:right w:w="108" w:type="dxa"/>
          </w:tblCellMar>
        </w:tblPrEx>
        <w:trPr>
          <w:trHeight w:val="571"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43CF4346">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17</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0154BED5">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关联交易条款</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2B29A229">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411EB514">
        <w:tblPrEx>
          <w:tblCellMar>
            <w:top w:w="0" w:type="dxa"/>
            <w:left w:w="108" w:type="dxa"/>
            <w:bottom w:w="0" w:type="dxa"/>
            <w:right w:w="108" w:type="dxa"/>
          </w:tblCellMar>
        </w:tblPrEx>
        <w:trPr>
          <w:trHeight w:val="437"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3CBAD343">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18</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664780D6">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关键人条款 </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6026873A">
            <w:pPr>
              <w:tabs>
                <w:tab w:val="center" w:pos="4153"/>
              </w:tabs>
              <w:rPr>
                <w:rFonts w:ascii="Times New Roman" w:hAnsi="Times New Roman" w:eastAsia="仿宋" w:cs="Times New Roman"/>
                <w:sz w:val="24"/>
                <w:szCs w:val="24"/>
              </w:rPr>
            </w:pPr>
          </w:p>
        </w:tc>
      </w:tr>
      <w:tr w14:paraId="679B6A6C">
        <w:tblPrEx>
          <w:tblCellMar>
            <w:top w:w="0" w:type="dxa"/>
            <w:left w:w="108" w:type="dxa"/>
            <w:bottom w:w="0" w:type="dxa"/>
            <w:right w:w="108" w:type="dxa"/>
          </w:tblCellMar>
        </w:tblPrEx>
        <w:trPr>
          <w:trHeight w:val="565"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5215A784">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19</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23C85855">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平行基金（</w:t>
            </w:r>
            <w:r>
              <w:rPr>
                <w:rFonts w:hint="eastAsia" w:ascii="Times New Roman" w:hAnsi="Times New Roman" w:eastAsia="仿宋" w:cs="Times New Roman"/>
                <w:bCs/>
                <w:sz w:val="24"/>
                <w:szCs w:val="24"/>
              </w:rPr>
              <w:t>专注度保障</w:t>
            </w:r>
            <w:r>
              <w:rPr>
                <w:rFonts w:ascii="Times New Roman" w:hAnsi="Times New Roman" w:eastAsia="仿宋" w:cs="Times New Roman"/>
                <w:bCs/>
                <w:sz w:val="24"/>
                <w:szCs w:val="24"/>
              </w:rPr>
              <w:t>）条款</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57F18580">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1CBA0FDC">
        <w:tblPrEx>
          <w:tblCellMar>
            <w:top w:w="0" w:type="dxa"/>
            <w:left w:w="108" w:type="dxa"/>
            <w:bottom w:w="0" w:type="dxa"/>
            <w:right w:w="108" w:type="dxa"/>
          </w:tblCellMar>
        </w:tblPrEx>
        <w:trPr>
          <w:trHeight w:val="552"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504E92CA">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20</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71623C40">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基金承担费用</w:t>
            </w:r>
            <w:r>
              <w:rPr>
                <w:rFonts w:hint="eastAsia" w:ascii="Times New Roman" w:hAnsi="Times New Roman" w:eastAsia="仿宋" w:cs="Times New Roman"/>
                <w:bCs/>
                <w:sz w:val="24"/>
                <w:szCs w:val="24"/>
              </w:rPr>
              <w:t>及</w:t>
            </w:r>
            <w:r>
              <w:rPr>
                <w:rFonts w:ascii="Times New Roman" w:hAnsi="Times New Roman" w:eastAsia="仿宋" w:cs="Times New Roman"/>
                <w:bCs/>
                <w:sz w:val="24"/>
                <w:szCs w:val="24"/>
              </w:rPr>
              <w:t xml:space="preserve">限额 </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60AE6087">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751B060B">
        <w:tblPrEx>
          <w:tblCellMar>
            <w:top w:w="0" w:type="dxa"/>
            <w:left w:w="108" w:type="dxa"/>
            <w:bottom w:w="0" w:type="dxa"/>
            <w:right w:w="108" w:type="dxa"/>
          </w:tblCellMar>
        </w:tblPrEx>
        <w:trPr>
          <w:trHeight w:val="545"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28FF2538">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21</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5F4394F5">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投资比例限制 </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3EB65D03">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055E71B6">
        <w:tblPrEx>
          <w:tblCellMar>
            <w:top w:w="0" w:type="dxa"/>
            <w:left w:w="108" w:type="dxa"/>
            <w:bottom w:w="0" w:type="dxa"/>
            <w:right w:w="108" w:type="dxa"/>
          </w:tblCellMar>
        </w:tblPrEx>
        <w:trPr>
          <w:trHeight w:val="54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28C3B88D">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22</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778BCA11">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投资负面清单或方向限制</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48D3EE01">
            <w:pPr>
              <w:tabs>
                <w:tab w:val="center" w:pos="4153"/>
              </w:tabs>
              <w:rPr>
                <w:rFonts w:ascii="Times New Roman" w:hAnsi="Times New Roman" w:eastAsia="仿宋" w:cs="Times New Roman"/>
                <w:sz w:val="24"/>
                <w:szCs w:val="24"/>
              </w:rPr>
            </w:pPr>
            <w:r>
              <w:rPr>
                <w:rFonts w:ascii="Times New Roman" w:hAnsi="Times New Roman" w:eastAsia="仿宋" w:cs="Times New Roman"/>
                <w:sz w:val="24"/>
                <w:szCs w:val="24"/>
              </w:rPr>
              <w:t>　</w:t>
            </w:r>
          </w:p>
        </w:tc>
      </w:tr>
      <w:tr w14:paraId="36CF4103">
        <w:tblPrEx>
          <w:tblCellMar>
            <w:top w:w="0" w:type="dxa"/>
            <w:left w:w="108" w:type="dxa"/>
            <w:bottom w:w="0" w:type="dxa"/>
            <w:right w:w="108" w:type="dxa"/>
          </w:tblCellMar>
        </w:tblPrEx>
        <w:trPr>
          <w:trHeight w:val="549" w:hRule="atLeast"/>
        </w:trPr>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14:paraId="133D0253">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23</w:t>
            </w:r>
          </w:p>
        </w:tc>
        <w:tc>
          <w:tcPr>
            <w:tcW w:w="3965" w:type="dxa"/>
            <w:tcBorders>
              <w:top w:val="single" w:color="auto" w:sz="4" w:space="0"/>
              <w:left w:val="single" w:color="auto" w:sz="4" w:space="0"/>
              <w:bottom w:val="single" w:color="auto" w:sz="4" w:space="0"/>
              <w:right w:val="single" w:color="auto" w:sz="4" w:space="0"/>
            </w:tcBorders>
            <w:shd w:val="clear" w:color="auto" w:fill="auto"/>
            <w:vAlign w:val="center"/>
          </w:tcPr>
          <w:p w14:paraId="268EEE44">
            <w:pPr>
              <w:tabs>
                <w:tab w:val="center" w:pos="4153"/>
              </w:tabs>
              <w:rPr>
                <w:rFonts w:ascii="Times New Roman" w:hAnsi="Times New Roman" w:eastAsia="仿宋" w:cs="Times New Roman"/>
                <w:bCs/>
                <w:sz w:val="24"/>
                <w:szCs w:val="24"/>
              </w:rPr>
            </w:pPr>
            <w:r>
              <w:rPr>
                <w:rFonts w:ascii="Times New Roman" w:hAnsi="Times New Roman" w:eastAsia="仿宋" w:cs="Times New Roman"/>
                <w:bCs/>
                <w:sz w:val="24"/>
                <w:szCs w:val="24"/>
              </w:rPr>
              <w:t>承担亏损条款</w:t>
            </w:r>
          </w:p>
        </w:tc>
        <w:tc>
          <w:tcPr>
            <w:tcW w:w="4785" w:type="dxa"/>
            <w:tcBorders>
              <w:top w:val="single" w:color="auto" w:sz="4" w:space="0"/>
              <w:left w:val="single" w:color="auto" w:sz="4" w:space="0"/>
              <w:bottom w:val="single" w:color="auto" w:sz="4" w:space="0"/>
              <w:right w:val="single" w:color="auto" w:sz="4" w:space="0"/>
            </w:tcBorders>
            <w:shd w:val="clear" w:color="auto" w:fill="auto"/>
            <w:vAlign w:val="center"/>
          </w:tcPr>
          <w:p w14:paraId="54575E73">
            <w:pPr>
              <w:tabs>
                <w:tab w:val="center" w:pos="4153"/>
              </w:tabs>
              <w:rPr>
                <w:rFonts w:ascii="Times New Roman" w:hAnsi="Times New Roman" w:eastAsia="仿宋" w:cs="Times New Roman"/>
                <w:sz w:val="24"/>
                <w:szCs w:val="24"/>
              </w:rPr>
            </w:pPr>
          </w:p>
        </w:tc>
      </w:tr>
    </w:tbl>
    <w:p w14:paraId="47FDE4C2">
      <w:pPr>
        <w:tabs>
          <w:tab w:val="center" w:pos="4153"/>
        </w:tabs>
        <w:rPr>
          <w:rFonts w:hint="eastAsia" w:ascii="仿宋" w:hAnsi="仿宋" w:eastAsia="仿宋" w:cs="Times New Roman"/>
          <w:sz w:val="24"/>
          <w:szCs w:val="24"/>
        </w:rPr>
      </w:pPr>
      <w:r>
        <w:rPr>
          <w:rFonts w:ascii="仿宋" w:hAnsi="仿宋" w:eastAsia="仿宋" w:cs="Times New Roman"/>
          <w:sz w:val="24"/>
          <w:szCs w:val="24"/>
        </w:rPr>
        <w:tab/>
      </w:r>
    </w:p>
    <w:p w14:paraId="723DCA0E">
      <w:pPr>
        <w:widowControl/>
        <w:jc w:val="left"/>
        <w:rPr>
          <w:rFonts w:hint="eastAsia" w:ascii="仿宋" w:hAnsi="仿宋" w:eastAsia="仿宋" w:cs="Times New Roman"/>
          <w:sz w:val="28"/>
          <w:szCs w:val="28"/>
        </w:rPr>
      </w:pPr>
      <w:r>
        <w:rPr>
          <w:rFonts w:ascii="仿宋" w:hAnsi="仿宋" w:eastAsia="仿宋" w:cs="Times New Roman"/>
          <w:sz w:val="28"/>
          <w:szCs w:val="28"/>
        </w:rPr>
        <w:br w:type="page"/>
      </w:r>
    </w:p>
    <w:p w14:paraId="523D3C6F">
      <w:pPr>
        <w:tabs>
          <w:tab w:val="center" w:pos="4153"/>
        </w:tabs>
        <w:rPr>
          <w:rFonts w:hint="eastAsia" w:ascii="仿宋" w:hAnsi="仿宋" w:eastAsia="仿宋" w:cs="Times New Roman"/>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14:paraId="307D1F42">
      <w:pPr>
        <w:widowControl/>
        <w:adjustRightInd w:val="0"/>
        <w:snapToGrid w:val="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附件4</w:t>
      </w:r>
    </w:p>
    <w:p w14:paraId="4B24FF8B">
      <w:pPr>
        <w:spacing w:line="560" w:lineRule="exact"/>
        <w:jc w:val="center"/>
        <w:rPr>
          <w:rFonts w:ascii="楷体_GB2312" w:hAnsi="Calibri" w:eastAsia="楷体_GB2312" w:cs="Times New Roman"/>
          <w:b/>
          <w:sz w:val="32"/>
        </w:rPr>
      </w:pPr>
      <w:r>
        <w:rPr>
          <w:rFonts w:hint="eastAsia" w:ascii="楷体_GB2312" w:hAnsi="Calibri" w:eastAsia="楷体_GB2312" w:cs="Times New Roman"/>
          <w:b/>
          <w:sz w:val="32"/>
        </w:rPr>
        <w:t>基金合规性自查表</w:t>
      </w:r>
    </w:p>
    <w:p w14:paraId="656C45CB">
      <w:pPr>
        <w:spacing w:line="560" w:lineRule="exact"/>
        <w:jc w:val="left"/>
        <w:rPr>
          <w:rFonts w:ascii="楷体_GB2312" w:hAnsi="Calibri" w:eastAsia="楷体_GB2312" w:cs="Times New Roman"/>
          <w:b/>
          <w:sz w:val="24"/>
          <w:u w:val="single"/>
        </w:rPr>
      </w:pPr>
      <w:r>
        <w:rPr>
          <w:rFonts w:hint="eastAsia" w:ascii="楷体_GB2312" w:hAnsi="Calibri" w:eastAsia="楷体_GB2312" w:cs="Times New Roman"/>
          <w:b/>
          <w:sz w:val="24"/>
          <w:u w:val="single"/>
        </w:rPr>
        <w:t xml:space="preserve">拟申报基金名称：                                                    </w:t>
      </w:r>
    </w:p>
    <w:p w14:paraId="05BE75D6">
      <w:pPr>
        <w:spacing w:line="560" w:lineRule="exact"/>
        <w:jc w:val="left"/>
        <w:rPr>
          <w:rFonts w:ascii="楷体_GB2312" w:hAnsi="Calibri" w:eastAsia="楷体_GB2312" w:cs="Times New Roman"/>
          <w:b/>
          <w:sz w:val="24"/>
          <w:u w:val="single"/>
        </w:rPr>
      </w:pPr>
    </w:p>
    <w:tbl>
      <w:tblPr>
        <w:tblStyle w:val="3"/>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5252"/>
        <w:gridCol w:w="1297"/>
        <w:gridCol w:w="1323"/>
      </w:tblGrid>
      <w:tr w14:paraId="5F53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blHeader/>
          <w:jc w:val="center"/>
        </w:trPr>
        <w:tc>
          <w:tcPr>
            <w:tcW w:w="3572" w:type="pct"/>
            <w:gridSpan w:val="2"/>
            <w:shd w:val="clear" w:color="auto" w:fill="auto"/>
            <w:vAlign w:val="center"/>
          </w:tcPr>
          <w:p w14:paraId="76BB343B">
            <w:pPr>
              <w:spacing w:line="560" w:lineRule="exact"/>
              <w:jc w:val="center"/>
              <w:rPr>
                <w:rFonts w:ascii="楷体_GB2312" w:hAnsi="Calibri" w:eastAsia="楷体_GB2312" w:cs="Times New Roman"/>
                <w:b/>
              </w:rPr>
            </w:pPr>
            <w:r>
              <w:rPr>
                <w:rFonts w:hint="eastAsia" w:ascii="楷体_GB2312" w:hAnsi="Calibri" w:eastAsia="楷体_GB2312" w:cs="Times New Roman"/>
                <w:b/>
              </w:rPr>
              <w:t>项目</w:t>
            </w:r>
          </w:p>
        </w:tc>
        <w:tc>
          <w:tcPr>
            <w:tcW w:w="707" w:type="pct"/>
            <w:shd w:val="clear" w:color="auto" w:fill="auto"/>
            <w:vAlign w:val="center"/>
          </w:tcPr>
          <w:p w14:paraId="06CFC30F">
            <w:pPr>
              <w:spacing w:line="560" w:lineRule="exact"/>
              <w:jc w:val="center"/>
              <w:rPr>
                <w:rFonts w:ascii="楷体_GB2312" w:hAnsi="Calibri" w:eastAsia="楷体_GB2312" w:cs="Times New Roman"/>
                <w:b/>
                <w:color w:val="000000"/>
              </w:rPr>
            </w:pPr>
            <w:r>
              <w:rPr>
                <w:rFonts w:hint="eastAsia" w:ascii="楷体_GB2312" w:hAnsi="Calibri" w:eastAsia="楷体_GB2312" w:cs="Times New Roman"/>
                <w:b/>
                <w:color w:val="000000"/>
              </w:rPr>
              <w:t>是否符合</w:t>
            </w:r>
          </w:p>
        </w:tc>
        <w:tc>
          <w:tcPr>
            <w:tcW w:w="719" w:type="pct"/>
            <w:shd w:val="clear" w:color="auto" w:fill="auto"/>
            <w:vAlign w:val="center"/>
          </w:tcPr>
          <w:p w14:paraId="6B7AC13B">
            <w:pPr>
              <w:spacing w:line="560" w:lineRule="exact"/>
              <w:jc w:val="center"/>
              <w:rPr>
                <w:rFonts w:ascii="楷体_GB2312" w:hAnsi="Calibri" w:eastAsia="楷体_GB2312" w:cs="Times New Roman"/>
                <w:b/>
                <w:color w:val="000000"/>
              </w:rPr>
            </w:pPr>
            <w:r>
              <w:rPr>
                <w:rFonts w:hint="eastAsia" w:ascii="楷体_GB2312" w:hAnsi="Calibri" w:eastAsia="楷体_GB2312" w:cs="Times New Roman"/>
                <w:b/>
                <w:color w:val="000000"/>
              </w:rPr>
              <w:t>备注</w:t>
            </w:r>
          </w:p>
        </w:tc>
      </w:tr>
      <w:tr w14:paraId="691C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5000" w:type="pct"/>
            <w:gridSpan w:val="4"/>
            <w:shd w:val="clear" w:color="auto" w:fill="auto"/>
            <w:vAlign w:val="center"/>
          </w:tcPr>
          <w:p w14:paraId="313C15CA">
            <w:pPr>
              <w:spacing w:line="560" w:lineRule="exact"/>
              <w:rPr>
                <w:rFonts w:ascii="楷体_GB2312" w:hAnsi="Calibri" w:eastAsia="楷体_GB2312" w:cs="Arial"/>
                <w:b/>
                <w:color w:val="000000"/>
                <w:szCs w:val="21"/>
              </w:rPr>
            </w:pPr>
            <w:r>
              <w:rPr>
                <w:rFonts w:hint="eastAsia" w:ascii="楷体_GB2312" w:hAnsi="Calibri" w:eastAsia="楷体_GB2312" w:cs="Arial"/>
                <w:b/>
                <w:color w:val="000000"/>
                <w:szCs w:val="21"/>
              </w:rPr>
              <w:t>一、</w:t>
            </w:r>
            <w:r>
              <w:rPr>
                <w:rFonts w:hint="eastAsia" w:ascii="楷体_GB2312" w:hAnsi="Calibri" w:eastAsia="楷体_GB2312" w:cs="Arial"/>
                <w:b/>
                <w:color w:val="000000"/>
                <w:szCs w:val="21"/>
                <w:lang w:val="en-US" w:eastAsia="zh-CN"/>
              </w:rPr>
              <w:t>鑫时代鄂州</w:t>
            </w:r>
            <w:r>
              <w:rPr>
                <w:rFonts w:hint="eastAsia" w:ascii="楷体_GB2312" w:hAnsi="Calibri" w:eastAsia="楷体_GB2312" w:cs="Arial"/>
                <w:b/>
                <w:color w:val="000000"/>
                <w:szCs w:val="21"/>
              </w:rPr>
              <w:t>基金参股的基金应符合以下条件：</w:t>
            </w:r>
          </w:p>
        </w:tc>
      </w:tr>
      <w:tr w14:paraId="11B5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710" w:type="pct"/>
            <w:shd w:val="clear" w:color="auto" w:fill="auto"/>
            <w:vAlign w:val="center"/>
          </w:tcPr>
          <w:p w14:paraId="4B7317D7">
            <w:pPr>
              <w:spacing w:line="560" w:lineRule="exact"/>
              <w:jc w:val="center"/>
              <w:rPr>
                <w:rFonts w:ascii="楷体_GB2312" w:hAnsi="Calibri" w:eastAsia="楷体_GB2312" w:cs="Times New Roman"/>
              </w:rPr>
            </w:pPr>
            <w:r>
              <w:rPr>
                <w:rFonts w:hint="eastAsia" w:ascii="楷体_GB2312" w:hAnsi="Calibri" w:eastAsia="楷体_GB2312" w:cs="Times New Roman"/>
              </w:rPr>
              <w:t>存续期限</w:t>
            </w:r>
          </w:p>
        </w:tc>
        <w:tc>
          <w:tcPr>
            <w:tcW w:w="2862" w:type="pct"/>
            <w:shd w:val="clear" w:color="auto" w:fill="auto"/>
            <w:vAlign w:val="center"/>
          </w:tcPr>
          <w:p w14:paraId="19665EDC">
            <w:pPr>
              <w:spacing w:line="560" w:lineRule="exact"/>
              <w:rPr>
                <w:rFonts w:hint="eastAsia" w:ascii="楷体_GB2312" w:hAnsi="宋体" w:eastAsia="楷体_GB2312" w:cs="Times New Roman"/>
                <w:szCs w:val="21"/>
              </w:rPr>
            </w:pPr>
            <w:r>
              <w:rPr>
                <w:rFonts w:hint="eastAsia" w:ascii="楷体_GB2312" w:hAnsi="宋体" w:eastAsia="楷体_GB2312" w:cs="Times New Roman"/>
                <w:szCs w:val="21"/>
                <w:lang w:val="en-US" w:eastAsia="zh-CN"/>
              </w:rPr>
              <w:t>鑫时代鄂州</w:t>
            </w:r>
            <w:r>
              <w:rPr>
                <w:rFonts w:hint="eastAsia" w:ascii="楷体_GB2312" w:hAnsi="宋体" w:eastAsia="楷体_GB2312" w:cs="Times New Roman"/>
                <w:szCs w:val="21"/>
              </w:rPr>
              <w:t>基金参与设立的母子基金存续期一般不超过</w:t>
            </w:r>
            <w:r>
              <w:rPr>
                <w:rFonts w:ascii="楷体_GB2312" w:hAnsi="宋体" w:eastAsia="楷体_GB2312" w:cs="Times New Roman"/>
                <w:szCs w:val="21"/>
              </w:rPr>
              <w:t>7年</w:t>
            </w:r>
          </w:p>
        </w:tc>
        <w:tc>
          <w:tcPr>
            <w:tcW w:w="707" w:type="pct"/>
            <w:shd w:val="clear" w:color="auto" w:fill="auto"/>
            <w:vAlign w:val="center"/>
          </w:tcPr>
          <w:p w14:paraId="0751E9E7">
            <w:pPr>
              <w:spacing w:line="560" w:lineRule="exact"/>
              <w:jc w:val="center"/>
              <w:rPr>
                <w:rFonts w:ascii="楷体_GB2312" w:hAnsi="Calibri" w:eastAsia="楷体_GB2312" w:cs="Arial"/>
                <w:b/>
                <w:color w:val="000000"/>
                <w:szCs w:val="21"/>
              </w:rPr>
            </w:pPr>
          </w:p>
        </w:tc>
        <w:tc>
          <w:tcPr>
            <w:tcW w:w="719" w:type="pct"/>
            <w:shd w:val="clear" w:color="auto" w:fill="auto"/>
            <w:vAlign w:val="center"/>
          </w:tcPr>
          <w:p w14:paraId="6C86FD6F">
            <w:pPr>
              <w:spacing w:line="560" w:lineRule="exact"/>
              <w:rPr>
                <w:rFonts w:ascii="楷体_GB2312" w:hAnsi="Calibri" w:eastAsia="楷体_GB2312" w:cs="Arial"/>
                <w:b/>
                <w:color w:val="000000"/>
                <w:szCs w:val="21"/>
              </w:rPr>
            </w:pPr>
          </w:p>
        </w:tc>
      </w:tr>
      <w:tr w14:paraId="79DA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710" w:type="pct"/>
            <w:shd w:val="clear" w:color="auto" w:fill="auto"/>
            <w:vAlign w:val="center"/>
          </w:tcPr>
          <w:p w14:paraId="7BEA74E5">
            <w:pPr>
              <w:spacing w:line="560" w:lineRule="exact"/>
              <w:jc w:val="center"/>
              <w:rPr>
                <w:rFonts w:ascii="楷体_GB2312" w:hAnsi="Calibri" w:eastAsia="楷体_GB2312" w:cs="Times New Roman"/>
              </w:rPr>
            </w:pPr>
            <w:r>
              <w:rPr>
                <w:rFonts w:hint="eastAsia" w:ascii="楷体_GB2312" w:hAnsi="Calibri" w:eastAsia="楷体_GB2312" w:cs="Times New Roman"/>
              </w:rPr>
              <w:t>返投要求</w:t>
            </w:r>
          </w:p>
        </w:tc>
        <w:tc>
          <w:tcPr>
            <w:tcW w:w="2862" w:type="pct"/>
            <w:shd w:val="clear" w:color="auto" w:fill="auto"/>
            <w:vAlign w:val="center"/>
          </w:tcPr>
          <w:p w14:paraId="6C9366A1">
            <w:pPr>
              <w:spacing w:line="560" w:lineRule="exact"/>
              <w:rPr>
                <w:rFonts w:ascii="楷体_GB2312" w:hAnsi="Calibri" w:eastAsia="楷体_GB2312" w:cs="Times New Roman"/>
              </w:rPr>
            </w:pPr>
            <w:r>
              <w:rPr>
                <w:rFonts w:hint="eastAsia" w:ascii="楷体_GB2312" w:hAnsi="Calibri" w:eastAsia="楷体_GB2312" w:cs="Times New Roman"/>
                <w:lang w:eastAsia="zh-CN"/>
              </w:rPr>
              <w:t>鑫时代鄂州基金</w:t>
            </w:r>
            <w:r>
              <w:rPr>
                <w:rFonts w:hint="eastAsia" w:ascii="楷体_GB2312" w:hAnsi="Calibri" w:eastAsia="楷体_GB2312" w:cs="Times New Roman"/>
              </w:rPr>
              <w:t>参与设立的子基金，在</w:t>
            </w:r>
            <w:r>
              <w:rPr>
                <w:rFonts w:hint="eastAsia" w:ascii="楷体_GB2312" w:hAnsi="Calibri" w:eastAsia="楷体_GB2312" w:cs="Times New Roman"/>
                <w:lang w:val="en-US" w:eastAsia="zh-CN"/>
              </w:rPr>
              <w:t>当地</w:t>
            </w:r>
            <w:r>
              <w:rPr>
                <w:rFonts w:hint="eastAsia" w:ascii="楷体_GB2312" w:hAnsi="Calibri" w:eastAsia="楷体_GB2312" w:cs="Times New Roman"/>
              </w:rPr>
              <w:t>投资比例应当在有限合伙协议</w:t>
            </w:r>
            <w:r>
              <w:rPr>
                <w:rFonts w:ascii="楷体_GB2312" w:hAnsi="Calibri" w:eastAsia="楷体_GB2312" w:cs="Times New Roman"/>
              </w:rPr>
              <w:t>(章程)中作出明确约定，原则上不低于</w:t>
            </w:r>
            <w:r>
              <w:rPr>
                <w:rFonts w:hint="eastAsia" w:ascii="楷体_GB2312" w:hAnsi="Calibri" w:eastAsia="楷体_GB2312" w:cs="Times New Roman"/>
                <w:lang w:eastAsia="zh-CN"/>
              </w:rPr>
              <w:t>鑫时代鄂州基金</w:t>
            </w:r>
            <w:r>
              <w:rPr>
                <w:rFonts w:ascii="楷体_GB2312" w:hAnsi="Calibri" w:eastAsia="楷体_GB2312" w:cs="Times New Roman"/>
              </w:rPr>
              <w:t>出资额的1.5倍。对社会资本出资比例较高或者规模较大的子基金，返投要求可按照“一事一议”方式适当放宽</w:t>
            </w:r>
            <w:r>
              <w:rPr>
                <w:rFonts w:hint="eastAsia" w:ascii="楷体_GB2312" w:hAnsi="Calibri" w:eastAsia="楷体_GB2312" w:cs="Times New Roman"/>
              </w:rPr>
              <w:t>。</w:t>
            </w:r>
          </w:p>
        </w:tc>
        <w:tc>
          <w:tcPr>
            <w:tcW w:w="707" w:type="pct"/>
            <w:shd w:val="clear" w:color="auto" w:fill="auto"/>
            <w:vAlign w:val="center"/>
          </w:tcPr>
          <w:p w14:paraId="6DD52EFD">
            <w:pPr>
              <w:spacing w:line="560" w:lineRule="exact"/>
              <w:jc w:val="center"/>
              <w:rPr>
                <w:rFonts w:ascii="楷体_GB2312" w:hAnsi="Calibri" w:eastAsia="楷体_GB2312" w:cs="Times New Roman"/>
                <w:szCs w:val="21"/>
              </w:rPr>
            </w:pPr>
          </w:p>
        </w:tc>
        <w:tc>
          <w:tcPr>
            <w:tcW w:w="719" w:type="pct"/>
            <w:shd w:val="clear" w:color="auto" w:fill="auto"/>
            <w:vAlign w:val="center"/>
          </w:tcPr>
          <w:p w14:paraId="26788D88">
            <w:pPr>
              <w:spacing w:line="560" w:lineRule="exact"/>
              <w:rPr>
                <w:rFonts w:ascii="楷体_GB2312" w:hAnsi="Calibri" w:eastAsia="楷体_GB2312" w:cs="Times New Roman"/>
                <w:szCs w:val="21"/>
              </w:rPr>
            </w:pPr>
          </w:p>
        </w:tc>
      </w:tr>
      <w:tr w14:paraId="4DA7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710" w:type="pct"/>
            <w:shd w:val="clear" w:color="auto" w:fill="auto"/>
            <w:vAlign w:val="center"/>
          </w:tcPr>
          <w:p w14:paraId="4B2EF7A1">
            <w:pPr>
              <w:spacing w:line="560" w:lineRule="exact"/>
              <w:jc w:val="center"/>
              <w:rPr>
                <w:rFonts w:ascii="楷体_GB2312" w:hAnsi="Calibri" w:eastAsia="楷体_GB2312" w:cs="Times New Roman"/>
              </w:rPr>
            </w:pPr>
            <w:r>
              <w:rPr>
                <w:rFonts w:hint="eastAsia" w:ascii="楷体_GB2312" w:hAnsi="Calibri" w:eastAsia="楷体_GB2312" w:cs="Times New Roman"/>
              </w:rPr>
              <w:t>出资比例</w:t>
            </w:r>
          </w:p>
        </w:tc>
        <w:tc>
          <w:tcPr>
            <w:tcW w:w="2862" w:type="pct"/>
            <w:shd w:val="clear" w:color="auto" w:fill="auto"/>
            <w:vAlign w:val="center"/>
          </w:tcPr>
          <w:p w14:paraId="63DEBBEB">
            <w:pPr>
              <w:spacing w:line="560" w:lineRule="exact"/>
              <w:rPr>
                <w:rFonts w:ascii="楷体_GB2312" w:hAnsi="Calibri" w:eastAsia="楷体_GB2312" w:cs="Times New Roman"/>
              </w:rPr>
            </w:pPr>
            <w:r>
              <w:rPr>
                <w:rFonts w:hint="eastAsia" w:ascii="楷体_GB2312" w:hAnsi="Calibri" w:eastAsia="楷体_GB2312" w:cs="Times New Roman"/>
              </w:rPr>
              <w:t>对子基金认缴出资比例不超过子基金总认缴规模的30%，且不成为第一大或并列第一大出资人。</w:t>
            </w:r>
          </w:p>
        </w:tc>
        <w:tc>
          <w:tcPr>
            <w:tcW w:w="707" w:type="pct"/>
            <w:shd w:val="clear" w:color="auto" w:fill="auto"/>
            <w:vAlign w:val="center"/>
          </w:tcPr>
          <w:p w14:paraId="72DC1DCE">
            <w:pPr>
              <w:spacing w:line="560" w:lineRule="exact"/>
              <w:jc w:val="center"/>
              <w:rPr>
                <w:rFonts w:ascii="楷体_GB2312" w:hAnsi="Calibri" w:eastAsia="楷体_GB2312" w:cs="Times New Roman"/>
                <w:szCs w:val="21"/>
              </w:rPr>
            </w:pPr>
          </w:p>
        </w:tc>
        <w:tc>
          <w:tcPr>
            <w:tcW w:w="719" w:type="pct"/>
            <w:shd w:val="clear" w:color="auto" w:fill="auto"/>
            <w:vAlign w:val="center"/>
          </w:tcPr>
          <w:p w14:paraId="01705636">
            <w:pPr>
              <w:spacing w:line="560" w:lineRule="exact"/>
              <w:rPr>
                <w:rFonts w:ascii="楷体_GB2312" w:hAnsi="Calibri" w:eastAsia="楷体_GB2312" w:cs="Times New Roman"/>
                <w:szCs w:val="21"/>
              </w:rPr>
            </w:pPr>
          </w:p>
        </w:tc>
      </w:tr>
      <w:tr w14:paraId="27EA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710" w:type="pct"/>
            <w:shd w:val="clear" w:color="auto" w:fill="auto"/>
            <w:vAlign w:val="center"/>
          </w:tcPr>
          <w:p w14:paraId="6FE68023">
            <w:pPr>
              <w:spacing w:line="560" w:lineRule="exact"/>
              <w:jc w:val="center"/>
              <w:rPr>
                <w:rFonts w:ascii="楷体_GB2312" w:hAnsi="Calibri" w:eastAsia="楷体_GB2312" w:cs="Times New Roman"/>
              </w:rPr>
            </w:pPr>
            <w:r>
              <w:rPr>
                <w:rFonts w:hint="eastAsia" w:ascii="楷体_GB2312" w:hAnsi="Calibri" w:eastAsia="楷体_GB2312" w:cs="Times New Roman"/>
              </w:rPr>
              <w:t>后出资</w:t>
            </w:r>
          </w:p>
        </w:tc>
        <w:tc>
          <w:tcPr>
            <w:tcW w:w="2862" w:type="pct"/>
            <w:shd w:val="clear" w:color="auto" w:fill="auto"/>
            <w:vAlign w:val="center"/>
          </w:tcPr>
          <w:p w14:paraId="78CEA86F">
            <w:pPr>
              <w:spacing w:line="560" w:lineRule="exact"/>
              <w:rPr>
                <w:rFonts w:ascii="楷体_GB2312" w:hAnsi="Calibri" w:eastAsia="楷体_GB2312" w:cs="Times New Roman"/>
              </w:rPr>
            </w:pPr>
            <w:r>
              <w:rPr>
                <w:rFonts w:hint="eastAsia" w:ascii="楷体_GB2312" w:hAnsi="Calibri" w:eastAsia="楷体_GB2312" w:cs="Times New Roman"/>
                <w:lang w:eastAsia="zh-CN"/>
              </w:rPr>
              <w:t>鑫时代鄂州基金</w:t>
            </w:r>
            <w:r>
              <w:rPr>
                <w:rFonts w:hint="eastAsia" w:ascii="楷体_GB2312" w:hAnsi="Calibri" w:eastAsia="楷体_GB2312" w:cs="Times New Roman"/>
              </w:rPr>
              <w:t>出资可以一次认缴、分期出资具体出资方案及出资顺序应在有限合伙协议</w:t>
            </w:r>
            <w:r>
              <w:rPr>
                <w:rFonts w:ascii="楷体_GB2312" w:hAnsi="Calibri" w:eastAsia="楷体_GB2312" w:cs="Times New Roman"/>
              </w:rPr>
              <w:t>(章程)进行约定:原则上应在其他社会出资人缴付出资后，按比例出资。</w:t>
            </w:r>
          </w:p>
        </w:tc>
        <w:tc>
          <w:tcPr>
            <w:tcW w:w="707" w:type="pct"/>
            <w:shd w:val="clear" w:color="auto" w:fill="auto"/>
            <w:vAlign w:val="center"/>
          </w:tcPr>
          <w:p w14:paraId="2B20B5EB">
            <w:pPr>
              <w:spacing w:line="560" w:lineRule="exact"/>
              <w:jc w:val="center"/>
              <w:rPr>
                <w:rFonts w:hint="eastAsia" w:ascii="楷体_GB2312" w:hAnsi="宋体" w:eastAsia="楷体_GB2312" w:cs="Times New Roman"/>
                <w:color w:val="000000"/>
                <w:szCs w:val="21"/>
              </w:rPr>
            </w:pPr>
          </w:p>
        </w:tc>
        <w:tc>
          <w:tcPr>
            <w:tcW w:w="719" w:type="pct"/>
            <w:shd w:val="clear" w:color="auto" w:fill="auto"/>
            <w:vAlign w:val="center"/>
          </w:tcPr>
          <w:p w14:paraId="20EFBB22">
            <w:pPr>
              <w:spacing w:line="560" w:lineRule="exact"/>
              <w:rPr>
                <w:rFonts w:hint="eastAsia" w:ascii="楷体_GB2312" w:hAnsi="宋体" w:eastAsia="楷体_GB2312" w:cs="Times New Roman"/>
                <w:color w:val="000000"/>
                <w:szCs w:val="21"/>
              </w:rPr>
            </w:pPr>
          </w:p>
        </w:tc>
      </w:tr>
      <w:tr w14:paraId="6721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710" w:type="pct"/>
            <w:shd w:val="clear" w:color="auto" w:fill="auto"/>
            <w:vAlign w:val="center"/>
          </w:tcPr>
          <w:p w14:paraId="77E510F2">
            <w:pPr>
              <w:spacing w:line="560" w:lineRule="exact"/>
              <w:jc w:val="center"/>
              <w:rPr>
                <w:rFonts w:ascii="楷体_GB2312" w:hAnsi="Calibri" w:eastAsia="楷体_GB2312" w:cs="Times New Roman"/>
              </w:rPr>
            </w:pPr>
            <w:r>
              <w:rPr>
                <w:rFonts w:hint="eastAsia" w:ascii="楷体_GB2312" w:hAnsi="Calibri" w:eastAsia="楷体_GB2312" w:cs="Times New Roman"/>
              </w:rPr>
              <w:t>收益分配</w:t>
            </w:r>
          </w:p>
        </w:tc>
        <w:tc>
          <w:tcPr>
            <w:tcW w:w="2862" w:type="pct"/>
            <w:shd w:val="clear" w:color="auto" w:fill="auto"/>
            <w:vAlign w:val="center"/>
          </w:tcPr>
          <w:p w14:paraId="29C80834">
            <w:pPr>
              <w:spacing w:line="560" w:lineRule="exact"/>
              <w:rPr>
                <w:rFonts w:hint="eastAsia" w:ascii="楷体_GB2312" w:hAnsi="宋体" w:eastAsia="楷体_GB2312" w:cs="Times New Roman"/>
                <w:szCs w:val="21"/>
              </w:rPr>
            </w:pPr>
            <w:r>
              <w:rPr>
                <w:rFonts w:hint="eastAsia" w:ascii="楷体_GB2312" w:hAnsi="宋体" w:eastAsia="楷体_GB2312" w:cs="Times New Roman"/>
                <w:szCs w:val="21"/>
                <w:lang w:eastAsia="zh-CN"/>
              </w:rPr>
              <w:t>鑫时代鄂州基金参与设立的子基金，应当按照“先回本、后分利”的原则进行核算，子基金设置原则上不低于8%/年（单利）的门槛收益率，在达成返投且投资效益较好时，酌情予以适当让利。</w:t>
            </w:r>
          </w:p>
        </w:tc>
        <w:tc>
          <w:tcPr>
            <w:tcW w:w="707" w:type="pct"/>
            <w:shd w:val="clear" w:color="auto" w:fill="auto"/>
            <w:vAlign w:val="center"/>
          </w:tcPr>
          <w:p w14:paraId="79EF8921">
            <w:pPr>
              <w:spacing w:line="560" w:lineRule="exact"/>
              <w:jc w:val="center"/>
              <w:rPr>
                <w:rFonts w:hint="eastAsia" w:ascii="楷体_GB2312" w:hAnsi="宋体" w:eastAsia="楷体_GB2312" w:cs="Times New Roman"/>
                <w:color w:val="000000"/>
                <w:szCs w:val="21"/>
              </w:rPr>
            </w:pPr>
          </w:p>
        </w:tc>
        <w:tc>
          <w:tcPr>
            <w:tcW w:w="719" w:type="pct"/>
            <w:shd w:val="clear" w:color="auto" w:fill="auto"/>
            <w:vAlign w:val="center"/>
          </w:tcPr>
          <w:p w14:paraId="756CB9CF">
            <w:pPr>
              <w:spacing w:line="560" w:lineRule="exact"/>
              <w:rPr>
                <w:rFonts w:hint="eastAsia" w:ascii="楷体_GB2312" w:hAnsi="宋体" w:eastAsia="楷体_GB2312" w:cs="Times New Roman"/>
                <w:color w:val="000000"/>
                <w:szCs w:val="21"/>
              </w:rPr>
            </w:pPr>
          </w:p>
        </w:tc>
      </w:tr>
      <w:tr w14:paraId="1DBA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710" w:type="pct"/>
            <w:shd w:val="clear" w:color="auto" w:fill="auto"/>
            <w:vAlign w:val="center"/>
          </w:tcPr>
          <w:p w14:paraId="01A4C957">
            <w:pPr>
              <w:spacing w:line="560" w:lineRule="exact"/>
              <w:jc w:val="center"/>
              <w:rPr>
                <w:rFonts w:ascii="楷体_GB2312" w:hAnsi="Calibri" w:eastAsia="楷体_GB2312" w:cs="Times New Roman"/>
              </w:rPr>
            </w:pPr>
            <w:r>
              <w:rPr>
                <w:rFonts w:hint="eastAsia" w:ascii="楷体_GB2312" w:hAnsi="Calibri" w:eastAsia="楷体_GB2312" w:cs="Times New Roman"/>
              </w:rPr>
              <w:t>亏损承担</w:t>
            </w:r>
          </w:p>
        </w:tc>
        <w:tc>
          <w:tcPr>
            <w:tcW w:w="2862" w:type="pct"/>
            <w:shd w:val="clear" w:color="auto" w:fill="auto"/>
            <w:vAlign w:val="center"/>
          </w:tcPr>
          <w:p w14:paraId="29CCC24F">
            <w:pPr>
              <w:spacing w:line="560" w:lineRule="exact"/>
              <w:rPr>
                <w:rFonts w:hint="eastAsia" w:ascii="楷体_GB2312" w:hAnsi="宋体" w:eastAsia="楷体_GB2312" w:cs="Times New Roman"/>
                <w:szCs w:val="21"/>
              </w:rPr>
            </w:pPr>
            <w:r>
              <w:rPr>
                <w:rFonts w:hint="eastAsia" w:ascii="楷体_GB2312" w:hAnsi="宋体" w:eastAsia="楷体_GB2312" w:cs="Times New Roman"/>
                <w:szCs w:val="21"/>
                <w:lang w:eastAsia="zh-CN"/>
              </w:rPr>
              <w:t>鑫时代鄂州基金</w:t>
            </w:r>
            <w:r>
              <w:rPr>
                <w:rFonts w:hint="eastAsia" w:ascii="楷体_GB2312" w:hAnsi="宋体" w:eastAsia="楷体_GB2312" w:cs="Times New Roman"/>
                <w:szCs w:val="21"/>
              </w:rPr>
              <w:t>参与设立的子基金清算出现亏损时，原则上首先由子基金管理人以其对基金的出资承担</w:t>
            </w:r>
            <w:r>
              <w:rPr>
                <w:rFonts w:hint="eastAsia" w:ascii="楷体_GB2312" w:hAnsi="宋体" w:eastAsia="楷体_GB2312" w:cs="Times New Roman"/>
                <w:szCs w:val="21"/>
                <w:lang w:eastAsia="zh-CN"/>
              </w:rPr>
              <w:t>，</w:t>
            </w:r>
            <w:r>
              <w:rPr>
                <w:rFonts w:hint="eastAsia" w:ascii="楷体_GB2312" w:hAnsi="宋体" w:eastAsia="楷体_GB2312" w:cs="Times New Roman"/>
                <w:szCs w:val="21"/>
              </w:rPr>
              <w:t>不足部分由母子基金各出资人按投资比例共同承担。</w:t>
            </w:r>
          </w:p>
        </w:tc>
        <w:tc>
          <w:tcPr>
            <w:tcW w:w="707" w:type="pct"/>
            <w:shd w:val="clear" w:color="auto" w:fill="auto"/>
            <w:vAlign w:val="center"/>
          </w:tcPr>
          <w:p w14:paraId="2F4710EA">
            <w:pPr>
              <w:spacing w:line="560" w:lineRule="exact"/>
              <w:jc w:val="center"/>
              <w:rPr>
                <w:rFonts w:hint="eastAsia" w:ascii="楷体_GB2312" w:hAnsi="宋体" w:eastAsia="楷体_GB2312" w:cs="Times New Roman"/>
                <w:color w:val="000000"/>
                <w:szCs w:val="21"/>
              </w:rPr>
            </w:pPr>
          </w:p>
        </w:tc>
        <w:tc>
          <w:tcPr>
            <w:tcW w:w="719" w:type="pct"/>
            <w:shd w:val="clear" w:color="auto" w:fill="auto"/>
            <w:vAlign w:val="center"/>
          </w:tcPr>
          <w:p w14:paraId="5460B989">
            <w:pPr>
              <w:spacing w:line="560" w:lineRule="exact"/>
              <w:rPr>
                <w:rFonts w:hint="eastAsia" w:ascii="楷体_GB2312" w:hAnsi="宋体" w:eastAsia="楷体_GB2312" w:cs="Times New Roman"/>
                <w:color w:val="000000"/>
                <w:szCs w:val="21"/>
              </w:rPr>
            </w:pPr>
          </w:p>
        </w:tc>
      </w:tr>
      <w:tr w14:paraId="412F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5000" w:type="pct"/>
            <w:gridSpan w:val="4"/>
            <w:shd w:val="clear" w:color="auto" w:fill="auto"/>
            <w:vAlign w:val="center"/>
          </w:tcPr>
          <w:p w14:paraId="1AD03935">
            <w:pPr>
              <w:spacing w:line="560" w:lineRule="exact"/>
              <w:jc w:val="left"/>
              <w:rPr>
                <w:rFonts w:hint="eastAsia" w:ascii="楷体_GB2312" w:hAnsi="宋体" w:eastAsia="楷体_GB2312" w:cs="Times New Roman"/>
                <w:b/>
                <w:color w:val="000000"/>
                <w:szCs w:val="21"/>
              </w:rPr>
            </w:pPr>
            <w:r>
              <w:rPr>
                <w:rFonts w:hint="eastAsia" w:ascii="楷体_GB2312" w:hAnsi="宋体" w:eastAsia="楷体_GB2312" w:cs="Times New Roman"/>
                <w:b/>
                <w:color w:val="000000"/>
                <w:szCs w:val="21"/>
              </w:rPr>
              <w:t>二、参股基金管理机构应符合以下条件：</w:t>
            </w:r>
          </w:p>
        </w:tc>
      </w:tr>
      <w:tr w14:paraId="6C29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10" w:type="pct"/>
            <w:vMerge w:val="restart"/>
            <w:shd w:val="clear" w:color="auto" w:fill="auto"/>
            <w:vAlign w:val="center"/>
          </w:tcPr>
          <w:p w14:paraId="513EA4D8">
            <w:pPr>
              <w:spacing w:line="560" w:lineRule="exact"/>
              <w:jc w:val="center"/>
              <w:rPr>
                <w:rFonts w:ascii="楷体_GB2312" w:hAnsi="Calibri" w:eastAsia="楷体_GB2312" w:cs="Times New Roman"/>
              </w:rPr>
            </w:pPr>
            <w:r>
              <w:rPr>
                <w:rFonts w:hint="eastAsia" w:ascii="楷体_GB2312" w:hAnsi="Calibri" w:eastAsia="楷体_GB2312" w:cs="Times New Roman"/>
              </w:rPr>
              <w:t>运营资质</w:t>
            </w:r>
          </w:p>
        </w:tc>
        <w:tc>
          <w:tcPr>
            <w:tcW w:w="2862" w:type="pct"/>
            <w:shd w:val="clear" w:color="auto" w:fill="auto"/>
          </w:tcPr>
          <w:p w14:paraId="6B46E123">
            <w:pPr>
              <w:spacing w:line="560" w:lineRule="exact"/>
              <w:rPr>
                <w:rFonts w:ascii="楷体_GB2312" w:hAnsi="Calibri" w:eastAsia="楷体_GB2312" w:cs="Times New Roman"/>
              </w:rPr>
            </w:pPr>
            <w:r>
              <w:rPr>
                <w:rFonts w:hint="eastAsia" w:ascii="楷体_GB2312" w:hAnsi="Calibri" w:eastAsia="楷体_GB2312" w:cs="Times New Roman"/>
              </w:rPr>
              <w:t>依法设立并在行业主管部门完成私募基金管理人登记备案，最近3年无不良处罚记录</w:t>
            </w:r>
          </w:p>
        </w:tc>
        <w:tc>
          <w:tcPr>
            <w:tcW w:w="707" w:type="pct"/>
            <w:shd w:val="clear" w:color="auto" w:fill="auto"/>
            <w:vAlign w:val="center"/>
          </w:tcPr>
          <w:p w14:paraId="1937E06C">
            <w:pPr>
              <w:spacing w:line="560" w:lineRule="exact"/>
              <w:jc w:val="center"/>
              <w:rPr>
                <w:rFonts w:ascii="楷体_GB2312" w:hAnsi="Calibri" w:eastAsia="楷体_GB2312" w:cs="Times New Roman"/>
                <w:szCs w:val="21"/>
              </w:rPr>
            </w:pPr>
          </w:p>
        </w:tc>
        <w:tc>
          <w:tcPr>
            <w:tcW w:w="719" w:type="pct"/>
            <w:shd w:val="clear" w:color="auto" w:fill="auto"/>
            <w:vAlign w:val="center"/>
          </w:tcPr>
          <w:p w14:paraId="0FA94782">
            <w:pPr>
              <w:spacing w:line="560" w:lineRule="exact"/>
              <w:rPr>
                <w:rFonts w:ascii="楷体_GB2312" w:hAnsi="Calibri" w:eastAsia="楷体_GB2312" w:cs="Times New Roman"/>
                <w:szCs w:val="21"/>
              </w:rPr>
            </w:pPr>
          </w:p>
        </w:tc>
      </w:tr>
      <w:tr w14:paraId="20DF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10" w:type="pct"/>
            <w:vMerge w:val="continue"/>
            <w:shd w:val="clear" w:color="auto" w:fill="auto"/>
            <w:vAlign w:val="center"/>
          </w:tcPr>
          <w:p w14:paraId="7D5EC4C5">
            <w:pPr>
              <w:spacing w:line="560" w:lineRule="exact"/>
              <w:jc w:val="center"/>
              <w:rPr>
                <w:rFonts w:ascii="楷体_GB2312" w:hAnsi="Calibri" w:eastAsia="楷体_GB2312" w:cs="Times New Roman"/>
              </w:rPr>
            </w:pPr>
          </w:p>
        </w:tc>
        <w:tc>
          <w:tcPr>
            <w:tcW w:w="2862" w:type="pct"/>
            <w:shd w:val="clear" w:color="auto" w:fill="auto"/>
          </w:tcPr>
          <w:p w14:paraId="37AFC635">
            <w:pPr>
              <w:spacing w:line="560" w:lineRule="exact"/>
              <w:rPr>
                <w:rFonts w:ascii="楷体_GB2312" w:hAnsi="Calibri" w:eastAsia="楷体_GB2312" w:cs="Times New Roman"/>
              </w:rPr>
            </w:pPr>
            <w:r>
              <w:rPr>
                <w:rFonts w:hint="eastAsia" w:ascii="楷体_GB2312" w:hAnsi="Calibri" w:eastAsia="楷体_GB2312" w:cs="Times New Roman"/>
              </w:rPr>
              <w:t>实缴资本不低于1000万元</w:t>
            </w:r>
          </w:p>
        </w:tc>
        <w:tc>
          <w:tcPr>
            <w:tcW w:w="707" w:type="pct"/>
            <w:shd w:val="clear" w:color="auto" w:fill="auto"/>
            <w:vAlign w:val="center"/>
          </w:tcPr>
          <w:p w14:paraId="6D53B6D8">
            <w:pPr>
              <w:spacing w:line="560" w:lineRule="exact"/>
              <w:jc w:val="center"/>
              <w:rPr>
                <w:rFonts w:ascii="楷体_GB2312" w:hAnsi="Calibri" w:eastAsia="楷体_GB2312" w:cs="Times New Roman"/>
                <w:szCs w:val="21"/>
              </w:rPr>
            </w:pPr>
          </w:p>
        </w:tc>
        <w:tc>
          <w:tcPr>
            <w:tcW w:w="719" w:type="pct"/>
            <w:shd w:val="clear" w:color="auto" w:fill="auto"/>
            <w:vAlign w:val="center"/>
          </w:tcPr>
          <w:p w14:paraId="3F9A6345">
            <w:pPr>
              <w:spacing w:line="560" w:lineRule="exact"/>
              <w:rPr>
                <w:rFonts w:ascii="楷体_GB2312" w:hAnsi="Calibri" w:eastAsia="楷体_GB2312" w:cs="Times New Roman"/>
                <w:szCs w:val="21"/>
              </w:rPr>
            </w:pPr>
          </w:p>
        </w:tc>
      </w:tr>
      <w:tr w14:paraId="06DB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10" w:type="pct"/>
            <w:vMerge w:val="restart"/>
            <w:shd w:val="clear" w:color="auto" w:fill="auto"/>
            <w:vAlign w:val="center"/>
          </w:tcPr>
          <w:p w14:paraId="3A565E74">
            <w:pPr>
              <w:spacing w:line="560" w:lineRule="exact"/>
              <w:jc w:val="center"/>
              <w:rPr>
                <w:rFonts w:ascii="楷体_GB2312" w:hAnsi="Calibri" w:eastAsia="楷体_GB2312" w:cs="Times New Roman"/>
              </w:rPr>
            </w:pPr>
            <w:r>
              <w:rPr>
                <w:rFonts w:hint="eastAsia" w:ascii="楷体_GB2312" w:hAnsi="Calibri" w:eastAsia="楷体_GB2312" w:cs="Times New Roman"/>
              </w:rPr>
              <w:t>管理团队</w:t>
            </w:r>
          </w:p>
        </w:tc>
        <w:tc>
          <w:tcPr>
            <w:tcW w:w="2862" w:type="pct"/>
            <w:shd w:val="clear" w:color="auto" w:fill="auto"/>
          </w:tcPr>
          <w:p w14:paraId="1E726906">
            <w:pPr>
              <w:spacing w:line="560" w:lineRule="exact"/>
              <w:rPr>
                <w:rFonts w:hint="eastAsia" w:ascii="楷体_GB2312" w:hAnsi="宋体" w:eastAsia="楷体_GB2312" w:cs="Times New Roman"/>
                <w:szCs w:val="21"/>
                <w:lang w:eastAsia="zh-CN"/>
              </w:rPr>
            </w:pPr>
            <w:r>
              <w:rPr>
                <w:rFonts w:hint="eastAsia" w:ascii="楷体_GB2312" w:hAnsi="宋体" w:eastAsia="楷体_GB2312" w:cs="Times New Roman"/>
                <w:szCs w:val="21"/>
              </w:rPr>
              <w:t>配备不低于</w:t>
            </w:r>
            <w:r>
              <w:rPr>
                <w:rFonts w:ascii="楷体_GB2312" w:hAnsi="宋体" w:eastAsia="楷体_GB2312" w:cs="Times New Roman"/>
                <w:szCs w:val="21"/>
              </w:rPr>
              <w:t>10人的管理团队，拥有至少3名具备基金从业资格且有5年以上基金管理或者投资相关经验的高级管理人员，彼此之间有3年以上合作经历;团队主要成员无不良处罚记录</w:t>
            </w:r>
            <w:r>
              <w:rPr>
                <w:rFonts w:hint="eastAsia" w:ascii="楷体_GB2312" w:hAnsi="宋体" w:eastAsia="楷体_GB2312" w:cs="Times New Roman"/>
                <w:szCs w:val="21"/>
                <w:lang w:eastAsia="zh-CN"/>
              </w:rPr>
              <w:t>。</w:t>
            </w:r>
          </w:p>
        </w:tc>
        <w:tc>
          <w:tcPr>
            <w:tcW w:w="707" w:type="pct"/>
            <w:shd w:val="clear" w:color="auto" w:fill="auto"/>
            <w:vAlign w:val="center"/>
          </w:tcPr>
          <w:p w14:paraId="2633DFB3">
            <w:pPr>
              <w:spacing w:line="560" w:lineRule="exact"/>
              <w:jc w:val="center"/>
              <w:rPr>
                <w:rFonts w:ascii="楷体_GB2312" w:hAnsi="Calibri" w:eastAsia="楷体_GB2312" w:cs="Times New Roman"/>
                <w:szCs w:val="21"/>
              </w:rPr>
            </w:pPr>
          </w:p>
        </w:tc>
        <w:tc>
          <w:tcPr>
            <w:tcW w:w="719" w:type="pct"/>
            <w:shd w:val="clear" w:color="auto" w:fill="auto"/>
            <w:vAlign w:val="center"/>
          </w:tcPr>
          <w:p w14:paraId="2F19ABAC">
            <w:pPr>
              <w:spacing w:line="560" w:lineRule="exact"/>
              <w:rPr>
                <w:rFonts w:ascii="楷体_GB2312" w:hAnsi="Calibri" w:eastAsia="楷体_GB2312" w:cs="Times New Roman"/>
                <w:szCs w:val="21"/>
              </w:rPr>
            </w:pPr>
          </w:p>
        </w:tc>
      </w:tr>
      <w:tr w14:paraId="7E08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10" w:type="pct"/>
            <w:vMerge w:val="continue"/>
            <w:shd w:val="clear" w:color="auto" w:fill="auto"/>
            <w:vAlign w:val="center"/>
          </w:tcPr>
          <w:p w14:paraId="35115E4D">
            <w:pPr>
              <w:spacing w:line="560" w:lineRule="exact"/>
              <w:jc w:val="center"/>
              <w:rPr>
                <w:rFonts w:ascii="楷体_GB2312" w:hAnsi="Calibri" w:eastAsia="楷体_GB2312" w:cs="Times New Roman"/>
              </w:rPr>
            </w:pPr>
          </w:p>
        </w:tc>
        <w:tc>
          <w:tcPr>
            <w:tcW w:w="2862" w:type="pct"/>
            <w:shd w:val="clear" w:color="auto" w:fill="auto"/>
          </w:tcPr>
          <w:p w14:paraId="765B8F94">
            <w:pPr>
              <w:spacing w:line="560" w:lineRule="exact"/>
              <w:rPr>
                <w:rFonts w:ascii="楷体_GB2312" w:hAnsi="Calibri" w:eastAsia="楷体_GB2312" w:cs="Times New Roman"/>
              </w:rPr>
            </w:pPr>
            <w:r>
              <w:rPr>
                <w:rFonts w:hint="eastAsia" w:ascii="楷体_GB2312" w:hAnsi="Calibri" w:eastAsia="楷体_GB2312" w:cs="Times New Roman"/>
              </w:rPr>
              <w:t>管理团队累计管理投资基金规模不低于</w:t>
            </w:r>
            <w:r>
              <w:rPr>
                <w:rFonts w:hint="eastAsia" w:ascii="楷体_GB2312" w:hAnsi="Calibri" w:eastAsia="楷体_GB2312" w:cs="Times New Roman"/>
                <w:lang w:val="en-US" w:eastAsia="zh-CN"/>
              </w:rPr>
              <w:t>3</w:t>
            </w:r>
            <w:r>
              <w:rPr>
                <w:rFonts w:ascii="楷体_GB2312" w:hAnsi="Calibri" w:eastAsia="楷体_GB2312" w:cs="Times New Roman"/>
              </w:rPr>
              <w:t>亿元人民币，至少有</w:t>
            </w:r>
            <w:r>
              <w:rPr>
                <w:rFonts w:hint="eastAsia" w:ascii="楷体_GB2312" w:hAnsi="Calibri" w:eastAsia="楷体_GB2312" w:cs="Times New Roman"/>
                <w:lang w:val="en-US" w:eastAsia="zh-CN"/>
              </w:rPr>
              <w:t>3</w:t>
            </w:r>
            <w:r>
              <w:rPr>
                <w:rFonts w:ascii="楷体_GB2312" w:hAnsi="Calibri" w:eastAsia="楷体_GB2312" w:cs="Times New Roman"/>
              </w:rPr>
              <w:t>个以上成功投资案例</w:t>
            </w:r>
          </w:p>
        </w:tc>
        <w:tc>
          <w:tcPr>
            <w:tcW w:w="707" w:type="pct"/>
            <w:shd w:val="clear" w:color="auto" w:fill="auto"/>
            <w:vAlign w:val="center"/>
          </w:tcPr>
          <w:p w14:paraId="31A01847">
            <w:pPr>
              <w:spacing w:line="560" w:lineRule="exact"/>
              <w:jc w:val="center"/>
              <w:rPr>
                <w:rFonts w:ascii="楷体_GB2312" w:hAnsi="Calibri" w:eastAsia="楷体_GB2312" w:cs="Times New Roman"/>
                <w:szCs w:val="21"/>
              </w:rPr>
            </w:pPr>
          </w:p>
        </w:tc>
        <w:tc>
          <w:tcPr>
            <w:tcW w:w="719" w:type="pct"/>
            <w:shd w:val="clear" w:color="auto" w:fill="auto"/>
            <w:vAlign w:val="center"/>
          </w:tcPr>
          <w:p w14:paraId="65D02AD7">
            <w:pPr>
              <w:spacing w:line="560" w:lineRule="exact"/>
              <w:rPr>
                <w:rFonts w:ascii="楷体_GB2312" w:hAnsi="Calibri" w:eastAsia="楷体_GB2312" w:cs="Times New Roman"/>
                <w:szCs w:val="21"/>
              </w:rPr>
            </w:pPr>
          </w:p>
        </w:tc>
      </w:tr>
      <w:tr w14:paraId="0564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10" w:type="pct"/>
            <w:vMerge w:val="restart"/>
            <w:shd w:val="clear" w:color="auto" w:fill="auto"/>
            <w:vAlign w:val="center"/>
          </w:tcPr>
          <w:p w14:paraId="2429B2D1">
            <w:pPr>
              <w:spacing w:line="560" w:lineRule="exact"/>
              <w:jc w:val="center"/>
              <w:rPr>
                <w:rFonts w:ascii="楷体_GB2312" w:hAnsi="Calibri" w:eastAsia="楷体_GB2312" w:cs="Times New Roman"/>
              </w:rPr>
            </w:pPr>
            <w:r>
              <w:rPr>
                <w:rFonts w:hint="eastAsia" w:ascii="楷体_GB2312" w:hAnsi="Calibri" w:eastAsia="楷体_GB2312" w:cs="Times New Roman"/>
              </w:rPr>
              <w:t>管理条款</w:t>
            </w:r>
          </w:p>
        </w:tc>
        <w:tc>
          <w:tcPr>
            <w:tcW w:w="2862" w:type="pct"/>
            <w:shd w:val="clear" w:color="auto" w:fill="auto"/>
          </w:tcPr>
          <w:p w14:paraId="0751CB9A">
            <w:pPr>
              <w:spacing w:line="560" w:lineRule="exact"/>
              <w:rPr>
                <w:rFonts w:hint="eastAsia" w:ascii="楷体_GB2312" w:hAnsi="Calibri" w:eastAsia="楷体_GB2312" w:cs="Times New Roman"/>
              </w:rPr>
            </w:pPr>
            <w:r>
              <w:rPr>
                <w:rFonts w:hint="eastAsia" w:ascii="楷体_GB2312" w:hAnsi="Calibri" w:eastAsia="楷体_GB2312" w:cs="Times New Roman"/>
              </w:rPr>
              <w:t>鑫时代鄂州基金应当与其他出资人在有限合伙协议（章程）中约定，出现下列情况之一时，鑫时代鄂州基金可无需其他出资人同意可免除或豁免其退出义务选择退出:</w:t>
            </w:r>
          </w:p>
          <w:p w14:paraId="10028526">
            <w:pPr>
              <w:spacing w:line="560" w:lineRule="exact"/>
              <w:rPr>
                <w:rFonts w:hint="eastAsia" w:ascii="楷体_GB2312" w:hAnsi="Calibri" w:eastAsia="楷体_GB2312" w:cs="Times New Roman"/>
              </w:rPr>
            </w:pPr>
            <w:r>
              <w:rPr>
                <w:rFonts w:hint="eastAsia" w:ascii="楷体_GB2312" w:hAnsi="Calibri" w:eastAsia="楷体_GB2312" w:cs="Times New Roman"/>
              </w:rPr>
              <w:t>1.子基金未按有限合伙人协议（章程）约定投资的；</w:t>
            </w:r>
          </w:p>
          <w:p w14:paraId="4699A63C">
            <w:pPr>
              <w:spacing w:line="560" w:lineRule="exact"/>
              <w:rPr>
                <w:rFonts w:hint="eastAsia" w:ascii="楷体_GB2312" w:hAnsi="Calibri" w:eastAsia="楷体_GB2312" w:cs="Times New Roman"/>
              </w:rPr>
            </w:pPr>
            <w:r>
              <w:rPr>
                <w:rFonts w:hint="eastAsia" w:ascii="楷体_GB2312" w:hAnsi="Calibri" w:eastAsia="楷体_GB2312" w:cs="Times New Roman"/>
              </w:rPr>
              <w:t>2.子基金方案经决策通过，未在12个月以内按照规定程序和时间要求完成设立或者增资(入伙) 手续的;</w:t>
            </w:r>
          </w:p>
          <w:p w14:paraId="59C879E4">
            <w:pPr>
              <w:spacing w:line="560" w:lineRule="exact"/>
              <w:rPr>
                <w:rFonts w:hint="eastAsia" w:ascii="楷体_GB2312" w:hAnsi="Calibri" w:eastAsia="楷体_GB2312" w:cs="Times New Roman"/>
              </w:rPr>
            </w:pPr>
            <w:r>
              <w:rPr>
                <w:rFonts w:hint="eastAsia" w:ascii="楷体_GB2312" w:hAnsi="Calibri" w:eastAsia="楷体_GB2312" w:cs="Times New Roman"/>
              </w:rPr>
              <w:t>3.子基金完成设立手续后，其他出资人未在6个月之内完成首次出资的；</w:t>
            </w:r>
          </w:p>
          <w:p w14:paraId="21D92702">
            <w:pPr>
              <w:spacing w:line="560" w:lineRule="exact"/>
              <w:rPr>
                <w:rFonts w:hint="eastAsia" w:ascii="楷体_GB2312" w:hAnsi="Calibri" w:eastAsia="楷体_GB2312" w:cs="Times New Roman"/>
              </w:rPr>
            </w:pPr>
            <w:r>
              <w:rPr>
                <w:rFonts w:hint="eastAsia" w:ascii="楷体_GB2312" w:hAnsi="Calibri" w:eastAsia="楷体_GB2312" w:cs="Times New Roman"/>
              </w:rPr>
              <w:t>4.自鑫时代鄂州基金首次出资款拨付子基金账户6个月以上子基金未完成任何投资项目的;</w:t>
            </w:r>
          </w:p>
          <w:p w14:paraId="6CAD4F11">
            <w:pPr>
              <w:spacing w:line="560" w:lineRule="exact"/>
              <w:rPr>
                <w:rFonts w:hint="eastAsia" w:ascii="楷体_GB2312" w:hAnsi="Calibri" w:eastAsia="楷体_GB2312" w:cs="Times New Roman"/>
              </w:rPr>
            </w:pPr>
            <w:r>
              <w:rPr>
                <w:rFonts w:hint="eastAsia" w:ascii="楷体_GB2312" w:hAnsi="Calibri" w:eastAsia="楷体_GB2312" w:cs="Times New Roman"/>
              </w:rPr>
              <w:t>5.子基金投资领域和方向不符合本办法规定范围的;</w:t>
            </w:r>
          </w:p>
          <w:p w14:paraId="484DBCFE">
            <w:pPr>
              <w:spacing w:line="560" w:lineRule="exact"/>
              <w:rPr>
                <w:rFonts w:hint="eastAsia" w:ascii="楷体_GB2312" w:hAnsi="Calibri" w:eastAsia="楷体_GB2312" w:cs="Times New Roman"/>
              </w:rPr>
            </w:pPr>
            <w:r>
              <w:rPr>
                <w:rFonts w:hint="eastAsia" w:ascii="楷体_GB2312" w:hAnsi="Calibri" w:eastAsia="楷体_GB2312" w:cs="Times New Roman"/>
              </w:rPr>
              <w:t>6.子基金或管理人有发生实质性变或违法违规行为并被依法查处的;</w:t>
            </w:r>
          </w:p>
          <w:p w14:paraId="7FAE00B0">
            <w:pPr>
              <w:spacing w:line="560" w:lineRule="exact"/>
              <w:rPr>
                <w:rFonts w:ascii="楷体_GB2312" w:hAnsi="Calibri" w:eastAsia="楷体_GB2312" w:cs="Times New Roman"/>
              </w:rPr>
            </w:pPr>
            <w:r>
              <w:rPr>
                <w:rFonts w:hint="eastAsia" w:ascii="楷体_GB2312" w:hAnsi="Calibri" w:eastAsia="楷体_GB2312" w:cs="Times New Roman"/>
              </w:rPr>
              <w:t>7.存在其他危及鑫时代鄂州基金安全或者违背基金运行目标情形的</w:t>
            </w:r>
            <w:r>
              <w:rPr>
                <w:rFonts w:ascii="楷体_GB2312" w:hAnsi="Calibri" w:eastAsia="楷体_GB2312" w:cs="Times New Roman"/>
              </w:rPr>
              <w:t>。</w:t>
            </w:r>
          </w:p>
        </w:tc>
        <w:tc>
          <w:tcPr>
            <w:tcW w:w="707" w:type="pct"/>
            <w:shd w:val="clear" w:color="auto" w:fill="auto"/>
            <w:vAlign w:val="center"/>
          </w:tcPr>
          <w:p w14:paraId="515D5B58">
            <w:pPr>
              <w:spacing w:line="560" w:lineRule="exact"/>
              <w:jc w:val="center"/>
              <w:rPr>
                <w:rFonts w:ascii="楷体_GB2312" w:hAnsi="Calibri" w:eastAsia="楷体_GB2312" w:cs="Times New Roman"/>
                <w:szCs w:val="21"/>
              </w:rPr>
            </w:pPr>
          </w:p>
        </w:tc>
        <w:tc>
          <w:tcPr>
            <w:tcW w:w="719" w:type="pct"/>
            <w:shd w:val="clear" w:color="auto" w:fill="auto"/>
            <w:vAlign w:val="center"/>
          </w:tcPr>
          <w:p w14:paraId="05861F1B">
            <w:pPr>
              <w:spacing w:line="560" w:lineRule="exact"/>
              <w:rPr>
                <w:rFonts w:ascii="楷体_GB2312" w:hAnsi="Calibri" w:eastAsia="楷体_GB2312" w:cs="Times New Roman"/>
                <w:szCs w:val="21"/>
              </w:rPr>
            </w:pPr>
          </w:p>
        </w:tc>
      </w:tr>
      <w:tr w14:paraId="647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10" w:type="pct"/>
            <w:vMerge w:val="continue"/>
            <w:shd w:val="clear" w:color="auto" w:fill="auto"/>
            <w:vAlign w:val="center"/>
          </w:tcPr>
          <w:p w14:paraId="68FA9937">
            <w:pPr>
              <w:spacing w:line="560" w:lineRule="exact"/>
              <w:jc w:val="center"/>
              <w:rPr>
                <w:rFonts w:ascii="楷体_GB2312" w:hAnsi="Calibri" w:eastAsia="楷体_GB2312" w:cs="Times New Roman"/>
              </w:rPr>
            </w:pPr>
          </w:p>
        </w:tc>
        <w:tc>
          <w:tcPr>
            <w:tcW w:w="2862" w:type="pct"/>
            <w:shd w:val="clear" w:color="auto" w:fill="auto"/>
          </w:tcPr>
          <w:p w14:paraId="70D4C0AC">
            <w:pPr>
              <w:spacing w:line="560" w:lineRule="exact"/>
              <w:rPr>
                <w:rFonts w:ascii="楷体_GB2312" w:hAnsi="Calibri" w:eastAsia="楷体_GB2312" w:cs="Times New Roman"/>
              </w:rPr>
            </w:pPr>
            <w:r>
              <w:rPr>
                <w:rFonts w:hint="eastAsia" w:ascii="楷体_GB2312" w:hAnsi="Calibri" w:eastAsia="楷体_GB2312" w:cs="Times New Roman"/>
              </w:rPr>
              <w:t>接受</w:t>
            </w:r>
            <w:r>
              <w:rPr>
                <w:rFonts w:hint="eastAsia" w:ascii="楷体_GB2312" w:hAnsi="Calibri" w:eastAsia="楷体_GB2312" w:cs="Times New Roman"/>
                <w:lang w:eastAsia="zh-CN"/>
              </w:rPr>
              <w:t>鑫时代鄂州基金</w:t>
            </w:r>
            <w:r>
              <w:rPr>
                <w:rFonts w:ascii="楷体_GB2312" w:hAnsi="Calibri" w:eastAsia="楷体_GB2312" w:cs="Times New Roman"/>
              </w:rPr>
              <w:t>通过项目合规性审核、委派观察员或投委会委员、对基金托管账户监管等措施，维护</w:t>
            </w:r>
            <w:r>
              <w:rPr>
                <w:rFonts w:hint="eastAsia" w:ascii="楷体_GB2312" w:hAnsi="Calibri" w:eastAsia="楷体_GB2312" w:cs="Times New Roman"/>
                <w:lang w:eastAsia="zh-CN"/>
              </w:rPr>
              <w:t>鑫时代鄂州基金</w:t>
            </w:r>
            <w:r>
              <w:rPr>
                <w:rFonts w:ascii="楷体_GB2312" w:hAnsi="Calibri" w:eastAsia="楷体_GB2312" w:cs="Times New Roman"/>
              </w:rPr>
              <w:t>权益。上述约定应在参与设立的基金有限合伙协议(章程)中进行明确</w:t>
            </w:r>
            <w:r>
              <w:rPr>
                <w:rFonts w:hint="eastAsia" w:ascii="楷体_GB2312" w:hAnsi="Calibri" w:eastAsia="楷体_GB2312" w:cs="Times New Roman"/>
              </w:rPr>
              <w:t>。</w:t>
            </w:r>
          </w:p>
        </w:tc>
        <w:tc>
          <w:tcPr>
            <w:tcW w:w="707" w:type="pct"/>
            <w:shd w:val="clear" w:color="auto" w:fill="auto"/>
            <w:vAlign w:val="center"/>
          </w:tcPr>
          <w:p w14:paraId="2CF083B1">
            <w:pPr>
              <w:spacing w:line="560" w:lineRule="exact"/>
              <w:jc w:val="center"/>
              <w:rPr>
                <w:rFonts w:ascii="楷体_GB2312" w:hAnsi="Calibri" w:eastAsia="楷体_GB2312" w:cs="Times New Roman"/>
                <w:szCs w:val="21"/>
              </w:rPr>
            </w:pPr>
          </w:p>
        </w:tc>
        <w:tc>
          <w:tcPr>
            <w:tcW w:w="719" w:type="pct"/>
            <w:shd w:val="clear" w:color="auto" w:fill="auto"/>
            <w:vAlign w:val="center"/>
          </w:tcPr>
          <w:p w14:paraId="21F8E4DC">
            <w:pPr>
              <w:spacing w:line="560" w:lineRule="exact"/>
              <w:rPr>
                <w:rFonts w:ascii="楷体_GB2312" w:hAnsi="Calibri" w:eastAsia="楷体_GB2312" w:cs="Times New Roman"/>
                <w:szCs w:val="21"/>
              </w:rPr>
            </w:pPr>
          </w:p>
        </w:tc>
      </w:tr>
      <w:tr w14:paraId="0BDD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pct"/>
            <w:shd w:val="clear" w:color="auto" w:fill="auto"/>
            <w:vAlign w:val="center"/>
          </w:tcPr>
          <w:p w14:paraId="4D833ED1">
            <w:pPr>
              <w:spacing w:line="560" w:lineRule="exact"/>
              <w:jc w:val="center"/>
              <w:rPr>
                <w:rFonts w:ascii="楷体_GB2312" w:hAnsi="Calibri" w:eastAsia="楷体_GB2312" w:cs="Times New Roman"/>
              </w:rPr>
            </w:pPr>
            <w:r>
              <w:rPr>
                <w:rFonts w:hint="eastAsia" w:ascii="楷体_GB2312" w:hAnsi="Calibri" w:eastAsia="楷体_GB2312" w:cs="Times New Roman"/>
              </w:rPr>
              <w:t>信息披露</w:t>
            </w:r>
          </w:p>
        </w:tc>
        <w:tc>
          <w:tcPr>
            <w:tcW w:w="2862" w:type="pct"/>
            <w:shd w:val="clear" w:color="auto" w:fill="auto"/>
          </w:tcPr>
          <w:p w14:paraId="3F0DBDD4">
            <w:pPr>
              <w:spacing w:line="560" w:lineRule="exact"/>
              <w:rPr>
                <w:rFonts w:ascii="楷体_GB2312" w:hAnsi="Calibri" w:eastAsia="楷体_GB2312" w:cs="Times New Roman"/>
              </w:rPr>
            </w:pPr>
            <w:r>
              <w:rPr>
                <w:rFonts w:hint="eastAsia" w:ascii="楷体_GB2312" w:hAnsi="Calibri" w:eastAsia="楷体_GB2312" w:cs="Times New Roman"/>
              </w:rPr>
              <w:t>子基金管理人应当建立信息披露制度，在每个季度结束后</w:t>
            </w:r>
            <w:r>
              <w:rPr>
                <w:rFonts w:ascii="楷体_GB2312" w:hAnsi="Calibri" w:eastAsia="楷体_GB2312" w:cs="Times New Roman"/>
              </w:rPr>
              <w:t>1个月内，向</w:t>
            </w:r>
            <w:r>
              <w:rPr>
                <w:rFonts w:hint="eastAsia" w:ascii="楷体_GB2312" w:hAnsi="Calibri" w:eastAsia="楷体_GB2312" w:cs="Times New Roman"/>
                <w:lang w:eastAsia="zh-CN"/>
              </w:rPr>
              <w:t>鑫时代鄂州基金</w:t>
            </w:r>
            <w:r>
              <w:rPr>
                <w:rFonts w:ascii="楷体_GB2312" w:hAnsi="Calibri" w:eastAsia="楷体_GB2312" w:cs="Times New Roman"/>
              </w:rPr>
              <w:t>受托管理机构提交季度基金运营报告</w:t>
            </w:r>
            <w:r>
              <w:rPr>
                <w:rFonts w:hint="eastAsia" w:ascii="楷体_GB2312" w:hAnsi="Calibri" w:eastAsia="楷体_GB2312" w:cs="Times New Roman"/>
              </w:rPr>
              <w:t>；</w:t>
            </w:r>
            <w:r>
              <w:rPr>
                <w:rFonts w:ascii="楷体_GB2312" w:hAnsi="Calibri" w:eastAsia="楷体_GB2312" w:cs="Times New Roman"/>
              </w:rPr>
              <w:t>在每个年度结束后3个月内，提交年度基金运营报告和审计报告</w:t>
            </w:r>
            <w:r>
              <w:rPr>
                <w:rFonts w:hint="eastAsia" w:ascii="楷体_GB2312" w:hAnsi="Calibri" w:eastAsia="楷体_GB2312" w:cs="Times New Roman"/>
              </w:rPr>
              <w:t>。</w:t>
            </w:r>
          </w:p>
        </w:tc>
        <w:tc>
          <w:tcPr>
            <w:tcW w:w="707" w:type="pct"/>
            <w:shd w:val="clear" w:color="auto" w:fill="auto"/>
            <w:vAlign w:val="center"/>
          </w:tcPr>
          <w:p w14:paraId="0D38490F">
            <w:pPr>
              <w:spacing w:line="560" w:lineRule="exact"/>
              <w:jc w:val="center"/>
              <w:rPr>
                <w:rFonts w:ascii="楷体_GB2312" w:hAnsi="Calibri" w:eastAsia="楷体_GB2312" w:cs="Times New Roman"/>
                <w:szCs w:val="21"/>
              </w:rPr>
            </w:pPr>
          </w:p>
        </w:tc>
        <w:tc>
          <w:tcPr>
            <w:tcW w:w="719" w:type="pct"/>
            <w:shd w:val="clear" w:color="auto" w:fill="auto"/>
            <w:vAlign w:val="center"/>
          </w:tcPr>
          <w:p w14:paraId="43576C29">
            <w:pPr>
              <w:spacing w:line="560" w:lineRule="exact"/>
              <w:rPr>
                <w:rFonts w:ascii="楷体_GB2312" w:hAnsi="Calibri" w:eastAsia="楷体_GB2312" w:cs="Times New Roman"/>
                <w:szCs w:val="21"/>
              </w:rPr>
            </w:pPr>
          </w:p>
        </w:tc>
      </w:tr>
      <w:tr w14:paraId="1D8E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pct"/>
            <w:shd w:val="clear" w:color="auto" w:fill="auto"/>
            <w:vAlign w:val="center"/>
          </w:tcPr>
          <w:p w14:paraId="42AFBE1F">
            <w:pPr>
              <w:spacing w:line="560" w:lineRule="exact"/>
              <w:jc w:val="center"/>
              <w:rPr>
                <w:rFonts w:ascii="楷体_GB2312" w:hAnsi="Calibri" w:eastAsia="楷体_GB2312" w:cs="Times New Roman"/>
              </w:rPr>
            </w:pPr>
            <w:r>
              <w:rPr>
                <w:rFonts w:hint="eastAsia" w:ascii="楷体_GB2312" w:hAnsi="Calibri" w:eastAsia="楷体_GB2312" w:cs="Times New Roman"/>
              </w:rPr>
              <w:t>强制退出</w:t>
            </w:r>
          </w:p>
        </w:tc>
        <w:tc>
          <w:tcPr>
            <w:tcW w:w="2862" w:type="pct"/>
            <w:shd w:val="clear" w:color="auto" w:fill="auto"/>
          </w:tcPr>
          <w:p w14:paraId="6B1D8B64">
            <w:pPr>
              <w:spacing w:line="560" w:lineRule="exact"/>
              <w:rPr>
                <w:rFonts w:hint="eastAsia" w:ascii="楷体_GB2312" w:hAnsi="宋体" w:eastAsia="楷体_GB2312" w:cs="Times New Roman"/>
                <w:szCs w:val="21"/>
              </w:rPr>
            </w:pPr>
            <w:r>
              <w:rPr>
                <w:rFonts w:hint="eastAsia" w:ascii="楷体_GB2312" w:hAnsi="宋体" w:eastAsia="楷体_GB2312" w:cs="Times New Roman"/>
                <w:szCs w:val="21"/>
              </w:rPr>
              <w:t>接受</w:t>
            </w:r>
            <w:r>
              <w:rPr>
                <w:rFonts w:hint="eastAsia" w:ascii="楷体_GB2312" w:hAnsi="宋体" w:eastAsia="楷体_GB2312" w:cs="Times New Roman"/>
                <w:szCs w:val="21"/>
                <w:lang w:eastAsia="zh-CN"/>
              </w:rPr>
              <w:t>鑫时代鄂州基金</w:t>
            </w:r>
            <w:r>
              <w:rPr>
                <w:rFonts w:hint="eastAsia" w:ascii="楷体_GB2312" w:hAnsi="宋体" w:eastAsia="楷体_GB2312" w:cs="Times New Roman"/>
                <w:szCs w:val="21"/>
              </w:rPr>
              <w:t>参与的子基金在运营过程中出现以下情形的，应当终止运营并清算</w:t>
            </w:r>
            <w:r>
              <w:rPr>
                <w:rFonts w:ascii="楷体_GB2312" w:hAnsi="宋体" w:eastAsia="楷体_GB2312" w:cs="Times New Roman"/>
                <w:szCs w:val="21"/>
              </w:rPr>
              <w:t>:</w:t>
            </w:r>
          </w:p>
          <w:p w14:paraId="67797D40">
            <w:pPr>
              <w:spacing w:line="560" w:lineRule="exact"/>
              <w:rPr>
                <w:rFonts w:hint="eastAsia" w:ascii="楷体_GB2312" w:hAnsi="宋体" w:eastAsia="楷体_GB2312" w:cs="Times New Roman"/>
                <w:szCs w:val="21"/>
              </w:rPr>
            </w:pPr>
            <w:r>
              <w:rPr>
                <w:rFonts w:ascii="楷体_GB2312" w:hAnsi="宋体" w:eastAsia="楷体_GB2312" w:cs="Times New Roman"/>
                <w:szCs w:val="21"/>
              </w:rPr>
              <w:t>(一)三分之二(含)以上基金份额的合伙人(股东)要求终止，并经合伙人(股东)会议决议通过的;(二)基金发生重大亏损，无力继续经营的;(三)基金及基金管理人出现重大违法违规行为，受到刑事</w:t>
            </w:r>
            <w:r>
              <w:rPr>
                <w:rFonts w:hint="eastAsia" w:ascii="楷体_GB2312" w:hAnsi="宋体" w:eastAsia="楷体_GB2312" w:cs="Times New Roman"/>
                <w:szCs w:val="21"/>
              </w:rPr>
              <w:t>责任追究或者行政处罚的</w:t>
            </w:r>
            <w:r>
              <w:rPr>
                <w:rFonts w:ascii="楷体_GB2312" w:hAnsi="宋体" w:eastAsia="楷体_GB2312" w:cs="Times New Roman"/>
                <w:szCs w:val="21"/>
              </w:rPr>
              <w:t>;(四)相关法律、法规、规章规定或者基金有限合伙协议(章程)约定的其他情形。</w:t>
            </w:r>
          </w:p>
        </w:tc>
        <w:tc>
          <w:tcPr>
            <w:tcW w:w="707" w:type="pct"/>
            <w:shd w:val="clear" w:color="auto" w:fill="auto"/>
            <w:vAlign w:val="center"/>
          </w:tcPr>
          <w:p w14:paraId="3AC6FF41">
            <w:pPr>
              <w:spacing w:line="560" w:lineRule="exact"/>
              <w:jc w:val="center"/>
              <w:rPr>
                <w:rFonts w:ascii="楷体_GB2312" w:hAnsi="Calibri" w:eastAsia="楷体_GB2312" w:cs="Times New Roman"/>
                <w:szCs w:val="21"/>
              </w:rPr>
            </w:pPr>
          </w:p>
        </w:tc>
        <w:tc>
          <w:tcPr>
            <w:tcW w:w="719" w:type="pct"/>
            <w:shd w:val="clear" w:color="auto" w:fill="auto"/>
            <w:vAlign w:val="center"/>
          </w:tcPr>
          <w:p w14:paraId="7F3B35E1">
            <w:pPr>
              <w:spacing w:line="560" w:lineRule="exact"/>
              <w:rPr>
                <w:rFonts w:ascii="楷体_GB2312" w:hAnsi="Calibri" w:eastAsia="楷体_GB2312" w:cs="Times New Roman"/>
                <w:szCs w:val="21"/>
              </w:rPr>
            </w:pPr>
          </w:p>
        </w:tc>
      </w:tr>
      <w:tr w14:paraId="17E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3572" w:type="pct"/>
            <w:gridSpan w:val="2"/>
            <w:shd w:val="clear" w:color="auto" w:fill="auto"/>
            <w:vAlign w:val="center"/>
          </w:tcPr>
          <w:p w14:paraId="0F41DAB3">
            <w:pPr>
              <w:spacing w:line="560" w:lineRule="exact"/>
              <w:rPr>
                <w:rFonts w:ascii="楷体_GB2312" w:hAnsi="Calibri" w:eastAsia="楷体_GB2312" w:cs="Times New Roman"/>
                <w:b/>
              </w:rPr>
            </w:pPr>
            <w:r>
              <w:rPr>
                <w:rFonts w:hint="eastAsia" w:ascii="楷体_GB2312" w:hAnsi="Calibri" w:eastAsia="楷体_GB2312" w:cs="Times New Roman"/>
                <w:b/>
              </w:rPr>
              <w:t>三、参股基金不得从事以下业务：</w:t>
            </w:r>
          </w:p>
        </w:tc>
        <w:tc>
          <w:tcPr>
            <w:tcW w:w="707" w:type="pct"/>
            <w:shd w:val="clear" w:color="auto" w:fill="auto"/>
            <w:vAlign w:val="center"/>
          </w:tcPr>
          <w:p w14:paraId="6C6FC35E">
            <w:pPr>
              <w:spacing w:line="560" w:lineRule="exact"/>
              <w:jc w:val="center"/>
              <w:rPr>
                <w:rFonts w:ascii="楷体_GB2312" w:hAnsi="Calibri" w:eastAsia="楷体_GB2312" w:cs="Times New Roman"/>
              </w:rPr>
            </w:pPr>
          </w:p>
        </w:tc>
        <w:tc>
          <w:tcPr>
            <w:tcW w:w="719" w:type="pct"/>
            <w:shd w:val="clear" w:color="auto" w:fill="auto"/>
            <w:vAlign w:val="center"/>
          </w:tcPr>
          <w:p w14:paraId="16A6CBC9">
            <w:pPr>
              <w:spacing w:line="560" w:lineRule="exact"/>
              <w:rPr>
                <w:rFonts w:ascii="楷体_GB2312" w:hAnsi="Calibri" w:eastAsia="楷体_GB2312" w:cs="Times New Roman"/>
              </w:rPr>
            </w:pPr>
          </w:p>
        </w:tc>
      </w:tr>
      <w:tr w14:paraId="6ED1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10" w:type="pct"/>
            <w:shd w:val="clear" w:color="auto" w:fill="auto"/>
            <w:vAlign w:val="center"/>
          </w:tcPr>
          <w:p w14:paraId="390FEB64">
            <w:pPr>
              <w:spacing w:line="560" w:lineRule="exact"/>
              <w:jc w:val="center"/>
              <w:rPr>
                <w:rFonts w:ascii="楷体_GB2312" w:hAnsi="Calibri" w:eastAsia="楷体_GB2312" w:cs="Times New Roman"/>
              </w:rPr>
            </w:pPr>
            <w:r>
              <w:rPr>
                <w:rFonts w:hint="eastAsia" w:ascii="楷体_GB2312" w:hAnsi="Calibri" w:eastAsia="楷体_GB2312" w:cs="Times New Roman"/>
              </w:rPr>
              <w:t>参股基金  不得从事业务</w:t>
            </w:r>
          </w:p>
        </w:tc>
        <w:tc>
          <w:tcPr>
            <w:tcW w:w="2862" w:type="pct"/>
            <w:shd w:val="clear" w:color="auto" w:fill="auto"/>
            <w:vAlign w:val="center"/>
          </w:tcPr>
          <w:p w14:paraId="32C63D69">
            <w:pPr>
              <w:spacing w:line="560" w:lineRule="exact"/>
              <w:rPr>
                <w:rFonts w:ascii="楷体_GB2312" w:hAnsi="Calibri" w:eastAsia="楷体_GB2312" w:cs="Times New Roman"/>
              </w:rPr>
            </w:pPr>
            <w:r>
              <w:rPr>
                <w:rFonts w:ascii="楷体_GB2312" w:hAnsi="Calibri" w:eastAsia="楷体_GB2312" w:cs="Times New Roman"/>
              </w:rPr>
              <w:t>(一)融资担保以外的担保、抵押、委托贷款等业务;(二)投资二级市场股票、期货、房地产、证券投资基金评级 AAA 以下的企业债、信托产品、非保本型理财产品、保险</w:t>
            </w:r>
            <w:r>
              <w:rPr>
                <w:rFonts w:hint="eastAsia" w:ascii="楷体_GB2312" w:hAnsi="Calibri" w:eastAsia="楷体_GB2312" w:cs="Times New Roman"/>
              </w:rPr>
              <w:t>计划及其他金融衍生品；</w:t>
            </w:r>
            <w:r>
              <w:rPr>
                <w:rFonts w:ascii="楷体_GB2312" w:hAnsi="Calibri" w:eastAsia="楷体_GB2312" w:cs="Times New Roman"/>
              </w:rPr>
              <w:t>(三)向第三方提供赞助、捐赠(经批准的公益性捐赠除外);(四)吸收或变相吸收存款，或向第三方提供贷款和资金拆</w:t>
            </w:r>
            <w:r>
              <w:rPr>
                <w:rFonts w:hint="eastAsia" w:ascii="楷体_GB2312" w:hAnsi="Calibri" w:eastAsia="楷体_GB2312" w:cs="Times New Roman"/>
              </w:rPr>
              <w:t>借</w:t>
            </w:r>
            <w:r>
              <w:rPr>
                <w:rFonts w:ascii="楷体_GB2312" w:hAnsi="Calibri" w:eastAsia="楷体_GB2312" w:cs="Times New Roman"/>
              </w:rPr>
              <w:t>;(五)进行承担无限连带责任的对外投资</w:t>
            </w:r>
            <w:r>
              <w:rPr>
                <w:rFonts w:hint="eastAsia" w:ascii="楷体_GB2312" w:hAnsi="Calibri" w:eastAsia="楷体_GB2312" w:cs="Times New Roman"/>
              </w:rPr>
              <w:t>；</w:t>
            </w:r>
            <w:r>
              <w:rPr>
                <w:rFonts w:ascii="楷体_GB2312" w:hAnsi="Calibri" w:eastAsia="楷体_GB2312" w:cs="Times New Roman"/>
              </w:rPr>
              <w:t>(六)发行信托或者集合理财产品募集资金</w:t>
            </w:r>
            <w:r>
              <w:rPr>
                <w:rFonts w:hint="eastAsia" w:ascii="楷体_GB2312" w:hAnsi="Calibri" w:eastAsia="楷体_GB2312" w:cs="Times New Roman"/>
              </w:rPr>
              <w:t>；</w:t>
            </w:r>
            <w:r>
              <w:rPr>
                <w:rFonts w:ascii="楷体_GB2312" w:hAnsi="Calibri" w:eastAsia="楷体_GB2312" w:cs="Times New Roman"/>
              </w:rPr>
              <w:t>(七)其他国家法律法规禁止从事的业务。</w:t>
            </w:r>
          </w:p>
        </w:tc>
        <w:tc>
          <w:tcPr>
            <w:tcW w:w="707" w:type="pct"/>
            <w:shd w:val="clear" w:color="auto" w:fill="auto"/>
            <w:vAlign w:val="center"/>
          </w:tcPr>
          <w:p w14:paraId="7A2EB610">
            <w:pPr>
              <w:spacing w:line="560" w:lineRule="exact"/>
              <w:jc w:val="center"/>
              <w:rPr>
                <w:rFonts w:ascii="楷体_GB2312" w:hAnsi="Calibri" w:eastAsia="楷体_GB2312" w:cs="Times New Roman"/>
              </w:rPr>
            </w:pPr>
          </w:p>
        </w:tc>
        <w:tc>
          <w:tcPr>
            <w:tcW w:w="719" w:type="pct"/>
            <w:shd w:val="clear" w:color="auto" w:fill="auto"/>
            <w:vAlign w:val="center"/>
          </w:tcPr>
          <w:p w14:paraId="6D0B8A9B">
            <w:pPr>
              <w:spacing w:line="560" w:lineRule="exact"/>
              <w:rPr>
                <w:rFonts w:ascii="楷体_GB2312" w:hAnsi="Calibri" w:eastAsia="楷体_GB2312" w:cs="Times New Roman"/>
              </w:rPr>
            </w:pPr>
          </w:p>
        </w:tc>
      </w:tr>
    </w:tbl>
    <w:p w14:paraId="6F896E56">
      <w:pPr>
        <w:spacing w:line="560" w:lineRule="exact"/>
        <w:rPr>
          <w:rFonts w:ascii="楷体_GB2312" w:hAnsi="Calibri" w:eastAsia="楷体_GB2312" w:cs="Times New Roman"/>
        </w:rPr>
      </w:pPr>
    </w:p>
    <w:p w14:paraId="065ACB5D">
      <w:pPr>
        <w:widowControl/>
        <w:jc w:val="left"/>
        <w:rPr>
          <w:rFonts w:ascii="楷体_GB2312" w:hAnsi="Calibri" w:eastAsia="楷体_GB2312" w:cs="Times New Roman"/>
        </w:rPr>
      </w:pPr>
      <w:r>
        <w:rPr>
          <w:rFonts w:ascii="楷体_GB2312" w:hAnsi="Calibri" w:eastAsia="楷体_GB2312" w:cs="Times New Roman"/>
        </w:rPr>
        <w:br w:type="page"/>
      </w:r>
    </w:p>
    <w:p w14:paraId="64385479">
      <w:pPr>
        <w:spacing w:line="560" w:lineRule="exact"/>
        <w:rPr>
          <w:rFonts w:ascii="楷体_GB2312" w:hAnsi="Calibri" w:eastAsia="楷体_GB2312" w:cs="Times New Roman"/>
          <w:b/>
        </w:rPr>
      </w:pPr>
      <w:r>
        <w:rPr>
          <w:rFonts w:hint="eastAsia" w:ascii="楷体_GB2312" w:hAnsi="Calibri" w:eastAsia="楷体_GB2312" w:cs="Times New Roman"/>
          <w:b/>
        </w:rPr>
        <w:t>注：拟</w:t>
      </w:r>
      <w:r>
        <w:rPr>
          <w:rFonts w:hint="eastAsia" w:ascii="楷体_GB2312" w:hAnsi="Calibri" w:eastAsia="楷体_GB2312" w:cs="Times New Roman"/>
          <w:b/>
          <w:lang w:eastAsia="zh-CN"/>
        </w:rPr>
        <w:t>鑫时代鄂州基金</w:t>
      </w:r>
      <w:r>
        <w:rPr>
          <w:rFonts w:hint="eastAsia" w:ascii="楷体_GB2312" w:hAnsi="Calibri" w:eastAsia="楷体_GB2312" w:cs="Times New Roman"/>
          <w:b/>
        </w:rPr>
        <w:t>参股基金应开展合规性自查，并在是否符合一栏填写“</w:t>
      </w:r>
      <w:r>
        <w:rPr>
          <w:rFonts w:hint="eastAsia" w:ascii="楷体_GB2312" w:hAnsi="宋体" w:eastAsia="楷体_GB2312" w:cs="Times New Roman"/>
          <w:b/>
        </w:rPr>
        <w:t>√</w:t>
      </w:r>
      <w:r>
        <w:rPr>
          <w:rFonts w:hint="eastAsia" w:ascii="楷体_GB2312" w:hAnsi="Calibri" w:eastAsia="楷体_GB2312" w:cs="Times New Roman"/>
          <w:b/>
        </w:rPr>
        <w:t>”或“</w:t>
      </w:r>
      <w:r>
        <w:rPr>
          <w:rFonts w:hint="eastAsia" w:ascii="楷体_GB2312" w:hAnsi="宋体" w:eastAsia="楷体_GB2312" w:cs="Times New Roman"/>
          <w:b/>
        </w:rPr>
        <w:t>х</w:t>
      </w:r>
      <w:r>
        <w:rPr>
          <w:rFonts w:hint="eastAsia" w:ascii="楷体_GB2312" w:hAnsi="Calibri" w:eastAsia="楷体_GB2312" w:cs="Times New Roman"/>
          <w:b/>
        </w:rPr>
        <w:t>”，需要进一步说明的事项请填写在备注栏。原则上，表中所列条件，参股基金应全部符合或接受。</w:t>
      </w:r>
    </w:p>
    <w:p w14:paraId="600D8DCE">
      <w:pPr>
        <w:spacing w:line="560" w:lineRule="exact"/>
        <w:rPr>
          <w:rFonts w:ascii="Calibri" w:hAnsi="Calibri" w:eastAsia="宋体" w:cs="Times New Roman"/>
          <w:b/>
        </w:rPr>
      </w:pPr>
    </w:p>
    <w:p w14:paraId="03060E9A">
      <w:pPr>
        <w:spacing w:line="560" w:lineRule="exact"/>
        <w:rPr>
          <w:rFonts w:ascii="Calibri" w:hAnsi="Calibri" w:eastAsia="宋体" w:cs="Times New Roman"/>
          <w:b/>
        </w:rPr>
      </w:pPr>
    </w:p>
    <w:p w14:paraId="1A6AD99A">
      <w:pPr>
        <w:spacing w:line="560" w:lineRule="exact"/>
        <w:rPr>
          <w:rFonts w:ascii="Calibri" w:hAnsi="Calibri" w:eastAsia="宋体" w:cs="Times New Roman"/>
          <w:b/>
        </w:rPr>
      </w:pPr>
    </w:p>
    <w:p w14:paraId="102AB082">
      <w:pPr>
        <w:spacing w:line="560" w:lineRule="exact"/>
        <w:rPr>
          <w:rFonts w:ascii="仿宋_GB2312" w:hAnsi="Calibri" w:eastAsia="仿宋_GB2312" w:cs="Times New Roman"/>
          <w:b/>
          <w:sz w:val="32"/>
          <w:szCs w:val="32"/>
        </w:rPr>
      </w:pPr>
      <w:r>
        <w:rPr>
          <w:rFonts w:hint="eastAsia" w:ascii="Calibri" w:hAnsi="Calibri" w:eastAsia="宋体" w:cs="Times New Roman"/>
          <w:b/>
        </w:rPr>
        <w:t xml:space="preserve">                                 </w:t>
      </w:r>
      <w:r>
        <w:rPr>
          <w:rFonts w:hint="eastAsia" w:ascii="仿宋_GB2312" w:hAnsi="Calibri" w:eastAsia="仿宋_GB2312" w:cs="Times New Roman"/>
          <w:b/>
          <w:sz w:val="32"/>
          <w:szCs w:val="32"/>
        </w:rPr>
        <w:t xml:space="preserve">  申请机构盖章：</w:t>
      </w:r>
    </w:p>
    <w:p w14:paraId="50C22140">
      <w:pPr>
        <w:spacing w:line="560" w:lineRule="exact"/>
        <w:rPr>
          <w:rFonts w:ascii="仿宋_GB2312" w:hAnsi="Calibri" w:eastAsia="仿宋_GB2312" w:cs="Times New Roman"/>
          <w:sz w:val="32"/>
          <w:szCs w:val="32"/>
        </w:rPr>
      </w:pPr>
    </w:p>
    <w:p w14:paraId="42826CAA">
      <w:pPr>
        <w:spacing w:line="560" w:lineRule="exact"/>
        <w:rPr>
          <w:rFonts w:ascii="仿宋_GB2312" w:hAnsi="Calibri" w:eastAsia="仿宋_GB2312" w:cs="Times New Roman"/>
          <w:sz w:val="32"/>
          <w:szCs w:val="32"/>
        </w:rPr>
      </w:pPr>
    </w:p>
    <w:p w14:paraId="208F9C7D">
      <w:pPr>
        <w:rPr>
          <w:rFonts w:ascii="Calibri" w:hAnsi="Calibri" w:eastAsia="宋体" w:cs="Times New Roman"/>
        </w:rPr>
      </w:pPr>
    </w:p>
    <w:p w14:paraId="40731C03">
      <w:pPr>
        <w:widowControl/>
        <w:jc w:val="left"/>
        <w:rPr>
          <w:rFonts w:hint="eastAsia"/>
          <w:sz w:val="28"/>
          <w:szCs w:val="28"/>
        </w:rPr>
      </w:pPr>
      <w:r>
        <w:rPr>
          <w:sz w:val="28"/>
          <w:szCs w:val="28"/>
        </w:rPr>
        <w:br w:type="page"/>
      </w:r>
    </w:p>
    <w:p w14:paraId="1B066633">
      <w:pPr>
        <w:widowControl/>
        <w:adjustRightInd w:val="0"/>
        <w:snapToGrid w:val="0"/>
        <w:spacing w:line="560" w:lineRule="exact"/>
        <w:ind w:firstLine="600" w:firstLineChars="200"/>
        <w:jc w:val="left"/>
        <w:rPr>
          <w:rFonts w:hint="eastAsia" w:ascii="仿宋" w:hAnsi="仿宋" w:eastAsia="仿宋" w:cs="Times New Roman"/>
          <w:kern w:val="0"/>
          <w:sz w:val="30"/>
          <w:szCs w:val="30"/>
        </w:rPr>
      </w:pPr>
      <w:r>
        <w:rPr>
          <w:rFonts w:hint="eastAsia" w:ascii="仿宋" w:hAnsi="仿宋" w:eastAsia="仿宋" w:cs="Times New Roman"/>
          <w:kern w:val="0"/>
          <w:sz w:val="30"/>
          <w:szCs w:val="30"/>
        </w:rPr>
        <w:t>附件</w:t>
      </w:r>
      <w:r>
        <w:rPr>
          <w:rFonts w:hint="eastAsia" w:ascii="Times New Roman" w:hAnsi="Times New Roman" w:eastAsia="仿宋" w:cs="Times New Roman"/>
          <w:kern w:val="0"/>
          <w:sz w:val="32"/>
          <w:szCs w:val="32"/>
        </w:rPr>
        <w:t>5</w:t>
      </w:r>
    </w:p>
    <w:p w14:paraId="5F8B7476">
      <w:pPr>
        <w:spacing w:line="560" w:lineRule="exact"/>
        <w:jc w:val="center"/>
        <w:rPr>
          <w:rFonts w:ascii="楷体_GB2312" w:hAnsi="Calibri" w:eastAsia="楷体_GB2312" w:cs="Times New Roman"/>
          <w:b/>
          <w:sz w:val="32"/>
        </w:rPr>
      </w:pPr>
      <w:r>
        <w:rPr>
          <w:rFonts w:hint="eastAsia" w:ascii="楷体_GB2312" w:hAnsi="Calibri" w:eastAsia="楷体_GB2312" w:cs="Times New Roman"/>
          <w:b/>
          <w:sz w:val="32"/>
        </w:rPr>
        <w:t>申报材料真实性声明</w:t>
      </w:r>
    </w:p>
    <w:p w14:paraId="03FFCD14">
      <w:pPr>
        <w:spacing w:line="560" w:lineRule="exact"/>
        <w:rPr>
          <w:rFonts w:ascii="仿宋_GB2312" w:hAnsi="Calibri" w:eastAsia="仿宋_GB2312" w:cs="Times New Roman"/>
          <w:sz w:val="32"/>
          <w:szCs w:val="32"/>
        </w:rPr>
      </w:pPr>
    </w:p>
    <w:p w14:paraId="076B3590">
      <w:pPr>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lang w:val="en-US" w:eastAsia="zh-CN"/>
        </w:rPr>
        <w:t>湖北产融资本管理有限公司</w:t>
      </w:r>
      <w:r>
        <w:rPr>
          <w:rFonts w:hint="eastAsia" w:ascii="仿宋_GB2312" w:hAnsi="Calibri" w:eastAsia="仿宋_GB2312" w:cs="Times New Roman"/>
          <w:sz w:val="32"/>
          <w:szCs w:val="32"/>
        </w:rPr>
        <w:t>：</w:t>
      </w:r>
    </w:p>
    <w:p w14:paraId="36F278C1">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本公司/本企业目前正在向贵司申报</w:t>
      </w:r>
      <w:r>
        <w:rPr>
          <w:rFonts w:hint="eastAsia" w:ascii="仿宋_GB2312" w:hAnsi="Calibri" w:eastAsia="仿宋_GB2312" w:cs="Times New Roman"/>
          <w:sz w:val="32"/>
          <w:szCs w:val="32"/>
          <w:lang w:val="en-US" w:eastAsia="zh-CN"/>
        </w:rPr>
        <w:t>长江鑫时代鄂州产业投资</w:t>
      </w:r>
      <w:bookmarkStart w:id="2" w:name="_GoBack"/>
      <w:bookmarkEnd w:id="2"/>
      <w:r>
        <w:rPr>
          <w:rFonts w:hint="eastAsia" w:ascii="仿宋_GB2312" w:hAnsi="Calibri" w:eastAsia="仿宋_GB2312" w:cs="Times New Roman"/>
          <w:sz w:val="32"/>
          <w:szCs w:val="32"/>
        </w:rPr>
        <w:t>基金参与设立的</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color w:val="000000"/>
          <w:sz w:val="32"/>
          <w:szCs w:val="32"/>
        </w:rPr>
        <w:t>（以下简称基金），现就</w:t>
      </w:r>
      <w:r>
        <w:rPr>
          <w:rFonts w:hint="eastAsia" w:ascii="仿宋_GB2312" w:hAnsi="Calibri" w:eastAsia="仿宋_GB2312" w:cs="Times New Roman"/>
          <w:sz w:val="32"/>
          <w:szCs w:val="32"/>
        </w:rPr>
        <w:t>基金申请设立相关事宜，作出以下说明和承诺：</w:t>
      </w:r>
    </w:p>
    <w:p w14:paraId="0F0F5ABC">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本公司/本企业理解基金相关的法律、法规、规章、指引、办法和运行规则等文件的规定，承诺本公司/本企业和基金申请方案符合前述文件规定的要求；本公司/本企业将继续遵守前述文件的规定，并承诺基金设立之日起，完全按照文件的规定管理基金事务。</w:t>
      </w:r>
    </w:p>
    <w:p w14:paraId="5B1890DF">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二、本公司/本企业为在中华人民共和国（不包括香港特别行政区、澳门特别行政区和台湾地区）依法设立并有效存续的有限责任公司、股份有限公司或合伙企业。</w:t>
      </w:r>
    </w:p>
    <w:p w14:paraId="587AAC27">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本公司/本企业相关人员提供的关于本公司/本企业、基金投资人、基金申请方案等全部资料和信息（包括但不限于参股基金申请材料及有关陈述、保证、声明、确认等）均是真实、准确和完整的，不存在虚假记载、误导性陈述和重大遗漏，且该等全部资料和信息的复印件/电子件均与原件完全一致。</w:t>
      </w:r>
    </w:p>
    <w:p w14:paraId="752B38A5">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四、如上述说明和承诺情况存在任何虚假或隐瞒，本公司/本企业愿承担由此而产生的一切法律责任。同时，如贵司在参股基金设立后发现上述说明和承诺情况存在任何虚假或隐瞒，本公司/本企业愿承担由此而产生的包括但不限于以下法律责任：(1)向参股基金承担相应责任并赔偿由此对参股基金造成的全部损失；(2)依据参股基金《合伙协议》/《公司章程》/《委托管理协议》等规定承担相应的法律责任；(3)承担其他与此相关的法律责任。</w:t>
      </w:r>
    </w:p>
    <w:p w14:paraId="16290209">
      <w:pPr>
        <w:spacing w:line="560" w:lineRule="exact"/>
        <w:rPr>
          <w:rFonts w:ascii="仿宋_GB2312" w:hAnsi="Calibri" w:eastAsia="仿宋_GB2312" w:cs="Times New Roman"/>
          <w:sz w:val="32"/>
          <w:szCs w:val="32"/>
        </w:rPr>
      </w:pPr>
    </w:p>
    <w:p w14:paraId="3E3FE2EB">
      <w:pPr>
        <w:spacing w:line="560" w:lineRule="exact"/>
        <w:ind w:left="480"/>
        <w:rPr>
          <w:rFonts w:ascii="仿宋_GB2312" w:hAnsi="Calibri" w:eastAsia="仿宋_GB2312" w:cs="Times New Roman"/>
          <w:sz w:val="32"/>
          <w:szCs w:val="32"/>
        </w:rPr>
      </w:pPr>
      <w:r>
        <w:rPr>
          <w:rFonts w:hint="eastAsia" w:ascii="仿宋_GB2312" w:hAnsi="Calibri" w:eastAsia="仿宋_GB2312" w:cs="Times New Roman"/>
          <w:sz w:val="32"/>
          <w:szCs w:val="32"/>
        </w:rPr>
        <w:t>特此！</w:t>
      </w:r>
    </w:p>
    <w:p w14:paraId="33F12E6F">
      <w:pPr>
        <w:spacing w:line="560" w:lineRule="exact"/>
        <w:ind w:right="480" w:firstLine="3040" w:firstLineChars="950"/>
        <w:rPr>
          <w:rFonts w:ascii="仿宋_GB2312" w:hAnsi="Calibri" w:eastAsia="仿宋_GB2312" w:cs="Times New Roman"/>
          <w:sz w:val="32"/>
          <w:szCs w:val="32"/>
        </w:rPr>
      </w:pPr>
      <w:r>
        <w:rPr>
          <w:rFonts w:hint="eastAsia" w:ascii="仿宋_GB2312" w:hAnsi="Calibri" w:eastAsia="仿宋_GB2312" w:cs="Times New Roman"/>
          <w:sz w:val="32"/>
          <w:szCs w:val="32"/>
        </w:rPr>
        <w:t>承诺人：（公章、骑缝章）</w:t>
      </w:r>
    </w:p>
    <w:p w14:paraId="468F22BA">
      <w:pPr>
        <w:spacing w:line="560" w:lineRule="exact"/>
        <w:ind w:right="480" w:firstLine="1920" w:firstLineChars="600"/>
        <w:rPr>
          <w:rFonts w:ascii="仿宋_GB2312" w:hAnsi="Calibri" w:eastAsia="仿宋_GB2312" w:cs="Times New Roman"/>
          <w:sz w:val="32"/>
          <w:szCs w:val="32"/>
        </w:rPr>
      </w:pPr>
      <w:r>
        <w:rPr>
          <w:rFonts w:hint="eastAsia" w:ascii="仿宋_GB2312" w:hAnsi="Calibri" w:eastAsia="仿宋_GB2312" w:cs="Times New Roman"/>
          <w:sz w:val="32"/>
          <w:szCs w:val="32"/>
        </w:rPr>
        <w:t>法定代表人/执行事务合伙人（签字）：</w:t>
      </w:r>
    </w:p>
    <w:p w14:paraId="7C342191">
      <w:pPr>
        <w:spacing w:line="560" w:lineRule="exact"/>
        <w:ind w:right="480" w:firstLine="8160" w:firstLineChars="2550"/>
        <w:rPr>
          <w:rFonts w:ascii="仿宋_GB2312" w:hAnsi="Calibri" w:eastAsia="仿宋_GB2312" w:cs="Times New Roman"/>
          <w:sz w:val="32"/>
          <w:szCs w:val="32"/>
        </w:rPr>
      </w:pPr>
    </w:p>
    <w:p w14:paraId="76F8BC5F">
      <w:pPr>
        <w:spacing w:line="560" w:lineRule="exact"/>
        <w:ind w:right="480"/>
        <w:jc w:val="center"/>
        <w:rPr>
          <w:rFonts w:ascii="仿宋_GB2312" w:hAnsi="Calibri" w:eastAsia="仿宋_GB2312" w:cs="Times New Roman"/>
          <w:sz w:val="32"/>
          <w:szCs w:val="32"/>
        </w:rPr>
      </w:pPr>
      <w:r>
        <w:rPr>
          <w:rFonts w:hint="eastAsia" w:ascii="仿宋_GB2312" w:hAnsi="Calibri" w:eastAsia="仿宋_GB2312" w:cs="Times New Roman"/>
          <w:sz w:val="32"/>
          <w:szCs w:val="32"/>
        </w:rPr>
        <w:t xml:space="preserve">                         日期：    年   月  日</w:t>
      </w:r>
    </w:p>
    <w:p w14:paraId="3F5F7CBA">
      <w:pPr>
        <w:widowControl/>
        <w:adjustRightInd w:val="0"/>
        <w:snapToGrid w:val="0"/>
        <w:spacing w:line="560" w:lineRule="exact"/>
        <w:ind w:firstLine="640" w:firstLineChars="200"/>
        <w:rPr>
          <w:rFonts w:hint="eastAsia" w:ascii="仿宋_GB2312" w:hAnsi="黑体" w:eastAsia="仿宋_GB2312" w:cs="Times New Roman"/>
          <w:kern w:val="0"/>
          <w:sz w:val="32"/>
          <w:szCs w:val="32"/>
        </w:rPr>
      </w:pPr>
    </w:p>
    <w:p w14:paraId="0B3C91B8">
      <w:pPr>
        <w:rPr>
          <w:rFonts w:hint="eastAsia"/>
        </w:rPr>
      </w:pPr>
    </w:p>
    <w:p w14:paraId="600DEA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216894"/>
      <w:showingPlcHdr/>
    </w:sdtPr>
    <w:sdtEndPr>
      <w:rPr>
        <w:rFonts w:ascii="Times New Roman" w:hAnsi="Times New Roman" w:cs="Times New Roman"/>
        <w:sz w:val="24"/>
        <w:szCs w:val="24"/>
      </w:rPr>
    </w:sdtEndPr>
    <w:sdtContent>
      <w:p w14:paraId="4D40BAEB">
        <w:pPr>
          <w:pStyle w:val="2"/>
          <w:rPr>
            <w:rFonts w:ascii="Times New Roman" w:hAnsi="Times New Roman" w:cs="Times New Roman"/>
            <w:sz w:val="24"/>
            <w:szCs w:val="24"/>
          </w:rPr>
        </w:pPr>
        <w:r>
          <w:t xml:space="preserve">     </w:t>
        </w:r>
      </w:p>
    </w:sdtContent>
  </w:sdt>
  <w:p w14:paraId="474FB0EC">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ThlOGI3M2RkNjI5Zjg1ZjU3MjcxNWViZmQ3NmQifQ=="/>
  </w:docVars>
  <w:rsids>
    <w:rsidRoot w:val="27F41B43"/>
    <w:rsid w:val="27F4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2024-12-12T09:51:00Z</dcterms:created>
  <dc:creator>周晨希</dc:creator>
  <cp:lastModifiedBy>周晨希</cp:lastModifiedBy>
  <dcterms:modified xsi:type="dcterms:W3CDTF">2024-12-13T03:24:07Z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A07864D6B01445BB8DD5548CC85F670D_11</vt:lpwstr>
  </property>
</Properties>
</file>