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2B0BB">
      <w:pPr>
        <w:spacing w:before="312" w:beforeLines="100" w:line="520" w:lineRule="exact"/>
        <w:rPr>
          <w:rFonts w:eastAsia="仿宋"/>
          <w:sz w:val="32"/>
          <w:szCs w:val="36"/>
        </w:rPr>
      </w:pPr>
      <w:r>
        <w:rPr>
          <w:rFonts w:eastAsia="仿宋"/>
          <w:sz w:val="32"/>
          <w:szCs w:val="36"/>
        </w:rPr>
        <w:t>附件1</w:t>
      </w:r>
      <w:r>
        <w:rPr>
          <w:rFonts w:hint="eastAsia" w:eastAsia="仿宋"/>
          <w:sz w:val="32"/>
          <w:szCs w:val="36"/>
        </w:rPr>
        <w:t>：</w:t>
      </w:r>
    </w:p>
    <w:p w14:paraId="0554D20A">
      <w:pPr>
        <w:autoSpaceDN w:val="0"/>
        <w:spacing w:line="600" w:lineRule="exact"/>
        <w:jc w:val="center"/>
        <w:rPr>
          <w:rFonts w:ascii="方正小标宋_GBK" w:hAnsi="方正小标宋_GBK" w:eastAsia="方正小标宋_GBK"/>
          <w:sz w:val="44"/>
          <w:szCs w:val="44"/>
        </w:rPr>
      </w:pPr>
      <w:r>
        <w:rPr>
          <w:rFonts w:hint="eastAsia" w:ascii="方正小标宋_GBK" w:hAnsi="方正小标宋_GBK" w:eastAsia="方正小标宋_GBK"/>
          <w:sz w:val="44"/>
          <w:szCs w:val="44"/>
        </w:rPr>
        <w:t>重庆渝创兴碚私募股权投资基金合伙企业（有限合伙）管理人申报资料清单</w:t>
      </w:r>
    </w:p>
    <w:p w14:paraId="65A4E0C6">
      <w:pPr>
        <w:autoSpaceDN w:val="0"/>
        <w:ind w:firstLine="627" w:firstLineChars="196"/>
        <w:rPr>
          <w:rFonts w:eastAsia="黑体"/>
          <w:sz w:val="32"/>
          <w:szCs w:val="32"/>
        </w:rPr>
      </w:pPr>
    </w:p>
    <w:p w14:paraId="37F97232">
      <w:pPr>
        <w:autoSpaceDN w:val="0"/>
        <w:rPr>
          <w:rFonts w:eastAsia="黑体"/>
          <w:sz w:val="32"/>
          <w:szCs w:val="32"/>
        </w:rPr>
      </w:pPr>
      <w:r>
        <w:rPr>
          <w:rFonts w:eastAsia="黑体"/>
          <w:sz w:val="32"/>
          <w:szCs w:val="32"/>
        </w:rPr>
        <w:t>一、</w:t>
      </w:r>
      <w:r>
        <w:rPr>
          <w:rFonts w:hint="eastAsia" w:eastAsia="黑体"/>
          <w:b w:val="0"/>
          <w:bCs/>
          <w:sz w:val="32"/>
          <w:szCs w:val="32"/>
          <w:shd w:val="clear" w:color="auto" w:fill="FFFFFF"/>
          <w:lang w:val="en-US" w:eastAsia="zh-CN"/>
        </w:rPr>
        <w:t>北碚</w:t>
      </w:r>
      <w:r>
        <w:rPr>
          <w:rFonts w:hint="eastAsia" w:eastAsia="黑体"/>
          <w:b w:val="0"/>
          <w:bCs/>
          <w:sz w:val="32"/>
          <w:szCs w:val="32"/>
          <w:shd w:val="clear" w:color="auto" w:fill="FFFFFF"/>
        </w:rPr>
        <w:t>母基金</w:t>
      </w:r>
      <w:r>
        <w:rPr>
          <w:rFonts w:eastAsia="黑体"/>
          <w:sz w:val="32"/>
          <w:szCs w:val="32"/>
          <w:shd w:val="clear" w:color="auto" w:fill="FFFFFF"/>
        </w:rPr>
        <w:t>申请机构登记表（附件2）</w:t>
      </w:r>
    </w:p>
    <w:p w14:paraId="1DFBB00E">
      <w:pPr>
        <w:autoSpaceDN w:val="0"/>
        <w:rPr>
          <w:rFonts w:eastAsia="黑体"/>
          <w:sz w:val="32"/>
          <w:szCs w:val="32"/>
        </w:rPr>
      </w:pPr>
      <w:r>
        <w:rPr>
          <w:rFonts w:hint="eastAsia" w:eastAsia="黑体"/>
          <w:sz w:val="32"/>
          <w:szCs w:val="32"/>
        </w:rPr>
        <w:t>二</w:t>
      </w:r>
      <w:r>
        <w:rPr>
          <w:rFonts w:eastAsia="黑体"/>
          <w:sz w:val="32"/>
          <w:szCs w:val="32"/>
        </w:rPr>
        <w:t>、子基金组建方案</w:t>
      </w:r>
    </w:p>
    <w:p w14:paraId="73B86178">
      <w:pPr>
        <w:pStyle w:val="8"/>
        <w:numPr>
          <w:ilvl w:val="0"/>
          <w:numId w:val="1"/>
        </w:numPr>
        <w:autoSpaceDN w:val="0"/>
        <w:ind w:firstLineChars="0"/>
        <w:rPr>
          <w:rFonts w:eastAsia="仿宋"/>
          <w:sz w:val="32"/>
          <w:szCs w:val="32"/>
        </w:rPr>
      </w:pPr>
      <w:r>
        <w:rPr>
          <w:rFonts w:eastAsia="仿宋"/>
          <w:sz w:val="32"/>
          <w:szCs w:val="32"/>
        </w:rPr>
        <w:t>基金名称</w:t>
      </w:r>
    </w:p>
    <w:p w14:paraId="772FF8B5">
      <w:pPr>
        <w:pStyle w:val="8"/>
        <w:numPr>
          <w:ilvl w:val="0"/>
          <w:numId w:val="1"/>
        </w:numPr>
        <w:autoSpaceDN w:val="0"/>
        <w:ind w:firstLineChars="0"/>
        <w:rPr>
          <w:rFonts w:eastAsia="仿宋"/>
          <w:sz w:val="32"/>
          <w:szCs w:val="32"/>
        </w:rPr>
      </w:pPr>
      <w:r>
        <w:rPr>
          <w:rFonts w:eastAsia="仿宋"/>
          <w:sz w:val="32"/>
          <w:szCs w:val="32"/>
        </w:rPr>
        <w:t>投资领域及阶段</w:t>
      </w:r>
    </w:p>
    <w:p w14:paraId="1786C199">
      <w:pPr>
        <w:pStyle w:val="8"/>
        <w:numPr>
          <w:ilvl w:val="0"/>
          <w:numId w:val="1"/>
        </w:numPr>
        <w:autoSpaceDN w:val="0"/>
        <w:ind w:firstLineChars="0"/>
        <w:rPr>
          <w:rFonts w:eastAsia="仿宋"/>
          <w:sz w:val="32"/>
          <w:szCs w:val="32"/>
        </w:rPr>
      </w:pPr>
      <w:r>
        <w:rPr>
          <w:rFonts w:eastAsia="仿宋"/>
          <w:sz w:val="32"/>
          <w:szCs w:val="32"/>
        </w:rPr>
        <w:t>基金管理人及普通合伙人</w:t>
      </w:r>
    </w:p>
    <w:p w14:paraId="7543FE52">
      <w:pPr>
        <w:pStyle w:val="8"/>
        <w:numPr>
          <w:ilvl w:val="0"/>
          <w:numId w:val="1"/>
        </w:numPr>
        <w:autoSpaceDN w:val="0"/>
        <w:ind w:firstLineChars="0"/>
        <w:rPr>
          <w:rFonts w:eastAsia="仿宋"/>
          <w:sz w:val="32"/>
          <w:szCs w:val="32"/>
        </w:rPr>
      </w:pPr>
      <w:r>
        <w:rPr>
          <w:rFonts w:eastAsia="仿宋"/>
          <w:sz w:val="32"/>
          <w:szCs w:val="32"/>
        </w:rPr>
        <w:t>基金规模（总规模、分几期到位、申请</w:t>
      </w:r>
      <w:r>
        <w:rPr>
          <w:rFonts w:hint="eastAsia" w:eastAsia="仿宋"/>
          <w:b w:val="0"/>
          <w:bCs/>
          <w:sz w:val="32"/>
          <w:szCs w:val="32"/>
          <w:u w:val="none"/>
        </w:rPr>
        <w:t>荣昌产投母基金</w:t>
      </w:r>
      <w:r>
        <w:rPr>
          <w:rFonts w:eastAsia="仿宋"/>
          <w:sz w:val="32"/>
          <w:szCs w:val="32"/>
        </w:rPr>
        <w:t>规模）</w:t>
      </w:r>
    </w:p>
    <w:p w14:paraId="759871D9">
      <w:pPr>
        <w:pStyle w:val="8"/>
        <w:numPr>
          <w:ilvl w:val="0"/>
          <w:numId w:val="1"/>
        </w:numPr>
        <w:autoSpaceDN w:val="0"/>
        <w:ind w:firstLineChars="0"/>
        <w:rPr>
          <w:rFonts w:eastAsia="仿宋"/>
          <w:sz w:val="32"/>
          <w:szCs w:val="32"/>
        </w:rPr>
      </w:pPr>
      <w:r>
        <w:rPr>
          <w:rFonts w:hint="eastAsia" w:ascii="仿宋" w:hAnsi="仿宋" w:eastAsia="仿宋" w:cs="仿宋"/>
          <w:b w:val="0"/>
          <w:bCs w:val="0"/>
          <w:sz w:val="32"/>
          <w:szCs w:val="32"/>
          <w:u w:val="none"/>
        </w:rPr>
        <w:t>LP</w:t>
      </w:r>
      <w:r>
        <w:rPr>
          <w:rFonts w:eastAsia="仿宋"/>
          <w:sz w:val="32"/>
          <w:szCs w:val="32"/>
        </w:rPr>
        <w:t>认购</w:t>
      </w:r>
      <w:r>
        <w:rPr>
          <w:rFonts w:hint="eastAsia" w:eastAsia="仿宋"/>
          <w:sz w:val="32"/>
          <w:szCs w:val="32"/>
        </w:rPr>
        <w:t>份额情况及出资能力</w:t>
      </w:r>
    </w:p>
    <w:p w14:paraId="5EBE094F">
      <w:pPr>
        <w:pStyle w:val="8"/>
        <w:numPr>
          <w:ilvl w:val="0"/>
          <w:numId w:val="1"/>
        </w:numPr>
        <w:autoSpaceDN w:val="0"/>
        <w:ind w:firstLineChars="0"/>
        <w:rPr>
          <w:rFonts w:eastAsia="仿宋"/>
          <w:sz w:val="32"/>
          <w:szCs w:val="32"/>
        </w:rPr>
      </w:pPr>
      <w:r>
        <w:rPr>
          <w:rFonts w:eastAsia="仿宋"/>
          <w:sz w:val="32"/>
          <w:szCs w:val="32"/>
        </w:rPr>
        <w:t>缴款进度安排</w:t>
      </w:r>
    </w:p>
    <w:p w14:paraId="6C047E91">
      <w:pPr>
        <w:pStyle w:val="8"/>
        <w:numPr>
          <w:ilvl w:val="0"/>
          <w:numId w:val="1"/>
        </w:numPr>
        <w:autoSpaceDN w:val="0"/>
        <w:ind w:firstLineChars="0"/>
        <w:rPr>
          <w:rFonts w:eastAsia="仿宋"/>
          <w:sz w:val="32"/>
          <w:szCs w:val="32"/>
        </w:rPr>
      </w:pPr>
      <w:r>
        <w:rPr>
          <w:rFonts w:eastAsia="仿宋"/>
          <w:sz w:val="32"/>
          <w:szCs w:val="32"/>
        </w:rPr>
        <w:t>基金存续期</w:t>
      </w:r>
    </w:p>
    <w:p w14:paraId="47ABAC20">
      <w:pPr>
        <w:pStyle w:val="8"/>
        <w:numPr>
          <w:ilvl w:val="0"/>
          <w:numId w:val="1"/>
        </w:numPr>
        <w:autoSpaceDN w:val="0"/>
        <w:ind w:firstLineChars="0"/>
        <w:rPr>
          <w:rFonts w:eastAsia="仿宋"/>
          <w:sz w:val="32"/>
          <w:szCs w:val="32"/>
        </w:rPr>
      </w:pPr>
      <w:r>
        <w:rPr>
          <w:rFonts w:eastAsia="仿宋"/>
          <w:sz w:val="32"/>
          <w:szCs w:val="32"/>
        </w:rPr>
        <w:t>基金收益分配</w:t>
      </w:r>
      <w:r>
        <w:rPr>
          <w:rFonts w:hint="eastAsia" w:eastAsia="仿宋"/>
          <w:sz w:val="32"/>
          <w:szCs w:val="32"/>
        </w:rPr>
        <w:t>方式</w:t>
      </w:r>
    </w:p>
    <w:p w14:paraId="48DE7694">
      <w:pPr>
        <w:pStyle w:val="8"/>
        <w:numPr>
          <w:ilvl w:val="0"/>
          <w:numId w:val="1"/>
        </w:numPr>
        <w:autoSpaceDN w:val="0"/>
        <w:ind w:firstLineChars="0"/>
        <w:rPr>
          <w:rFonts w:eastAsia="仿宋"/>
          <w:sz w:val="32"/>
          <w:szCs w:val="32"/>
        </w:rPr>
      </w:pPr>
      <w:r>
        <w:rPr>
          <w:rFonts w:eastAsia="仿宋"/>
          <w:sz w:val="32"/>
          <w:szCs w:val="32"/>
        </w:rPr>
        <w:t>管理费用</w:t>
      </w:r>
    </w:p>
    <w:p w14:paraId="6A798E54">
      <w:pPr>
        <w:pStyle w:val="8"/>
        <w:numPr>
          <w:ilvl w:val="0"/>
          <w:numId w:val="1"/>
        </w:numPr>
        <w:autoSpaceDN w:val="0"/>
        <w:ind w:firstLineChars="0"/>
        <w:rPr>
          <w:rFonts w:eastAsia="仿宋"/>
          <w:sz w:val="32"/>
          <w:szCs w:val="32"/>
        </w:rPr>
      </w:pPr>
      <w:bookmarkStart w:id="0" w:name="_GoBack"/>
      <w:bookmarkEnd w:id="0"/>
      <w:r>
        <w:rPr>
          <w:rFonts w:hint="eastAsia" w:eastAsia="仿宋"/>
          <w:sz w:val="32"/>
          <w:szCs w:val="32"/>
        </w:rPr>
        <w:t>投资决策委员构成和决策机制</w:t>
      </w:r>
    </w:p>
    <w:p w14:paraId="18AB82FC">
      <w:pPr>
        <w:pStyle w:val="8"/>
        <w:numPr>
          <w:ilvl w:val="0"/>
          <w:numId w:val="1"/>
        </w:numPr>
        <w:autoSpaceDN w:val="0"/>
        <w:ind w:firstLineChars="0"/>
        <w:rPr>
          <w:rFonts w:eastAsia="仿宋"/>
          <w:sz w:val="32"/>
          <w:szCs w:val="32"/>
        </w:rPr>
      </w:pPr>
      <w:r>
        <w:rPr>
          <w:rFonts w:hint="eastAsia" w:eastAsia="仿宋"/>
          <w:sz w:val="32"/>
          <w:szCs w:val="32"/>
        </w:rPr>
        <w:t>储备项目列表（附件3）</w:t>
      </w:r>
    </w:p>
    <w:p w14:paraId="7BC198FC">
      <w:pPr>
        <w:autoSpaceDN w:val="0"/>
        <w:rPr>
          <w:rFonts w:eastAsia="黑体"/>
          <w:sz w:val="32"/>
          <w:szCs w:val="32"/>
        </w:rPr>
      </w:pPr>
      <w:r>
        <w:rPr>
          <w:rFonts w:hint="eastAsia" w:eastAsia="黑体"/>
          <w:sz w:val="32"/>
          <w:szCs w:val="32"/>
        </w:rPr>
        <w:t>三</w:t>
      </w:r>
      <w:r>
        <w:rPr>
          <w:rFonts w:eastAsia="黑体"/>
          <w:sz w:val="32"/>
          <w:szCs w:val="32"/>
        </w:rPr>
        <w:t>、基金管理人及普通合伙人</w:t>
      </w:r>
    </w:p>
    <w:p w14:paraId="60BFF18E">
      <w:pPr>
        <w:pStyle w:val="8"/>
        <w:numPr>
          <w:ilvl w:val="0"/>
          <w:numId w:val="1"/>
        </w:numPr>
        <w:autoSpaceDN w:val="0"/>
        <w:ind w:left="142" w:firstLine="567" w:firstLineChars="0"/>
        <w:jc w:val="left"/>
        <w:rPr>
          <w:rFonts w:eastAsia="仿宋"/>
          <w:sz w:val="32"/>
          <w:szCs w:val="32"/>
        </w:rPr>
      </w:pPr>
      <w:r>
        <w:rPr>
          <w:rFonts w:eastAsia="仿宋"/>
          <w:sz w:val="32"/>
          <w:szCs w:val="32"/>
        </w:rPr>
        <w:t>基金管理人及普通合伙人简介（成立时间、注册资本、股东及股权结构）</w:t>
      </w:r>
    </w:p>
    <w:p w14:paraId="7745C7F5">
      <w:pPr>
        <w:pStyle w:val="8"/>
        <w:numPr>
          <w:ilvl w:val="0"/>
          <w:numId w:val="1"/>
        </w:numPr>
        <w:autoSpaceDN w:val="0"/>
        <w:ind w:firstLineChars="0"/>
        <w:rPr>
          <w:rFonts w:eastAsia="仿宋"/>
          <w:sz w:val="32"/>
          <w:szCs w:val="32"/>
        </w:rPr>
      </w:pPr>
      <w:r>
        <w:rPr>
          <w:rFonts w:eastAsia="仿宋"/>
          <w:sz w:val="32"/>
          <w:szCs w:val="32"/>
        </w:rPr>
        <w:t>管理团队（团队核心人员职务及简历）</w:t>
      </w:r>
    </w:p>
    <w:p w14:paraId="09715BF5">
      <w:pPr>
        <w:pStyle w:val="8"/>
        <w:numPr>
          <w:ilvl w:val="0"/>
          <w:numId w:val="1"/>
        </w:numPr>
        <w:autoSpaceDN w:val="0"/>
        <w:ind w:firstLineChars="0"/>
        <w:rPr>
          <w:rFonts w:eastAsia="仿宋"/>
          <w:sz w:val="32"/>
          <w:szCs w:val="32"/>
        </w:rPr>
      </w:pPr>
      <w:r>
        <w:rPr>
          <w:rFonts w:eastAsia="仿宋"/>
          <w:sz w:val="32"/>
          <w:szCs w:val="32"/>
        </w:rPr>
        <w:t>基金管理人历史管理基金情况</w:t>
      </w:r>
    </w:p>
    <w:p w14:paraId="1B7DC3E2">
      <w:pPr>
        <w:pStyle w:val="8"/>
        <w:numPr>
          <w:ilvl w:val="0"/>
          <w:numId w:val="1"/>
        </w:numPr>
        <w:autoSpaceDN w:val="0"/>
        <w:ind w:firstLineChars="0"/>
        <w:rPr>
          <w:rFonts w:eastAsia="仿宋"/>
          <w:sz w:val="32"/>
          <w:szCs w:val="32"/>
        </w:rPr>
      </w:pPr>
      <w:r>
        <w:rPr>
          <w:rFonts w:eastAsia="仿宋"/>
          <w:sz w:val="32"/>
          <w:szCs w:val="32"/>
        </w:rPr>
        <w:t>基金管理人投资业绩（附件4）</w:t>
      </w:r>
    </w:p>
    <w:p w14:paraId="65089D83">
      <w:pPr>
        <w:pStyle w:val="8"/>
        <w:numPr>
          <w:ilvl w:val="0"/>
          <w:numId w:val="1"/>
        </w:numPr>
        <w:autoSpaceDN w:val="0"/>
        <w:ind w:firstLineChars="0"/>
        <w:rPr>
          <w:rFonts w:eastAsia="仿宋"/>
          <w:sz w:val="32"/>
          <w:szCs w:val="32"/>
        </w:rPr>
      </w:pPr>
      <w:r>
        <w:rPr>
          <w:rFonts w:eastAsia="仿宋"/>
          <w:sz w:val="32"/>
          <w:szCs w:val="32"/>
        </w:rPr>
        <w:t>基金管理团队核心成员投资业绩（附件5）</w:t>
      </w:r>
    </w:p>
    <w:p w14:paraId="53FD35E9">
      <w:pPr>
        <w:pStyle w:val="8"/>
        <w:numPr>
          <w:ilvl w:val="0"/>
          <w:numId w:val="1"/>
        </w:numPr>
        <w:autoSpaceDN w:val="0"/>
        <w:ind w:left="0" w:firstLine="627" w:firstLineChars="0"/>
        <w:rPr>
          <w:rFonts w:eastAsia="仿宋"/>
          <w:sz w:val="32"/>
          <w:szCs w:val="32"/>
        </w:rPr>
      </w:pPr>
      <w:r>
        <w:rPr>
          <w:rFonts w:eastAsia="仿宋"/>
          <w:sz w:val="32"/>
          <w:szCs w:val="32"/>
        </w:rPr>
        <w:t>基金管理人</w:t>
      </w:r>
      <w:r>
        <w:rPr>
          <w:rFonts w:hint="eastAsia" w:eastAsia="仿宋"/>
          <w:sz w:val="32"/>
          <w:szCs w:val="32"/>
          <w:lang w:val="en-US" w:eastAsia="zh-CN"/>
        </w:rPr>
        <w:t>三</w:t>
      </w:r>
      <w:r>
        <w:rPr>
          <w:rFonts w:eastAsia="仿宋"/>
          <w:sz w:val="32"/>
          <w:szCs w:val="32"/>
        </w:rPr>
        <w:t>个以上成功投资案例、一个失败案例介绍（若不足，可提供核心人员主导投资的相关案例）</w:t>
      </w:r>
    </w:p>
    <w:p w14:paraId="5D665526">
      <w:pPr>
        <w:pStyle w:val="8"/>
        <w:numPr>
          <w:ilvl w:val="0"/>
          <w:numId w:val="1"/>
        </w:numPr>
        <w:autoSpaceDN w:val="0"/>
        <w:ind w:firstLineChars="0"/>
        <w:rPr>
          <w:rFonts w:eastAsia="仿宋"/>
          <w:sz w:val="32"/>
          <w:szCs w:val="32"/>
        </w:rPr>
      </w:pPr>
      <w:r>
        <w:rPr>
          <w:rFonts w:eastAsia="仿宋"/>
          <w:sz w:val="32"/>
          <w:szCs w:val="32"/>
        </w:rPr>
        <w:t>激励和风险约束机制及核心内容</w:t>
      </w:r>
    </w:p>
    <w:p w14:paraId="13187B64">
      <w:pPr>
        <w:autoSpaceDN w:val="0"/>
        <w:rPr>
          <w:rFonts w:eastAsia="黑体"/>
          <w:sz w:val="32"/>
          <w:szCs w:val="32"/>
        </w:rPr>
      </w:pPr>
      <w:r>
        <w:rPr>
          <w:rFonts w:hint="eastAsia" w:eastAsia="黑体"/>
          <w:sz w:val="32"/>
          <w:szCs w:val="32"/>
        </w:rPr>
        <w:t>四</w:t>
      </w:r>
      <w:r>
        <w:rPr>
          <w:rFonts w:eastAsia="黑体"/>
          <w:sz w:val="32"/>
          <w:szCs w:val="32"/>
        </w:rPr>
        <w:t>、其他证明性文件</w:t>
      </w:r>
    </w:p>
    <w:p w14:paraId="749EE5B4">
      <w:pPr>
        <w:pStyle w:val="8"/>
        <w:numPr>
          <w:ilvl w:val="0"/>
          <w:numId w:val="1"/>
        </w:numPr>
        <w:autoSpaceDN w:val="0"/>
        <w:ind w:left="0" w:firstLine="709" w:firstLineChars="0"/>
        <w:rPr>
          <w:rFonts w:eastAsia="仿宋"/>
          <w:sz w:val="32"/>
          <w:szCs w:val="32"/>
        </w:rPr>
      </w:pPr>
      <w:r>
        <w:rPr>
          <w:rFonts w:eastAsia="仿宋"/>
          <w:sz w:val="32"/>
          <w:szCs w:val="32"/>
        </w:rPr>
        <w:t>基金管理机构章程（或合伙协议）</w:t>
      </w:r>
    </w:p>
    <w:p w14:paraId="610FD9CD">
      <w:pPr>
        <w:pStyle w:val="8"/>
        <w:numPr>
          <w:ilvl w:val="0"/>
          <w:numId w:val="1"/>
        </w:numPr>
        <w:autoSpaceDN w:val="0"/>
        <w:ind w:left="0" w:firstLine="709" w:firstLineChars="0"/>
        <w:rPr>
          <w:rFonts w:eastAsia="仿宋"/>
          <w:sz w:val="32"/>
          <w:szCs w:val="32"/>
        </w:rPr>
      </w:pPr>
      <w:r>
        <w:rPr>
          <w:rFonts w:eastAsia="仿宋"/>
          <w:sz w:val="32"/>
          <w:szCs w:val="32"/>
        </w:rPr>
        <w:t>基金管理机构投资决策、风险控制、激励机制等制度文件</w:t>
      </w:r>
    </w:p>
    <w:p w14:paraId="2DAB8992">
      <w:pPr>
        <w:pStyle w:val="8"/>
        <w:numPr>
          <w:ilvl w:val="0"/>
          <w:numId w:val="1"/>
        </w:numPr>
        <w:autoSpaceDN w:val="0"/>
        <w:ind w:left="0" w:firstLine="709" w:firstLineChars="0"/>
        <w:rPr>
          <w:rFonts w:eastAsia="仿宋"/>
          <w:sz w:val="32"/>
          <w:szCs w:val="32"/>
        </w:rPr>
      </w:pPr>
      <w:r>
        <w:rPr>
          <w:rFonts w:eastAsia="仿宋"/>
          <w:sz w:val="32"/>
          <w:szCs w:val="32"/>
        </w:rPr>
        <w:t>社会资金出资承诺函</w:t>
      </w:r>
    </w:p>
    <w:p w14:paraId="51AADD6A">
      <w:pPr>
        <w:pStyle w:val="8"/>
        <w:numPr>
          <w:ilvl w:val="0"/>
          <w:numId w:val="1"/>
        </w:numPr>
        <w:autoSpaceDN w:val="0"/>
        <w:ind w:left="0" w:firstLine="709" w:firstLineChars="0"/>
        <w:rPr>
          <w:rFonts w:eastAsia="仿宋"/>
          <w:sz w:val="32"/>
          <w:szCs w:val="32"/>
        </w:rPr>
      </w:pPr>
      <w:r>
        <w:rPr>
          <w:rFonts w:eastAsia="仿宋"/>
          <w:sz w:val="32"/>
          <w:szCs w:val="32"/>
        </w:rPr>
        <w:t>基金管理机构历史管理基金规模（实缴）证明文件</w:t>
      </w:r>
    </w:p>
    <w:p w14:paraId="3B5F16A8">
      <w:pPr>
        <w:pStyle w:val="8"/>
        <w:numPr>
          <w:ilvl w:val="0"/>
          <w:numId w:val="1"/>
        </w:numPr>
        <w:autoSpaceDN w:val="0"/>
        <w:ind w:left="0" w:firstLine="627" w:firstLineChars="196"/>
      </w:pPr>
      <w:r>
        <w:rPr>
          <w:rFonts w:hint="eastAsia" w:eastAsia="仿宋"/>
          <w:sz w:val="32"/>
          <w:szCs w:val="32"/>
        </w:rPr>
        <w:t>子基金章程或合伙协议（草案）（申请机构可向重庆产业引导股权投资基金有限责任公司索取相关协议模板）</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5E6671"/>
    <w:multiLevelType w:val="multilevel"/>
    <w:tmpl w:val="585E6671"/>
    <w:lvl w:ilvl="0" w:tentative="0">
      <w:start w:val="1"/>
      <w:numFmt w:val="decimal"/>
      <w:lvlText w:val="%1."/>
      <w:lvlJc w:val="left"/>
      <w:pPr>
        <w:ind w:left="1047" w:hanging="420"/>
      </w:pPr>
      <w:rPr>
        <w:rFonts w:hint="eastAsia" w:ascii="仿宋" w:hAnsi="方正仿宋_GB2312" w:eastAsia="仿宋" w:cs="方正仿宋_GB2312"/>
        <w:b w:val="0"/>
        <w:i w:val="0"/>
        <w:sz w:val="32"/>
      </w:rPr>
    </w:lvl>
    <w:lvl w:ilvl="1" w:tentative="0">
      <w:start w:val="1"/>
      <w:numFmt w:val="lowerLetter"/>
      <w:lvlText w:val="%2)"/>
      <w:lvlJc w:val="left"/>
      <w:pPr>
        <w:ind w:left="1467" w:hanging="420"/>
      </w:pPr>
    </w:lvl>
    <w:lvl w:ilvl="2" w:tentative="0">
      <w:start w:val="1"/>
      <w:numFmt w:val="lowerRoman"/>
      <w:lvlText w:val="%3."/>
      <w:lvlJc w:val="right"/>
      <w:pPr>
        <w:ind w:left="1887" w:hanging="420"/>
      </w:pPr>
    </w:lvl>
    <w:lvl w:ilvl="3" w:tentative="0">
      <w:start w:val="1"/>
      <w:numFmt w:val="decimal"/>
      <w:lvlText w:val="%4."/>
      <w:lvlJc w:val="left"/>
      <w:pPr>
        <w:ind w:left="2307" w:hanging="420"/>
      </w:pPr>
    </w:lvl>
    <w:lvl w:ilvl="4" w:tentative="0">
      <w:start w:val="1"/>
      <w:numFmt w:val="lowerLetter"/>
      <w:lvlText w:val="%5)"/>
      <w:lvlJc w:val="left"/>
      <w:pPr>
        <w:ind w:left="2727" w:hanging="420"/>
      </w:pPr>
    </w:lvl>
    <w:lvl w:ilvl="5" w:tentative="0">
      <w:start w:val="1"/>
      <w:numFmt w:val="lowerRoman"/>
      <w:lvlText w:val="%6."/>
      <w:lvlJc w:val="right"/>
      <w:pPr>
        <w:ind w:left="3147" w:hanging="420"/>
      </w:pPr>
    </w:lvl>
    <w:lvl w:ilvl="6" w:tentative="0">
      <w:start w:val="1"/>
      <w:numFmt w:val="decimal"/>
      <w:lvlText w:val="%7."/>
      <w:lvlJc w:val="left"/>
      <w:pPr>
        <w:ind w:left="3567" w:hanging="420"/>
      </w:pPr>
    </w:lvl>
    <w:lvl w:ilvl="7" w:tentative="0">
      <w:start w:val="1"/>
      <w:numFmt w:val="lowerLetter"/>
      <w:lvlText w:val="%8)"/>
      <w:lvlJc w:val="left"/>
      <w:pPr>
        <w:ind w:left="3987" w:hanging="420"/>
      </w:pPr>
    </w:lvl>
    <w:lvl w:ilvl="8" w:tentative="0">
      <w:start w:val="1"/>
      <w:numFmt w:val="lowerRoman"/>
      <w:lvlText w:val="%9."/>
      <w:lvlJc w:val="right"/>
      <w:pPr>
        <w:ind w:left="440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jNDU1YzA0NGUzYjk1ODRmN2MyNjA5ZGM2NWU1N2IifQ=="/>
  </w:docVars>
  <w:rsids>
    <w:rsidRoot w:val="003F6846"/>
    <w:rsid w:val="003F6846"/>
    <w:rsid w:val="00483D5B"/>
    <w:rsid w:val="00641192"/>
    <w:rsid w:val="006633E1"/>
    <w:rsid w:val="006F3DC7"/>
    <w:rsid w:val="00786C0B"/>
    <w:rsid w:val="007C2213"/>
    <w:rsid w:val="00821726"/>
    <w:rsid w:val="00850DE6"/>
    <w:rsid w:val="00A02000"/>
    <w:rsid w:val="00A414BE"/>
    <w:rsid w:val="00BD206A"/>
    <w:rsid w:val="00C218F4"/>
    <w:rsid w:val="00D57892"/>
    <w:rsid w:val="00D94514"/>
    <w:rsid w:val="00DD6DDC"/>
    <w:rsid w:val="00E21A22"/>
    <w:rsid w:val="00EA67DB"/>
    <w:rsid w:val="38AB3D4B"/>
    <w:rsid w:val="48844F7B"/>
    <w:rsid w:val="4AA36B41"/>
    <w:rsid w:val="4F38162B"/>
    <w:rsid w:val="5899453E"/>
    <w:rsid w:val="7C4B2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473</Words>
  <Characters>474</Characters>
  <Lines>3</Lines>
  <Paragraphs>1</Paragraphs>
  <TotalTime>113</TotalTime>
  <ScaleCrop>false</ScaleCrop>
  <LinksUpToDate>false</LinksUpToDate>
  <CharactersWithSpaces>474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2020-02-17T02:10:00Z</dcterms:created>
  <dc:creator>邹莜</dc:creator>
  <cp:lastModifiedBy>admin</cp:lastModifiedBy>
  <cp:lastPrinted>2022-08-22T02:59:00Z</cp:lastPrinted>
  <dcterms:modified xsi:type="dcterms:W3CDTF">2025-05-08T06:32:23Z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E9FCF90915C849C2827340CD8C0F8DCA</vt:lpwstr>
  </property>
  <property fmtid="{D5CDD505-2E9C-101B-9397-08002B2CF9AE}" pid="4" name="KSOTemplateDocerSaveRecord">
    <vt:lpwstr>eyJoZGlkIjoiYTc2ZGZiNzZiNDVlOGViOWVmM2JhOTY0NGJkNjUyYzgifQ==</vt:lpwstr>
  </property>
</Properties>
</file>