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outlineLvl w:val="0"/>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附件1</w:t>
      </w:r>
    </w:p>
    <w:p>
      <w:pPr>
        <w:spacing w:line="560" w:lineRule="exact"/>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特长生子基金评分要点</w:t>
      </w:r>
    </w:p>
    <w:tbl>
      <w:tblPr>
        <w:tblStyle w:val="4"/>
        <w:tblW w:w="9460" w:type="dxa"/>
        <w:tblInd w:w="0" w:type="dxa"/>
        <w:tblLayout w:type="autofit"/>
        <w:tblCellMar>
          <w:top w:w="0" w:type="dxa"/>
          <w:left w:w="108" w:type="dxa"/>
          <w:bottom w:w="0" w:type="dxa"/>
          <w:right w:w="108" w:type="dxa"/>
        </w:tblCellMar>
      </w:tblPr>
      <w:tblGrid>
        <w:gridCol w:w="1290"/>
        <w:gridCol w:w="1439"/>
        <w:gridCol w:w="6731"/>
      </w:tblGrid>
      <w:tr>
        <w:tblPrEx>
          <w:tblCellMar>
            <w:top w:w="0" w:type="dxa"/>
            <w:left w:w="108" w:type="dxa"/>
            <w:bottom w:w="0" w:type="dxa"/>
            <w:right w:w="108" w:type="dxa"/>
          </w:tblCellMar>
        </w:tblPrEx>
        <w:trPr>
          <w:trHeight w:val="226" w:hRule="atLeast"/>
        </w:trPr>
        <w:tc>
          <w:tcPr>
            <w:tcW w:w="1290" w:type="dxa"/>
            <w:tcBorders>
              <w:top w:val="single" w:color="auto" w:sz="4" w:space="0"/>
              <w:left w:val="single" w:color="auto" w:sz="4" w:space="0"/>
              <w:bottom w:val="single" w:color="auto" w:sz="4" w:space="0"/>
              <w:right w:val="single" w:color="auto" w:sz="4" w:space="0"/>
            </w:tcBorders>
            <w:shd w:val="clear" w:color="000000" w:fill="E7E6E6"/>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一级指标</w:t>
            </w:r>
          </w:p>
        </w:tc>
        <w:tc>
          <w:tcPr>
            <w:tcW w:w="1439" w:type="dxa"/>
            <w:tcBorders>
              <w:top w:val="single" w:color="auto" w:sz="4" w:space="0"/>
              <w:left w:val="nil"/>
              <w:bottom w:val="single" w:color="auto" w:sz="4" w:space="0"/>
              <w:right w:val="single" w:color="auto" w:sz="4" w:space="0"/>
            </w:tcBorders>
            <w:shd w:val="clear" w:color="000000" w:fill="E7E6E6"/>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二级指标</w:t>
            </w:r>
          </w:p>
        </w:tc>
        <w:tc>
          <w:tcPr>
            <w:tcW w:w="6731" w:type="dxa"/>
            <w:tcBorders>
              <w:top w:val="single" w:color="auto" w:sz="4" w:space="0"/>
              <w:left w:val="nil"/>
              <w:bottom w:val="single" w:color="auto" w:sz="4" w:space="0"/>
              <w:right w:val="single" w:color="auto" w:sz="4" w:space="0"/>
            </w:tcBorders>
            <w:shd w:val="clear" w:color="000000" w:fill="E7E6E6"/>
            <w:vAlign w:val="center"/>
          </w:tcPr>
          <w:p>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指标内容</w:t>
            </w:r>
          </w:p>
        </w:tc>
      </w:tr>
      <w:tr>
        <w:tblPrEx>
          <w:tblCellMar>
            <w:top w:w="0" w:type="dxa"/>
            <w:left w:w="108" w:type="dxa"/>
            <w:bottom w:w="0" w:type="dxa"/>
            <w:right w:w="108" w:type="dxa"/>
          </w:tblCellMar>
        </w:tblPrEx>
        <w:trPr>
          <w:trHeight w:val="683" w:hRule="atLeast"/>
        </w:trPr>
        <w:tc>
          <w:tcPr>
            <w:tcW w:w="12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机构实力</w:t>
            </w:r>
            <w:r>
              <w:rPr>
                <w:rFonts w:hint="eastAsia" w:ascii="宋体" w:hAnsi="宋体" w:eastAsia="宋体" w:cs="宋体"/>
                <w:kern w:val="0"/>
                <w:sz w:val="24"/>
                <w:szCs w:val="24"/>
              </w:rPr>
              <w:br w:type="textWrapping"/>
            </w:r>
            <w:r>
              <w:rPr>
                <w:rFonts w:hint="eastAsia" w:ascii="宋体" w:hAnsi="宋体" w:eastAsia="宋体" w:cs="宋体"/>
                <w:kern w:val="0"/>
                <w:sz w:val="24"/>
                <w:szCs w:val="24"/>
              </w:rPr>
              <w:t>（15分）</w:t>
            </w: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团队稳定</w:t>
            </w:r>
          </w:p>
        </w:tc>
        <w:tc>
          <w:tcPr>
            <w:tcW w:w="6731" w:type="dxa"/>
            <w:tcBorders>
              <w:top w:val="nil"/>
              <w:left w:val="nil"/>
              <w:bottom w:val="single" w:color="auto" w:sz="4" w:space="0"/>
              <w:right w:val="single" w:color="auto" w:sz="4" w:space="0"/>
            </w:tcBorders>
            <w:shd w:val="clear" w:color="auto" w:fill="auto"/>
            <w:vAlign w:val="center"/>
          </w:tcPr>
          <w:p>
            <w:pPr>
              <w:widowControl/>
              <w:numPr>
                <w:ilvl w:val="0"/>
                <w:numId w:val="1"/>
              </w:numPr>
              <w:jc w:val="left"/>
              <w:rPr>
                <w:rFonts w:ascii="宋体" w:hAnsi="宋体" w:eastAsia="宋体" w:cs="宋体"/>
                <w:kern w:val="0"/>
                <w:sz w:val="24"/>
                <w:szCs w:val="24"/>
              </w:rPr>
            </w:pPr>
            <w:r>
              <w:rPr>
                <w:rFonts w:hint="eastAsia" w:ascii="宋体" w:hAnsi="宋体" w:eastAsia="宋体" w:cs="宋体"/>
                <w:kern w:val="0"/>
                <w:sz w:val="24"/>
                <w:szCs w:val="24"/>
              </w:rPr>
              <w:t>每两个共事3年以上的合伙人组合数</w:t>
            </w:r>
            <w:r>
              <w:rPr>
                <w:rFonts w:hint="eastAsia" w:ascii="宋体" w:hAnsi="宋体" w:eastAsia="宋体" w:cs="宋体"/>
                <w:kern w:val="0"/>
                <w:sz w:val="24"/>
                <w:szCs w:val="24"/>
              </w:rPr>
              <w:br w:type="textWrapping"/>
            </w:r>
            <w:r>
              <w:rPr>
                <w:rFonts w:hint="eastAsia" w:ascii="宋体" w:hAnsi="宋体" w:eastAsia="宋体" w:cs="宋体"/>
                <w:kern w:val="0"/>
                <w:sz w:val="24"/>
                <w:szCs w:val="24"/>
              </w:rPr>
              <w:t>2.子基金核心管理团队成员在管理公司或GP持股比例</w:t>
            </w:r>
            <w:r>
              <w:rPr>
                <w:rFonts w:hint="eastAsia" w:ascii="宋体" w:hAnsi="宋体" w:eastAsia="宋体" w:cs="宋体"/>
                <w:kern w:val="0"/>
                <w:sz w:val="24"/>
                <w:szCs w:val="24"/>
              </w:rPr>
              <w:br w:type="textWrapping"/>
            </w:r>
            <w:r>
              <w:rPr>
                <w:rFonts w:hint="eastAsia" w:ascii="宋体" w:hAnsi="宋体" w:eastAsia="宋体" w:cs="宋体"/>
                <w:kern w:val="0"/>
                <w:sz w:val="24"/>
                <w:szCs w:val="24"/>
              </w:rPr>
              <w:t>3.提供了明确的激励约束机制和跟投机制的</w:t>
            </w:r>
          </w:p>
          <w:p>
            <w:pPr>
              <w:widowControl/>
              <w:numPr>
                <w:ilvl w:val="255"/>
                <w:numId w:val="0"/>
              </w:numPr>
              <w:jc w:val="left"/>
              <w:rPr>
                <w:rFonts w:ascii="宋体" w:hAnsi="宋体" w:eastAsia="宋体" w:cs="宋体"/>
                <w:kern w:val="0"/>
                <w:sz w:val="24"/>
                <w:szCs w:val="24"/>
              </w:rPr>
            </w:pPr>
            <w:r>
              <w:rPr>
                <w:rFonts w:hint="eastAsia" w:ascii="宋体" w:hAnsi="宋体" w:eastAsia="宋体" w:cs="宋体"/>
                <w:kern w:val="0"/>
                <w:sz w:val="24"/>
                <w:szCs w:val="24"/>
              </w:rPr>
              <w:t>4.过去5年离职的合伙人、MD、ED以上的人数</w:t>
            </w:r>
          </w:p>
        </w:tc>
      </w:tr>
      <w:tr>
        <w:tblPrEx>
          <w:tblCellMar>
            <w:top w:w="0" w:type="dxa"/>
            <w:left w:w="108" w:type="dxa"/>
            <w:bottom w:w="0" w:type="dxa"/>
            <w:right w:w="108" w:type="dxa"/>
          </w:tblCellMar>
        </w:tblPrEx>
        <w:trPr>
          <w:trHeight w:val="2504" w:hRule="atLeast"/>
        </w:trPr>
        <w:tc>
          <w:tcPr>
            <w:tcW w:w="12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投资项目来源</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管理机构与以下机构签署了战略合作协议或成立合作平台（提供股权关系证明，双方合计占股需大于50%）：</w:t>
            </w:r>
            <w:r>
              <w:rPr>
                <w:rFonts w:hint="eastAsia" w:ascii="宋体" w:hAnsi="宋体" w:eastAsia="宋体" w:cs="宋体"/>
                <w:kern w:val="0"/>
                <w:sz w:val="24"/>
                <w:szCs w:val="24"/>
              </w:rPr>
              <w:br w:type="textWrapping"/>
            </w:r>
            <w:r>
              <w:rPr>
                <w:rFonts w:hint="eastAsia" w:ascii="宋体" w:hAnsi="宋体" w:eastAsia="宋体" w:cs="宋体"/>
                <w:kern w:val="0"/>
                <w:sz w:val="24"/>
                <w:szCs w:val="24"/>
              </w:rPr>
              <w:t>1.股权投资管理机构（在清科、投中最近一年综合排名前50）；</w:t>
            </w:r>
            <w:r>
              <w:rPr>
                <w:rFonts w:hint="eastAsia" w:ascii="宋体" w:hAnsi="宋体" w:eastAsia="宋体" w:cs="宋体"/>
                <w:kern w:val="0"/>
                <w:sz w:val="24"/>
                <w:szCs w:val="24"/>
              </w:rPr>
              <w:br w:type="textWrapping"/>
            </w:r>
            <w:r>
              <w:rPr>
                <w:rFonts w:hint="eastAsia" w:ascii="宋体" w:hAnsi="宋体" w:eastAsia="宋体" w:cs="宋体"/>
                <w:kern w:val="0"/>
                <w:sz w:val="24"/>
                <w:szCs w:val="24"/>
              </w:rPr>
              <w:t>2.上市及行业龙头企业；</w:t>
            </w:r>
            <w:r>
              <w:rPr>
                <w:rFonts w:hint="eastAsia" w:ascii="宋体" w:hAnsi="宋体" w:eastAsia="宋体" w:cs="宋体"/>
                <w:kern w:val="0"/>
                <w:sz w:val="24"/>
                <w:szCs w:val="24"/>
              </w:rPr>
              <w:br w:type="textWrapping"/>
            </w:r>
            <w:r>
              <w:rPr>
                <w:rFonts w:hint="eastAsia" w:ascii="宋体" w:hAnsi="宋体" w:eastAsia="宋体" w:cs="宋体"/>
                <w:kern w:val="0"/>
                <w:sz w:val="24"/>
                <w:szCs w:val="24"/>
              </w:rPr>
              <w:t>3.技术源头单位（包含国内外知名高等院校、科研院所、重点实验室）；</w:t>
            </w:r>
            <w:r>
              <w:rPr>
                <w:rFonts w:hint="eastAsia" w:ascii="宋体" w:hAnsi="宋体" w:eastAsia="宋体" w:cs="宋体"/>
                <w:kern w:val="0"/>
                <w:sz w:val="24"/>
                <w:szCs w:val="24"/>
              </w:rPr>
              <w:br w:type="textWrapping"/>
            </w:r>
            <w:r>
              <w:rPr>
                <w:rFonts w:hint="eastAsia" w:ascii="宋体" w:hAnsi="宋体" w:eastAsia="宋体" w:cs="宋体"/>
                <w:kern w:val="0"/>
                <w:sz w:val="24"/>
                <w:szCs w:val="24"/>
              </w:rPr>
              <w:t>4.国际知名技术转移机构；</w:t>
            </w:r>
            <w:r>
              <w:rPr>
                <w:rFonts w:hint="eastAsia" w:ascii="宋体" w:hAnsi="宋体" w:eastAsia="宋体" w:cs="宋体"/>
                <w:kern w:val="0"/>
                <w:sz w:val="24"/>
                <w:szCs w:val="24"/>
              </w:rPr>
              <w:br w:type="textWrapping"/>
            </w:r>
            <w:r>
              <w:rPr>
                <w:rFonts w:hint="eastAsia" w:ascii="宋体" w:hAnsi="宋体" w:eastAsia="宋体" w:cs="宋体"/>
                <w:kern w:val="0"/>
                <w:sz w:val="24"/>
                <w:szCs w:val="24"/>
              </w:rPr>
              <w:t>5.国家级科技企业孵化器；</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以上合作机构需与子基金主投方向一致。申请机构需明确合作方所属类别。</w:t>
            </w:r>
          </w:p>
        </w:tc>
      </w:tr>
      <w:tr>
        <w:tblPrEx>
          <w:tblCellMar>
            <w:top w:w="0" w:type="dxa"/>
            <w:left w:w="108" w:type="dxa"/>
            <w:bottom w:w="0" w:type="dxa"/>
            <w:right w:w="108" w:type="dxa"/>
          </w:tblCellMar>
        </w:tblPrEx>
        <w:trPr>
          <w:trHeight w:val="1138" w:hRule="atLeast"/>
        </w:trPr>
        <w:tc>
          <w:tcPr>
            <w:tcW w:w="12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返投能力</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子基金管理机构</w:t>
            </w:r>
            <w:r>
              <w:rPr>
                <w:rFonts w:hint="eastAsia" w:ascii="宋体" w:hAnsi="宋体" w:eastAsia="宋体" w:cs="宋体"/>
                <w:b/>
                <w:bCs/>
                <w:kern w:val="0"/>
                <w:sz w:val="24"/>
                <w:szCs w:val="24"/>
              </w:rPr>
              <w:t>（或关键人士或投委会成员原所在机构）</w:t>
            </w:r>
            <w:r>
              <w:rPr>
                <w:rFonts w:hint="eastAsia" w:ascii="宋体" w:hAnsi="宋体" w:eastAsia="宋体" w:cs="宋体"/>
                <w:kern w:val="0"/>
                <w:sz w:val="24"/>
                <w:szCs w:val="24"/>
              </w:rPr>
              <w:t>与地方引导基金合作经历：</w:t>
            </w:r>
            <w:r>
              <w:rPr>
                <w:rFonts w:hint="eastAsia" w:ascii="宋体" w:hAnsi="宋体" w:eastAsia="宋体" w:cs="宋体"/>
                <w:kern w:val="0"/>
                <w:sz w:val="24"/>
                <w:szCs w:val="24"/>
              </w:rPr>
              <w:br w:type="textWrapping"/>
            </w:r>
            <w:r>
              <w:rPr>
                <w:rFonts w:hint="eastAsia" w:ascii="宋体" w:hAnsi="宋体" w:eastAsia="宋体" w:cs="宋体"/>
                <w:kern w:val="0"/>
                <w:sz w:val="24"/>
                <w:szCs w:val="24"/>
              </w:rPr>
              <w:t>1.返投完成达到1.5倍的基金数</w:t>
            </w:r>
            <w:r>
              <w:rPr>
                <w:rFonts w:hint="eastAsia" w:ascii="宋体" w:hAnsi="宋体" w:eastAsia="宋体" w:cs="宋体"/>
                <w:kern w:val="0"/>
                <w:sz w:val="24"/>
                <w:szCs w:val="24"/>
              </w:rPr>
              <w:br w:type="textWrapping"/>
            </w:r>
            <w:r>
              <w:rPr>
                <w:rFonts w:hint="eastAsia" w:ascii="宋体" w:hAnsi="宋体" w:eastAsia="宋体" w:cs="宋体"/>
                <w:kern w:val="0"/>
                <w:sz w:val="24"/>
                <w:szCs w:val="24"/>
              </w:rPr>
              <w:t>2.和同一地方政府合作基金数量</w:t>
            </w:r>
            <w:r>
              <w:rPr>
                <w:rFonts w:hint="eastAsia" w:ascii="宋体" w:hAnsi="宋体" w:eastAsia="宋体" w:cs="宋体"/>
                <w:kern w:val="0"/>
                <w:sz w:val="24"/>
                <w:szCs w:val="24"/>
              </w:rPr>
              <w:br w:type="textWrapping"/>
            </w:r>
            <w:r>
              <w:rPr>
                <w:rFonts w:hint="eastAsia" w:ascii="宋体" w:hAnsi="宋体" w:eastAsia="宋体" w:cs="宋体"/>
                <w:kern w:val="0"/>
                <w:sz w:val="24"/>
                <w:szCs w:val="24"/>
              </w:rPr>
              <w:t>3.子基金管理机构为地方招引项目案例数量及简介。</w:t>
            </w:r>
          </w:p>
        </w:tc>
      </w:tr>
      <w:tr>
        <w:tblPrEx>
          <w:tblCellMar>
            <w:top w:w="0" w:type="dxa"/>
            <w:left w:w="108" w:type="dxa"/>
            <w:bottom w:w="0" w:type="dxa"/>
            <w:right w:w="108" w:type="dxa"/>
          </w:tblCellMar>
        </w:tblPrEx>
        <w:trPr>
          <w:trHeight w:val="910" w:hRule="atLeast"/>
        </w:trPr>
        <w:tc>
          <w:tcPr>
            <w:tcW w:w="1290"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团队能力</w:t>
            </w:r>
            <w:r>
              <w:rPr>
                <w:rFonts w:hint="eastAsia" w:ascii="宋体" w:hAnsi="宋体" w:eastAsia="宋体" w:cs="宋体"/>
                <w:kern w:val="0"/>
                <w:sz w:val="24"/>
                <w:szCs w:val="24"/>
              </w:rPr>
              <w:br w:type="textWrapping"/>
            </w:r>
            <w:r>
              <w:rPr>
                <w:rFonts w:hint="eastAsia" w:ascii="宋体" w:hAnsi="宋体" w:eastAsia="宋体" w:cs="宋体"/>
                <w:kern w:val="0"/>
                <w:sz w:val="24"/>
                <w:szCs w:val="24"/>
              </w:rPr>
              <w:t>（32分）</w:t>
            </w: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投资能力匹配度</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本基金投资期内管理机构年度计划投资项目个数和金额，过去5年平均每年实际投资项目个数和金额</w:t>
            </w:r>
          </w:p>
        </w:tc>
      </w:tr>
      <w:tr>
        <w:tblPrEx>
          <w:tblCellMar>
            <w:top w:w="0" w:type="dxa"/>
            <w:left w:w="108" w:type="dxa"/>
            <w:bottom w:w="0" w:type="dxa"/>
            <w:right w:w="108" w:type="dxa"/>
          </w:tblCellMar>
        </w:tblPrEx>
        <w:trPr>
          <w:trHeight w:val="910" w:hRule="atLeast"/>
        </w:trPr>
        <w:tc>
          <w:tcPr>
            <w:tcW w:w="1290" w:type="dxa"/>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领投能力</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1.作为首两轮外部机构投资者的项目数量</w:t>
            </w:r>
          </w:p>
          <w:p>
            <w:pPr>
              <w:widowControl/>
              <w:jc w:val="left"/>
              <w:rPr>
                <w:rFonts w:ascii="宋体" w:hAnsi="宋体" w:eastAsia="宋体" w:cs="宋体"/>
                <w:kern w:val="0"/>
                <w:sz w:val="24"/>
                <w:szCs w:val="24"/>
              </w:rPr>
            </w:pPr>
            <w:r>
              <w:rPr>
                <w:rFonts w:hint="eastAsia" w:ascii="宋体" w:hAnsi="宋体" w:eastAsia="宋体" w:cs="宋体"/>
                <w:kern w:val="0"/>
                <w:sz w:val="24"/>
                <w:szCs w:val="24"/>
              </w:rPr>
              <w:t>2.作为领投方项目占比情况</w:t>
            </w:r>
          </w:p>
        </w:tc>
      </w:tr>
      <w:tr>
        <w:tblPrEx>
          <w:tblCellMar>
            <w:top w:w="0" w:type="dxa"/>
            <w:left w:w="108" w:type="dxa"/>
            <w:bottom w:w="0" w:type="dxa"/>
            <w:right w:w="108" w:type="dxa"/>
          </w:tblCellMar>
        </w:tblPrEx>
        <w:trPr>
          <w:trHeight w:val="910" w:hRule="atLeast"/>
        </w:trPr>
        <w:tc>
          <w:tcPr>
            <w:tcW w:w="1290" w:type="dxa"/>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投资背景</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w:t>
            </w:r>
            <w:r>
              <w:rPr>
                <w:rFonts w:hint="eastAsia"/>
              </w:rPr>
              <w:t xml:space="preserve"> </w:t>
            </w:r>
            <w:r>
              <w:rPr>
                <w:rFonts w:hint="eastAsia" w:ascii="宋体" w:hAnsi="宋体" w:eastAsia="宋体" w:cs="宋体"/>
                <w:kern w:val="0"/>
                <w:sz w:val="24"/>
                <w:szCs w:val="24"/>
              </w:rPr>
              <w:t>子基金核心管理团队成员个数</w:t>
            </w:r>
            <w:r>
              <w:rPr>
                <w:rFonts w:hint="eastAsia" w:ascii="宋体" w:hAnsi="宋体" w:eastAsia="宋体" w:cs="宋体"/>
                <w:kern w:val="0"/>
                <w:sz w:val="24"/>
                <w:szCs w:val="24"/>
              </w:rPr>
              <w:br w:type="textWrapping"/>
            </w:r>
            <w:r>
              <w:rPr>
                <w:rFonts w:hint="eastAsia" w:ascii="宋体" w:hAnsi="宋体" w:eastAsia="宋体" w:cs="宋体"/>
                <w:kern w:val="0"/>
                <w:sz w:val="24"/>
                <w:szCs w:val="24"/>
              </w:rPr>
              <w:t>2.</w:t>
            </w:r>
            <w:r>
              <w:rPr>
                <w:rFonts w:hint="eastAsia"/>
              </w:rPr>
              <w:t xml:space="preserve"> </w:t>
            </w:r>
            <w:r>
              <w:rPr>
                <w:rFonts w:hint="eastAsia" w:ascii="宋体" w:hAnsi="宋体" w:eastAsia="宋体" w:cs="宋体"/>
                <w:kern w:val="0"/>
                <w:sz w:val="24"/>
                <w:szCs w:val="24"/>
              </w:rPr>
              <w:t>子基金核心管理团队成员中有近5年获得清科、投中、财富等投资家排名前30的</w:t>
            </w:r>
          </w:p>
        </w:tc>
      </w:tr>
      <w:tr>
        <w:tblPrEx>
          <w:tblCellMar>
            <w:top w:w="0" w:type="dxa"/>
            <w:left w:w="108" w:type="dxa"/>
            <w:bottom w:w="0" w:type="dxa"/>
            <w:right w:w="108" w:type="dxa"/>
          </w:tblCellMar>
        </w:tblPrEx>
        <w:trPr>
          <w:trHeight w:val="454" w:hRule="atLeast"/>
        </w:trPr>
        <w:tc>
          <w:tcPr>
            <w:tcW w:w="1290" w:type="dxa"/>
            <w:vMerge w:val="continue"/>
            <w:tcBorders>
              <w:left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投资经验</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子基金配备有3名及以上具备3年及以上早期项目投资经验或申报合作方向相关行业经验的子基金核心管理团队成员的数量</w:t>
            </w:r>
          </w:p>
        </w:tc>
      </w:tr>
      <w:tr>
        <w:tblPrEx>
          <w:tblCellMar>
            <w:top w:w="0" w:type="dxa"/>
            <w:left w:w="108" w:type="dxa"/>
            <w:bottom w:w="0" w:type="dxa"/>
            <w:right w:w="108" w:type="dxa"/>
          </w:tblCellMar>
        </w:tblPrEx>
        <w:trPr>
          <w:trHeight w:val="454" w:hRule="atLeast"/>
        </w:trPr>
        <w:tc>
          <w:tcPr>
            <w:tcW w:w="1290" w:type="dxa"/>
            <w:vMerge w:val="continue"/>
            <w:tcBorders>
              <w:left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子基金核心管理团队成员累计参与管理的创业投资或天使投资基金数量</w:t>
            </w:r>
          </w:p>
        </w:tc>
      </w:tr>
      <w:tr>
        <w:tblPrEx>
          <w:tblCellMar>
            <w:top w:w="0" w:type="dxa"/>
            <w:left w:w="108" w:type="dxa"/>
            <w:bottom w:w="0" w:type="dxa"/>
            <w:right w:w="108" w:type="dxa"/>
          </w:tblCellMar>
        </w:tblPrEx>
        <w:trPr>
          <w:trHeight w:val="910" w:hRule="atLeast"/>
        </w:trPr>
        <w:tc>
          <w:tcPr>
            <w:tcW w:w="1290" w:type="dxa"/>
            <w:vMerge w:val="continue"/>
            <w:tcBorders>
              <w:left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w:t>
            </w:r>
            <w:r>
              <w:rPr>
                <w:rFonts w:hint="eastAsia"/>
              </w:rPr>
              <w:t xml:space="preserve"> </w:t>
            </w:r>
            <w:r>
              <w:rPr>
                <w:rFonts w:hint="eastAsia" w:ascii="宋体" w:hAnsi="宋体" w:eastAsia="宋体" w:cs="宋体"/>
                <w:kern w:val="0"/>
                <w:sz w:val="24"/>
                <w:szCs w:val="24"/>
              </w:rPr>
              <w:t>子基金核心管理团队成员累计管理天使基金及创业投资基金数量及实缴规模</w:t>
            </w:r>
            <w:r>
              <w:rPr>
                <w:rFonts w:hint="eastAsia" w:ascii="宋体" w:hAnsi="宋体" w:eastAsia="宋体" w:cs="宋体"/>
                <w:kern w:val="0"/>
                <w:sz w:val="24"/>
                <w:szCs w:val="24"/>
              </w:rPr>
              <w:br w:type="textWrapping"/>
            </w:r>
            <w:r>
              <w:rPr>
                <w:rFonts w:hint="eastAsia" w:ascii="宋体" w:hAnsi="宋体" w:eastAsia="宋体" w:cs="宋体"/>
                <w:kern w:val="0"/>
                <w:sz w:val="24"/>
                <w:szCs w:val="24"/>
              </w:rPr>
              <w:t>2.</w:t>
            </w:r>
            <w:r>
              <w:rPr>
                <w:rFonts w:hint="eastAsia"/>
              </w:rPr>
              <w:t xml:space="preserve"> </w:t>
            </w:r>
            <w:r>
              <w:rPr>
                <w:rFonts w:hint="eastAsia" w:ascii="宋体" w:hAnsi="宋体" w:eastAsia="宋体" w:cs="宋体"/>
                <w:kern w:val="0"/>
                <w:sz w:val="24"/>
                <w:szCs w:val="24"/>
              </w:rPr>
              <w:t>子基金核心管理团队成员以自有资金及管理的基金累计投资天使类项目个数及金额</w:t>
            </w:r>
          </w:p>
        </w:tc>
      </w:tr>
      <w:tr>
        <w:tblPrEx>
          <w:tblCellMar>
            <w:top w:w="0" w:type="dxa"/>
            <w:left w:w="108" w:type="dxa"/>
            <w:bottom w:w="0" w:type="dxa"/>
            <w:right w:w="108" w:type="dxa"/>
          </w:tblCellMar>
        </w:tblPrEx>
        <w:trPr>
          <w:trHeight w:val="454" w:hRule="atLeast"/>
        </w:trPr>
        <w:tc>
          <w:tcPr>
            <w:tcW w:w="1290" w:type="dxa"/>
            <w:vMerge w:val="continue"/>
            <w:tcBorders>
              <w:left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投资业绩</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子基金核心管理团队成员主导投资项目成功上市的、被上市公司并购的天使类项目数量</w:t>
            </w:r>
          </w:p>
        </w:tc>
      </w:tr>
      <w:tr>
        <w:tblPrEx>
          <w:tblCellMar>
            <w:top w:w="0" w:type="dxa"/>
            <w:left w:w="108" w:type="dxa"/>
            <w:bottom w:w="0" w:type="dxa"/>
            <w:right w:w="108" w:type="dxa"/>
          </w:tblCellMar>
        </w:tblPrEx>
        <w:trPr>
          <w:trHeight w:val="454" w:hRule="atLeast"/>
        </w:trPr>
        <w:tc>
          <w:tcPr>
            <w:tcW w:w="1290" w:type="dxa"/>
            <w:vMerge w:val="continue"/>
            <w:tcBorders>
              <w:left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已投天使类项目获得后续轮融资的项目比率</w:t>
            </w:r>
          </w:p>
        </w:tc>
      </w:tr>
      <w:tr>
        <w:tblPrEx>
          <w:tblCellMar>
            <w:top w:w="0" w:type="dxa"/>
            <w:left w:w="108" w:type="dxa"/>
            <w:bottom w:w="0" w:type="dxa"/>
            <w:right w:w="108" w:type="dxa"/>
          </w:tblCellMar>
        </w:tblPrEx>
        <w:trPr>
          <w:trHeight w:val="454" w:hRule="atLeast"/>
        </w:trPr>
        <w:tc>
          <w:tcPr>
            <w:tcW w:w="1290" w:type="dxa"/>
            <w:vMerge w:val="continue"/>
            <w:tcBorders>
              <w:left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子基金核心管理团队成员参与管理的基金，年均DPI（DPI/基金存续时间）达到0.125的基金数量</w:t>
            </w:r>
          </w:p>
        </w:tc>
      </w:tr>
      <w:tr>
        <w:tblPrEx>
          <w:tblCellMar>
            <w:top w:w="0" w:type="dxa"/>
            <w:left w:w="108" w:type="dxa"/>
            <w:bottom w:w="0" w:type="dxa"/>
            <w:right w:w="108" w:type="dxa"/>
          </w:tblCellMar>
        </w:tblPrEx>
        <w:trPr>
          <w:trHeight w:val="226" w:hRule="atLeast"/>
        </w:trPr>
        <w:tc>
          <w:tcPr>
            <w:tcW w:w="1290" w:type="dxa"/>
            <w:vMerge w:val="continue"/>
            <w:tcBorders>
              <w:left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vMerge w:val="continue"/>
            <w:tcBorders>
              <w:left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子基金核心管理团队成员实施的投资项目账面回报</w:t>
            </w:r>
          </w:p>
        </w:tc>
      </w:tr>
      <w:tr>
        <w:tblPrEx>
          <w:tblCellMar>
            <w:top w:w="0" w:type="dxa"/>
            <w:left w:w="108" w:type="dxa"/>
            <w:bottom w:w="0" w:type="dxa"/>
            <w:right w:w="108" w:type="dxa"/>
          </w:tblCellMar>
        </w:tblPrEx>
        <w:trPr>
          <w:trHeight w:val="226" w:hRule="atLeast"/>
        </w:trPr>
        <w:tc>
          <w:tcPr>
            <w:tcW w:w="1290" w:type="dxa"/>
            <w:vMerge w:val="continue"/>
            <w:tcBorders>
              <w:left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vMerge w:val="continue"/>
            <w:tcBorders>
              <w:left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子基金核心管理团队成员退出项目回收金额与主导投资项目投资金额</w:t>
            </w:r>
          </w:p>
        </w:tc>
      </w:tr>
      <w:tr>
        <w:tblPrEx>
          <w:tblCellMar>
            <w:top w:w="0" w:type="dxa"/>
            <w:left w:w="108" w:type="dxa"/>
            <w:bottom w:w="0" w:type="dxa"/>
            <w:right w:w="108" w:type="dxa"/>
          </w:tblCellMar>
        </w:tblPrEx>
        <w:trPr>
          <w:trHeight w:val="226" w:hRule="atLeast"/>
        </w:trPr>
        <w:tc>
          <w:tcPr>
            <w:tcW w:w="1290" w:type="dxa"/>
            <w:vMerge w:val="continue"/>
            <w:tcBorders>
              <w:left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vMerge w:val="continue"/>
            <w:tcBorders>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子基金核心管理团队成员参与管理每支基金netIRR和IRR</w:t>
            </w:r>
          </w:p>
        </w:tc>
      </w:tr>
      <w:tr>
        <w:tblPrEx>
          <w:tblCellMar>
            <w:top w:w="0" w:type="dxa"/>
            <w:left w:w="108" w:type="dxa"/>
            <w:bottom w:w="0" w:type="dxa"/>
            <w:right w:w="108" w:type="dxa"/>
          </w:tblCellMar>
        </w:tblPrEx>
        <w:trPr>
          <w:trHeight w:val="454" w:hRule="atLeast"/>
        </w:trPr>
        <w:tc>
          <w:tcPr>
            <w:tcW w:w="1290" w:type="dxa"/>
            <w:vMerge w:val="continue"/>
            <w:tcBorders>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风控能力</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1.管理机构风控负责人从事风控至少3年工作经验2.风控负责人有法律职业资格或注册会计师资格</w:t>
            </w:r>
          </w:p>
        </w:tc>
      </w:tr>
      <w:tr>
        <w:tblPrEx>
          <w:tblCellMar>
            <w:top w:w="0" w:type="dxa"/>
            <w:left w:w="108" w:type="dxa"/>
            <w:bottom w:w="0" w:type="dxa"/>
            <w:right w:w="108" w:type="dxa"/>
          </w:tblCellMar>
        </w:tblPrEx>
        <w:trPr>
          <w:trHeight w:val="910" w:hRule="atLeast"/>
        </w:trPr>
        <w:tc>
          <w:tcPr>
            <w:tcW w:w="129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赛道专业性（30分）</w:t>
            </w: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专业背景</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w:t>
            </w:r>
            <w:r>
              <w:rPr>
                <w:rFonts w:hint="eastAsia"/>
              </w:rPr>
              <w:t xml:space="preserve"> </w:t>
            </w:r>
            <w:r>
              <w:rPr>
                <w:rFonts w:hint="eastAsia" w:ascii="宋体" w:hAnsi="宋体" w:eastAsia="宋体" w:cs="宋体"/>
                <w:kern w:val="0"/>
                <w:sz w:val="24"/>
                <w:szCs w:val="24"/>
              </w:rPr>
              <w:t>子基金核心管理团队成员中在申报合作领域上市公司、龙头企业担任过高级管理人员的人数。</w:t>
            </w:r>
            <w:r>
              <w:rPr>
                <w:rFonts w:hint="eastAsia" w:ascii="宋体" w:hAnsi="宋体" w:eastAsia="宋体" w:cs="宋体"/>
                <w:kern w:val="0"/>
                <w:sz w:val="24"/>
                <w:szCs w:val="24"/>
              </w:rPr>
              <w:br w:type="textWrapping"/>
            </w:r>
            <w:r>
              <w:rPr>
                <w:rFonts w:hint="eastAsia" w:ascii="宋体" w:hAnsi="宋体" w:eastAsia="宋体" w:cs="宋体"/>
                <w:kern w:val="0"/>
                <w:sz w:val="24"/>
                <w:szCs w:val="24"/>
              </w:rPr>
              <w:t>2.</w:t>
            </w:r>
            <w:r>
              <w:rPr>
                <w:rFonts w:hint="eastAsia"/>
              </w:rPr>
              <w:t xml:space="preserve"> </w:t>
            </w:r>
            <w:r>
              <w:rPr>
                <w:rFonts w:hint="eastAsia" w:ascii="宋体" w:hAnsi="宋体" w:eastAsia="宋体" w:cs="宋体"/>
                <w:kern w:val="0"/>
                <w:sz w:val="24"/>
                <w:szCs w:val="24"/>
              </w:rPr>
              <w:t>子基金核心管理团队成员中有申报合作方向学科背景的人数。</w:t>
            </w:r>
          </w:p>
        </w:tc>
      </w:tr>
      <w:tr>
        <w:tblPrEx>
          <w:tblCellMar>
            <w:top w:w="0" w:type="dxa"/>
            <w:left w:w="108" w:type="dxa"/>
            <w:bottom w:w="0" w:type="dxa"/>
            <w:right w:w="108" w:type="dxa"/>
          </w:tblCellMar>
        </w:tblPrEx>
        <w:trPr>
          <w:trHeight w:val="683" w:hRule="atLeast"/>
        </w:trPr>
        <w:tc>
          <w:tcPr>
            <w:tcW w:w="129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投资数量</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w:t>
            </w:r>
            <w:r>
              <w:rPr>
                <w:rFonts w:hint="eastAsia"/>
              </w:rPr>
              <w:t xml:space="preserve"> </w:t>
            </w:r>
            <w:r>
              <w:rPr>
                <w:rFonts w:hint="eastAsia" w:ascii="宋体" w:hAnsi="宋体" w:eastAsia="宋体" w:cs="宋体"/>
                <w:kern w:val="0"/>
                <w:sz w:val="24"/>
                <w:szCs w:val="24"/>
              </w:rPr>
              <w:t>子基金核心管理团队成员投资申报合作领域项目个数</w:t>
            </w:r>
            <w:r>
              <w:rPr>
                <w:rFonts w:hint="eastAsia" w:ascii="宋体" w:hAnsi="宋体" w:eastAsia="宋体" w:cs="宋体"/>
                <w:kern w:val="0"/>
                <w:sz w:val="24"/>
                <w:szCs w:val="24"/>
              </w:rPr>
              <w:br w:type="textWrapping"/>
            </w:r>
            <w:r>
              <w:rPr>
                <w:rFonts w:hint="eastAsia" w:ascii="宋体" w:hAnsi="宋体" w:eastAsia="宋体" w:cs="宋体"/>
                <w:kern w:val="0"/>
                <w:sz w:val="24"/>
                <w:szCs w:val="24"/>
              </w:rPr>
              <w:t>2.</w:t>
            </w:r>
            <w:r>
              <w:rPr>
                <w:rFonts w:hint="eastAsia"/>
              </w:rPr>
              <w:t xml:space="preserve"> </w:t>
            </w:r>
            <w:r>
              <w:rPr>
                <w:rFonts w:hint="eastAsia" w:ascii="宋体" w:hAnsi="宋体" w:eastAsia="宋体" w:cs="宋体"/>
                <w:kern w:val="0"/>
                <w:sz w:val="24"/>
                <w:szCs w:val="24"/>
              </w:rPr>
              <w:t>子基金核心管理团队成员投资申报合作领域项目金额</w:t>
            </w:r>
            <w:r>
              <w:rPr>
                <w:rFonts w:hint="eastAsia" w:ascii="宋体" w:hAnsi="宋体" w:eastAsia="宋体" w:cs="宋体"/>
                <w:kern w:val="0"/>
                <w:sz w:val="24"/>
                <w:szCs w:val="24"/>
              </w:rPr>
              <w:br w:type="textWrapping"/>
            </w:r>
            <w:r>
              <w:rPr>
                <w:rFonts w:hint="eastAsia" w:ascii="宋体" w:hAnsi="宋体" w:eastAsia="宋体" w:cs="宋体"/>
                <w:kern w:val="0"/>
                <w:sz w:val="24"/>
                <w:szCs w:val="24"/>
              </w:rPr>
              <w:t>3.</w:t>
            </w:r>
            <w:r>
              <w:rPr>
                <w:rFonts w:hint="eastAsia"/>
              </w:rPr>
              <w:t xml:space="preserve"> </w:t>
            </w:r>
            <w:r>
              <w:rPr>
                <w:rFonts w:hint="eastAsia" w:ascii="宋体" w:hAnsi="宋体" w:eastAsia="宋体" w:cs="宋体"/>
                <w:kern w:val="0"/>
                <w:sz w:val="24"/>
                <w:szCs w:val="24"/>
              </w:rPr>
              <w:t>子基金核心管理团队成员投资的申报合作领域项目数量</w:t>
            </w:r>
          </w:p>
        </w:tc>
      </w:tr>
      <w:tr>
        <w:tblPrEx>
          <w:tblCellMar>
            <w:top w:w="0" w:type="dxa"/>
            <w:left w:w="108" w:type="dxa"/>
            <w:bottom w:w="0" w:type="dxa"/>
            <w:right w:w="108" w:type="dxa"/>
          </w:tblCellMar>
        </w:tblPrEx>
        <w:trPr>
          <w:trHeight w:val="1366" w:hRule="atLeast"/>
        </w:trPr>
        <w:tc>
          <w:tcPr>
            <w:tcW w:w="129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投资质量</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w:t>
            </w:r>
            <w:r>
              <w:rPr>
                <w:rFonts w:hint="eastAsia"/>
              </w:rPr>
              <w:t xml:space="preserve"> </w:t>
            </w:r>
            <w:r>
              <w:rPr>
                <w:rFonts w:hint="eastAsia" w:ascii="宋体" w:hAnsi="宋体" w:eastAsia="宋体" w:cs="宋体"/>
                <w:kern w:val="0"/>
                <w:sz w:val="24"/>
                <w:szCs w:val="24"/>
              </w:rPr>
              <w:t>子基金核心管理团队成员投资的申报合作领域项目获得后续融资的数量</w:t>
            </w:r>
            <w:r>
              <w:rPr>
                <w:rFonts w:hint="eastAsia" w:ascii="宋体" w:hAnsi="宋体" w:eastAsia="宋体" w:cs="宋体"/>
                <w:kern w:val="0"/>
                <w:sz w:val="24"/>
                <w:szCs w:val="24"/>
              </w:rPr>
              <w:br w:type="textWrapping"/>
            </w:r>
            <w:r>
              <w:rPr>
                <w:rFonts w:hint="eastAsia" w:ascii="宋体" w:hAnsi="宋体" w:eastAsia="宋体" w:cs="宋体"/>
                <w:kern w:val="0"/>
                <w:sz w:val="24"/>
                <w:szCs w:val="24"/>
              </w:rPr>
              <w:t>2.</w:t>
            </w:r>
            <w:r>
              <w:rPr>
                <w:rFonts w:hint="eastAsia"/>
              </w:rPr>
              <w:t xml:space="preserve"> </w:t>
            </w:r>
            <w:r>
              <w:rPr>
                <w:rFonts w:hint="eastAsia" w:ascii="宋体" w:hAnsi="宋体" w:eastAsia="宋体" w:cs="宋体"/>
                <w:kern w:val="0"/>
                <w:sz w:val="24"/>
                <w:szCs w:val="24"/>
              </w:rPr>
              <w:t>子基金核心管理团队成员投资的申报合作领域项目成功上市、成为独角兽企业、被上市公司并购的数量</w:t>
            </w:r>
            <w:r>
              <w:rPr>
                <w:rFonts w:hint="eastAsia" w:ascii="宋体" w:hAnsi="宋体" w:eastAsia="宋体" w:cs="宋体"/>
                <w:kern w:val="0"/>
                <w:sz w:val="24"/>
                <w:szCs w:val="24"/>
              </w:rPr>
              <w:br w:type="textWrapping"/>
            </w:r>
            <w:r>
              <w:rPr>
                <w:rFonts w:hint="eastAsia" w:ascii="宋体" w:hAnsi="宋体" w:eastAsia="宋体" w:cs="宋体"/>
                <w:kern w:val="0"/>
                <w:sz w:val="24"/>
                <w:szCs w:val="24"/>
              </w:rPr>
              <w:t>3.子基金管理机构作为领投方投资的申报合作领域项目成功上市、成为独角兽企业、被上市公司并购的数量</w:t>
            </w:r>
          </w:p>
        </w:tc>
      </w:tr>
      <w:tr>
        <w:tblPrEx>
          <w:tblCellMar>
            <w:top w:w="0" w:type="dxa"/>
            <w:left w:w="108" w:type="dxa"/>
            <w:bottom w:w="0" w:type="dxa"/>
            <w:right w:w="108" w:type="dxa"/>
          </w:tblCellMar>
        </w:tblPrEx>
        <w:trPr>
          <w:trHeight w:val="454" w:hRule="atLeast"/>
        </w:trPr>
        <w:tc>
          <w:tcPr>
            <w:tcW w:w="129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基金要素</w:t>
            </w:r>
            <w:r>
              <w:rPr>
                <w:rFonts w:hint="eastAsia" w:ascii="宋体" w:hAnsi="宋体" w:eastAsia="宋体" w:cs="宋体"/>
                <w:kern w:val="0"/>
                <w:sz w:val="24"/>
                <w:szCs w:val="24"/>
              </w:rPr>
              <w:br w:type="textWrapping"/>
            </w:r>
            <w:r>
              <w:rPr>
                <w:rFonts w:hint="eastAsia" w:ascii="宋体" w:hAnsi="宋体" w:eastAsia="宋体" w:cs="宋体"/>
                <w:kern w:val="0"/>
                <w:sz w:val="24"/>
                <w:szCs w:val="24"/>
              </w:rPr>
              <w:t>（13分）</w:t>
            </w: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募资进展</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子基金已募集资金规模（以提供出资意向函或出资确认函等证明材料的为准），提供的出资意向函在签署LPA时至少20%不能变动</w:t>
            </w:r>
          </w:p>
        </w:tc>
      </w:tr>
      <w:tr>
        <w:tblPrEx>
          <w:tblCellMar>
            <w:top w:w="0" w:type="dxa"/>
            <w:left w:w="108" w:type="dxa"/>
            <w:bottom w:w="0" w:type="dxa"/>
            <w:right w:w="108" w:type="dxa"/>
          </w:tblCellMar>
        </w:tblPrEx>
        <w:trPr>
          <w:trHeight w:val="2504" w:hRule="atLeast"/>
        </w:trPr>
        <w:tc>
          <w:tcPr>
            <w:tcW w:w="12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LP结构</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子基金拟出资LP中（需提供出资意向函或出资确认函证明材料）包括以下类型的：</w:t>
            </w:r>
            <w:r>
              <w:rPr>
                <w:rFonts w:hint="eastAsia" w:ascii="宋体" w:hAnsi="宋体" w:eastAsia="宋体" w:cs="宋体"/>
                <w:kern w:val="0"/>
                <w:sz w:val="24"/>
                <w:szCs w:val="24"/>
              </w:rPr>
              <w:br w:type="textWrapping"/>
            </w:r>
            <w:r>
              <w:rPr>
                <w:rFonts w:hint="eastAsia" w:ascii="宋体" w:hAnsi="宋体" w:eastAsia="宋体" w:cs="宋体"/>
                <w:kern w:val="0"/>
                <w:sz w:val="24"/>
                <w:szCs w:val="24"/>
              </w:rPr>
              <w:t>1.上市及行业龙头企业（与拟设基金投资方向一致）；</w:t>
            </w:r>
            <w:r>
              <w:rPr>
                <w:rFonts w:hint="eastAsia" w:ascii="宋体" w:hAnsi="宋体" w:eastAsia="宋体" w:cs="宋体"/>
                <w:kern w:val="0"/>
                <w:sz w:val="24"/>
                <w:szCs w:val="24"/>
              </w:rPr>
              <w:br w:type="textWrapping"/>
            </w:r>
            <w:r>
              <w:rPr>
                <w:rFonts w:hint="eastAsia" w:ascii="宋体" w:hAnsi="宋体" w:eastAsia="宋体" w:cs="宋体"/>
                <w:kern w:val="0"/>
                <w:sz w:val="24"/>
                <w:szCs w:val="24"/>
              </w:rPr>
              <w:t>2.技术源头单位；</w:t>
            </w:r>
            <w:r>
              <w:rPr>
                <w:rFonts w:hint="eastAsia" w:ascii="宋体" w:hAnsi="宋体" w:eastAsia="宋体" w:cs="宋体"/>
                <w:kern w:val="0"/>
                <w:sz w:val="24"/>
                <w:szCs w:val="24"/>
              </w:rPr>
              <w:br w:type="textWrapping"/>
            </w:r>
            <w:r>
              <w:rPr>
                <w:rFonts w:hint="eastAsia" w:ascii="宋体" w:hAnsi="宋体" w:eastAsia="宋体" w:cs="宋体"/>
                <w:kern w:val="0"/>
                <w:sz w:val="24"/>
                <w:szCs w:val="24"/>
              </w:rPr>
              <w:t>3.国际知名技术转移机构；</w:t>
            </w:r>
            <w:r>
              <w:rPr>
                <w:rFonts w:hint="eastAsia" w:ascii="宋体" w:hAnsi="宋体" w:eastAsia="宋体" w:cs="宋体"/>
                <w:kern w:val="0"/>
                <w:sz w:val="24"/>
                <w:szCs w:val="24"/>
              </w:rPr>
              <w:br w:type="textWrapping"/>
            </w:r>
            <w:r>
              <w:rPr>
                <w:rFonts w:hint="eastAsia" w:ascii="宋体" w:hAnsi="宋体" w:eastAsia="宋体" w:cs="宋体"/>
                <w:kern w:val="0"/>
                <w:sz w:val="24"/>
                <w:szCs w:val="24"/>
              </w:rPr>
              <w:t>4.国家级科技企业孵化器。</w:t>
            </w:r>
            <w:r>
              <w:rPr>
                <w:rFonts w:hint="eastAsia" w:ascii="宋体" w:hAnsi="宋体" w:eastAsia="宋体" w:cs="宋体"/>
                <w:kern w:val="0"/>
                <w:sz w:val="24"/>
                <w:szCs w:val="24"/>
              </w:rPr>
              <w:br w:type="textWrapping"/>
            </w:r>
            <w:r>
              <w:rPr>
                <w:rFonts w:hint="eastAsia" w:ascii="宋体" w:hAnsi="宋体" w:eastAsia="宋体" w:cs="宋体"/>
                <w:kern w:val="0"/>
                <w:sz w:val="24"/>
                <w:szCs w:val="24"/>
              </w:rPr>
              <w:t>5.知名榜单LP：投中（最佳母基金、最佳创业投资领域有限合伙人）、融中（最佳市场化母基金、最佳机构投资人、最佳险资LP、最佳券商母基金）、母基金研究中心（最佳国资市场化母基金、最佳外资母基金、最佳民营市场化母基金、最佳险资LP）等榜单上榜机构；</w:t>
            </w:r>
          </w:p>
        </w:tc>
      </w:tr>
      <w:tr>
        <w:tblPrEx>
          <w:tblCellMar>
            <w:top w:w="0" w:type="dxa"/>
            <w:left w:w="108" w:type="dxa"/>
            <w:bottom w:w="0" w:type="dxa"/>
            <w:right w:w="108" w:type="dxa"/>
          </w:tblCellMar>
        </w:tblPrEx>
        <w:trPr>
          <w:trHeight w:val="454" w:hRule="atLeast"/>
        </w:trPr>
        <w:tc>
          <w:tcPr>
            <w:tcW w:w="12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储备项目</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子基金储备的申报方向领域项目个数及拟投资总额（需具备完整要素）</w:t>
            </w:r>
          </w:p>
        </w:tc>
      </w:tr>
      <w:tr>
        <w:tblPrEx>
          <w:tblCellMar>
            <w:top w:w="0" w:type="dxa"/>
            <w:left w:w="108" w:type="dxa"/>
            <w:bottom w:w="0" w:type="dxa"/>
            <w:right w:w="108" w:type="dxa"/>
          </w:tblCellMar>
        </w:tblPrEx>
        <w:trPr>
          <w:trHeight w:val="226" w:hRule="atLeast"/>
        </w:trPr>
        <w:tc>
          <w:tcPr>
            <w:tcW w:w="12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团队出资</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GP或管理人及子基金核心管理团队成员在子基金的出资比例</w:t>
            </w:r>
          </w:p>
        </w:tc>
      </w:tr>
      <w:tr>
        <w:tblPrEx>
          <w:tblCellMar>
            <w:top w:w="0" w:type="dxa"/>
            <w:left w:w="108" w:type="dxa"/>
            <w:bottom w:w="0" w:type="dxa"/>
            <w:right w:w="108" w:type="dxa"/>
          </w:tblCellMar>
        </w:tblPrEx>
        <w:trPr>
          <w:trHeight w:val="910" w:hRule="atLeast"/>
        </w:trPr>
        <w:tc>
          <w:tcPr>
            <w:tcW w:w="129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方案有利程度</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1.母基金出资放大倍数</w:t>
            </w:r>
            <w:r>
              <w:rPr>
                <w:rFonts w:hint="eastAsia" w:ascii="宋体" w:hAnsi="宋体" w:eastAsia="宋体" w:cs="宋体"/>
                <w:kern w:val="0"/>
                <w:sz w:val="24"/>
                <w:szCs w:val="24"/>
              </w:rPr>
              <w:br w:type="textWrapping"/>
            </w:r>
            <w:r>
              <w:rPr>
                <w:rFonts w:hint="eastAsia" w:ascii="宋体" w:hAnsi="宋体" w:eastAsia="宋体" w:cs="宋体"/>
                <w:kern w:val="0"/>
                <w:sz w:val="24"/>
                <w:szCs w:val="24"/>
              </w:rPr>
              <w:t>2.投资期及退出期管理费收取标准</w:t>
            </w:r>
            <w:r>
              <w:rPr>
                <w:rFonts w:hint="eastAsia" w:ascii="宋体" w:hAnsi="宋体" w:eastAsia="宋体" w:cs="宋体"/>
                <w:kern w:val="0"/>
                <w:sz w:val="24"/>
                <w:szCs w:val="24"/>
              </w:rPr>
              <w:br w:type="textWrapping"/>
            </w:r>
            <w:r>
              <w:rPr>
                <w:rFonts w:hint="eastAsia" w:ascii="宋体" w:hAnsi="宋体" w:eastAsia="宋体" w:cs="宋体"/>
                <w:kern w:val="0"/>
                <w:sz w:val="24"/>
                <w:szCs w:val="24"/>
              </w:rPr>
              <w:t>3.收益分配</w:t>
            </w:r>
          </w:p>
        </w:tc>
      </w:tr>
      <w:tr>
        <w:tblPrEx>
          <w:tblCellMar>
            <w:top w:w="0" w:type="dxa"/>
            <w:left w:w="108" w:type="dxa"/>
            <w:bottom w:w="0" w:type="dxa"/>
            <w:right w:w="108" w:type="dxa"/>
          </w:tblCellMar>
        </w:tblPrEx>
        <w:trPr>
          <w:trHeight w:val="2732" w:hRule="atLeast"/>
        </w:trPr>
        <w:tc>
          <w:tcPr>
            <w:tcW w:w="129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本地活跃度</w:t>
            </w:r>
            <w:r>
              <w:rPr>
                <w:rFonts w:hint="eastAsia" w:ascii="宋体" w:hAnsi="宋体" w:eastAsia="宋体" w:cs="宋体"/>
                <w:kern w:val="0"/>
                <w:sz w:val="24"/>
                <w:szCs w:val="24"/>
              </w:rPr>
              <w:br w:type="textWrapping"/>
            </w:r>
            <w:r>
              <w:rPr>
                <w:rFonts w:hint="eastAsia" w:ascii="宋体" w:hAnsi="宋体" w:eastAsia="宋体" w:cs="宋体"/>
                <w:kern w:val="0"/>
                <w:sz w:val="24"/>
                <w:szCs w:val="24"/>
              </w:rPr>
              <w:t>（10分）</w:t>
            </w:r>
          </w:p>
        </w:tc>
        <w:tc>
          <w:tcPr>
            <w:tcW w:w="143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本地项目投资情况</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重点支持深耕本地、有投资本地项目业绩的基金，子基金管理机构管理基金（或子基金核心管理团队成员以自有资金或管理资金）过往曾投资注册地于成都高新区内项目</w:t>
            </w:r>
          </w:p>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226" w:hRule="atLeast"/>
        </w:trPr>
        <w:tc>
          <w:tcPr>
            <w:tcW w:w="946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合计分值</w:t>
            </w:r>
          </w:p>
        </w:tc>
      </w:tr>
      <w:tr>
        <w:tblPrEx>
          <w:tblCellMar>
            <w:top w:w="0" w:type="dxa"/>
            <w:left w:w="108" w:type="dxa"/>
            <w:bottom w:w="0" w:type="dxa"/>
            <w:right w:w="108" w:type="dxa"/>
          </w:tblCellMar>
        </w:tblPrEx>
        <w:trPr>
          <w:trHeight w:val="1366" w:hRule="atLeast"/>
        </w:trPr>
        <w:tc>
          <w:tcPr>
            <w:tcW w:w="1290" w:type="dxa"/>
            <w:vMerge w:val="restart"/>
            <w:tcBorders>
              <w:top w:val="nil"/>
              <w:left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加分项</w:t>
            </w:r>
          </w:p>
          <w:p>
            <w:pPr>
              <w:widowControl/>
              <w:jc w:val="center"/>
              <w:rPr>
                <w:rFonts w:ascii="宋体" w:hAnsi="宋体" w:eastAsia="宋体" w:cs="宋体"/>
                <w:kern w:val="0"/>
                <w:sz w:val="24"/>
                <w:szCs w:val="24"/>
              </w:rPr>
            </w:pPr>
            <w:r>
              <w:rPr>
                <w:rFonts w:hint="eastAsia" w:ascii="宋体" w:hAnsi="宋体" w:eastAsia="宋体" w:cs="宋体"/>
                <w:kern w:val="0"/>
                <w:sz w:val="24"/>
                <w:szCs w:val="24"/>
              </w:rPr>
              <w:t>（10分）</w:t>
            </w: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黑马机构</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对曾在</w:t>
            </w:r>
            <w:r>
              <w:rPr>
                <w:rFonts w:hint="eastAsia" w:ascii="宋体" w:hAnsi="宋体" w:eastAsia="宋体" w:cs="宋体"/>
                <w:b/>
                <w:bCs/>
                <w:kern w:val="0"/>
                <w:sz w:val="24"/>
                <w:szCs w:val="24"/>
              </w:rPr>
              <w:t>知名投资机构（按母基金办法的界定）担任合伙人</w:t>
            </w:r>
            <w:r>
              <w:rPr>
                <w:rFonts w:hint="eastAsia" w:ascii="宋体" w:hAnsi="宋体" w:eastAsia="宋体" w:cs="宋体"/>
                <w:kern w:val="0"/>
                <w:sz w:val="24"/>
                <w:szCs w:val="24"/>
              </w:rPr>
              <w:t>或</w:t>
            </w:r>
            <w:r>
              <w:rPr>
                <w:rFonts w:hint="eastAsia" w:ascii="宋体" w:hAnsi="宋体" w:eastAsia="宋体" w:cs="宋体"/>
                <w:b/>
                <w:bCs/>
                <w:kern w:val="0"/>
                <w:sz w:val="24"/>
                <w:szCs w:val="24"/>
              </w:rPr>
              <w:t>上市公司、龙头企业（按母基金办法的界定）</w:t>
            </w:r>
            <w:r>
              <w:rPr>
                <w:rFonts w:hint="eastAsia" w:ascii="宋体" w:hAnsi="宋体" w:eastAsia="宋体" w:cs="宋体"/>
                <w:kern w:val="0"/>
                <w:sz w:val="24"/>
                <w:szCs w:val="24"/>
              </w:rPr>
              <w:t>担任高级管理职务，在成都高新区注册或迁入（需在合作子基金正式签约前完成注册或迁入）其</w:t>
            </w:r>
            <w:r>
              <w:rPr>
                <w:rFonts w:hint="eastAsia" w:ascii="宋体" w:hAnsi="宋体" w:eastAsia="宋体" w:cs="宋体"/>
                <w:b/>
                <w:bCs/>
                <w:kern w:val="0"/>
                <w:sz w:val="24"/>
                <w:szCs w:val="24"/>
              </w:rPr>
              <w:t>在国内首家</w:t>
            </w:r>
            <w:r>
              <w:rPr>
                <w:rFonts w:hint="eastAsia" w:ascii="宋体" w:hAnsi="宋体" w:eastAsia="宋体" w:cs="宋体"/>
                <w:kern w:val="0"/>
                <w:sz w:val="24"/>
                <w:szCs w:val="24"/>
              </w:rPr>
              <w:t>基金管理机构的，且其在管理机构占股超过30%。</w:t>
            </w:r>
          </w:p>
        </w:tc>
      </w:tr>
      <w:tr>
        <w:tblPrEx>
          <w:tblCellMar>
            <w:top w:w="0" w:type="dxa"/>
            <w:left w:w="108" w:type="dxa"/>
            <w:bottom w:w="0" w:type="dxa"/>
            <w:right w:w="108" w:type="dxa"/>
          </w:tblCellMar>
        </w:tblPrEx>
        <w:trPr>
          <w:trHeight w:val="1366" w:hRule="atLeast"/>
        </w:trPr>
        <w:tc>
          <w:tcPr>
            <w:tcW w:w="1290" w:type="dxa"/>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p>
        </w:tc>
        <w:tc>
          <w:tcPr>
            <w:tcW w:w="14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本地属性</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子基金管理机构非本土机构，承诺子基金管理机构注册或迁入成都高新区（需在合作子基金正式签约前完成注册或迁入）；子基金管理机构为本土机构，对已在成都高新区注册设立基金管理公司（取得中基协备案资质），历史管理规模超过1亿元的</w:t>
            </w:r>
          </w:p>
        </w:tc>
      </w:tr>
      <w:tr>
        <w:tblPrEx>
          <w:tblCellMar>
            <w:top w:w="0" w:type="dxa"/>
            <w:left w:w="108" w:type="dxa"/>
            <w:bottom w:w="0" w:type="dxa"/>
            <w:right w:w="108" w:type="dxa"/>
          </w:tblCellMar>
        </w:tblPrEx>
        <w:trPr>
          <w:trHeight w:val="1366" w:hRule="atLeast"/>
        </w:trPr>
        <w:tc>
          <w:tcPr>
            <w:tcW w:w="1290" w:type="dxa"/>
            <w:vMerge w:val="continue"/>
            <w:tcBorders>
              <w:left w:val="single" w:color="auto" w:sz="4" w:space="0"/>
              <w:bottom w:val="nil"/>
              <w:right w:val="single" w:color="auto" w:sz="4" w:space="0"/>
            </w:tcBorders>
            <w:shd w:val="clear" w:color="auto" w:fill="auto"/>
            <w:vAlign w:val="center"/>
          </w:tcPr>
          <w:p>
            <w:pPr>
              <w:widowControl/>
              <w:jc w:val="center"/>
              <w:rPr>
                <w:rFonts w:ascii="宋体" w:hAnsi="宋体" w:eastAsia="宋体" w:cs="宋体"/>
                <w:kern w:val="0"/>
                <w:sz w:val="24"/>
                <w:szCs w:val="24"/>
              </w:rPr>
            </w:pPr>
            <w:bookmarkStart w:id="0" w:name="_GoBack" w:colFirst="1" w:colLast="2"/>
          </w:p>
        </w:tc>
        <w:tc>
          <w:tcPr>
            <w:tcW w:w="143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与科技成果转化机构合作</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子基金管理机构与中试平台等科技成果转化机构合作，科技成果转化机构与管理机构就子基金合作建立利益联结机制。</w:t>
            </w:r>
          </w:p>
        </w:tc>
      </w:tr>
      <w:bookmarkEnd w:id="0"/>
      <w:tr>
        <w:tblPrEx>
          <w:tblCellMar>
            <w:top w:w="0" w:type="dxa"/>
            <w:left w:w="108" w:type="dxa"/>
            <w:bottom w:w="0" w:type="dxa"/>
            <w:right w:w="108" w:type="dxa"/>
          </w:tblCellMar>
        </w:tblPrEx>
        <w:trPr>
          <w:trHeight w:val="226" w:hRule="atLeast"/>
        </w:trPr>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扣分项</w:t>
            </w:r>
          </w:p>
          <w:p>
            <w:pPr>
              <w:widowControl/>
              <w:jc w:val="center"/>
              <w:rPr>
                <w:rFonts w:ascii="宋体" w:hAnsi="宋体" w:eastAsia="宋体" w:cs="宋体"/>
                <w:kern w:val="0"/>
                <w:sz w:val="24"/>
                <w:szCs w:val="24"/>
              </w:rPr>
            </w:pPr>
            <w:r>
              <w:rPr>
                <w:rFonts w:hint="eastAsia" w:ascii="宋体" w:hAnsi="宋体" w:eastAsia="宋体" w:cs="宋体"/>
                <w:kern w:val="0"/>
                <w:sz w:val="24"/>
                <w:szCs w:val="24"/>
              </w:rPr>
              <w:t>（10分）</w:t>
            </w:r>
          </w:p>
        </w:tc>
        <w:tc>
          <w:tcPr>
            <w:tcW w:w="143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在管规模</w:t>
            </w:r>
          </w:p>
        </w:tc>
        <w:tc>
          <w:tcPr>
            <w:tcW w:w="673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管理机构中子基金核心管理团队成员人均在管尚未对外投资的基金规模</w:t>
            </w:r>
          </w:p>
        </w:tc>
      </w:tr>
    </w:tbl>
    <w:p>
      <w:pPr>
        <w:widowControl/>
        <w:shd w:val="clear" w:color="auto" w:fill="FFFFFF"/>
        <w:spacing w:line="560" w:lineRule="exact"/>
        <w:outlineLvl w:val="0"/>
        <w:rPr>
          <w:rFonts w:ascii="Times New Roman" w:hAnsi="Times New Roman" w:eastAsia="仿宋_GB2312" w:cs="Times New Roman"/>
          <w:b/>
          <w:bCs/>
          <w:kern w:val="0"/>
          <w:sz w:val="32"/>
          <w:szCs w:val="32"/>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AE62B4"/>
    <w:multiLevelType w:val="singleLevel"/>
    <w:tmpl w:val="93AE62B4"/>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YWYzNDZlYjlhODliN2QyNGFiYTBmMTkzMDEyZGMifQ=="/>
    <w:docVar w:name="KSO_WPS_MARK_KEY" w:val="5b2f405d-089e-435f-94c0-2e4139c39d81"/>
  </w:docVars>
  <w:rsids>
    <w:rsidRoot w:val="00467FF2"/>
    <w:rsid w:val="0006558A"/>
    <w:rsid w:val="003958EF"/>
    <w:rsid w:val="003E5EC5"/>
    <w:rsid w:val="00467FF2"/>
    <w:rsid w:val="00A92244"/>
    <w:rsid w:val="00C01BFF"/>
    <w:rsid w:val="6C0C5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3</Pages>
  <Words>2024</Words>
  <Characters>2105</Characters>
  <Lines>16</Lines>
  <Paragraphs>4</Paragraphs>
  <TotalTime>3</TotalTime>
  <ScaleCrop>false</ScaleCrop>
  <LinksUpToDate>false</LinksUpToDate>
  <CharactersWithSpaces>2116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2024-06-07T07:25:00Z</dcterms:created>
  <dc:creator>Windows User</dc:creator>
  <cp:lastModifiedBy>Xiaohong WEI</cp:lastModifiedBy>
  <dcterms:modified xsi:type="dcterms:W3CDTF">2025-05-20T10:00:24Z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5D3474CE1FCB4B45B36129332C0B9E45</vt:lpwstr>
  </property>
</Properties>
</file>