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outlineLvl w:val="0"/>
        <w:rPr>
          <w:rFonts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附件</w:t>
      </w:r>
      <w:r>
        <w:rPr>
          <w:rFonts w:ascii="Times New Roman" w:hAnsi="Times New Roman" w:eastAsia="仿宋_GB2312" w:cs="Times New Roman"/>
          <w:b/>
          <w:bCs/>
          <w:kern w:val="0"/>
          <w:sz w:val="32"/>
          <w:szCs w:val="32"/>
        </w:rPr>
        <w:t>3</w:t>
      </w: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方正小标宋简体" w:cs="Times New Roman"/>
          <w:sz w:val="48"/>
          <w:szCs w:val="48"/>
        </w:rPr>
      </w:pPr>
      <w:r>
        <w:rPr>
          <w:rFonts w:ascii="Times New Roman" w:hAnsi="Times New Roman" w:eastAsia="方正小标宋简体" w:cs="Times New Roman"/>
          <w:sz w:val="48"/>
          <w:szCs w:val="48"/>
        </w:rPr>
        <w:t>XX基金</w:t>
      </w:r>
    </w:p>
    <w:p>
      <w:pPr>
        <w:spacing w:line="560" w:lineRule="exact"/>
        <w:jc w:val="center"/>
        <w:rPr>
          <w:rFonts w:ascii="Times New Roman" w:hAnsi="Times New Roman" w:eastAsia="方正小标宋简体" w:cs="Times New Roman"/>
          <w:sz w:val="48"/>
          <w:szCs w:val="48"/>
        </w:rPr>
      </w:pPr>
      <w:r>
        <w:rPr>
          <w:rFonts w:ascii="Times New Roman" w:hAnsi="Times New Roman" w:eastAsia="方正小标宋简体" w:cs="Times New Roman"/>
          <w:sz w:val="48"/>
          <w:szCs w:val="48"/>
        </w:rPr>
        <w:t>申请方案</w:t>
      </w:r>
    </w:p>
    <w:p>
      <w:pPr>
        <w:spacing w:line="56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（参考模板）</w:t>
      </w: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联系人：</w:t>
      </w: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联系电话：</w:t>
      </w: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邮箱：</w:t>
      </w:r>
    </w:p>
    <w:p>
      <w:pPr>
        <w:spacing w:line="560" w:lineRule="exact"/>
        <w:ind w:firstLine="944" w:firstLineChars="295"/>
        <w:jc w:val="center"/>
        <w:rPr>
          <w:rFonts w:ascii="Times New Roman" w:hAnsi="Times New Roman" w:eastAsia="方正小标宋简体" w:cs="Times New Roman"/>
          <w:sz w:val="32"/>
          <w:szCs w:val="32"/>
        </w:rPr>
      </w:pP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申请机构：XXX公司</w:t>
      </w: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202</w:t>
      </w:r>
      <w:r>
        <w:rPr>
          <w:rFonts w:hint="eastAsia" w:ascii="Times New Roman" w:hAnsi="Times New Roman" w:eastAsia="方正小标宋简体" w:cs="Times New Roman"/>
          <w:sz w:val="32"/>
          <w:szCs w:val="32"/>
          <w:lang w:val="en-US" w:eastAsia="zh-CN"/>
        </w:rPr>
        <w:t>5</w:t>
      </w:r>
      <w:bookmarkStart w:id="0" w:name="_GoBack"/>
      <w:bookmarkEnd w:id="0"/>
      <w:r>
        <w:rPr>
          <w:rFonts w:ascii="Times New Roman" w:hAnsi="Times New Roman" w:eastAsia="方正小标宋简体" w:cs="Times New Roman"/>
          <w:sz w:val="32"/>
          <w:szCs w:val="32"/>
        </w:rPr>
        <w:t>年XX月</w:t>
      </w:r>
    </w:p>
    <w:p>
      <w:pPr>
        <w:spacing w:line="560" w:lineRule="exact"/>
        <w:jc w:val="center"/>
        <w:rPr>
          <w:rFonts w:ascii="Times New Roman" w:hAnsi="Times New Roman" w:eastAsia="黑体" w:cs="Times New Roman"/>
          <w:sz w:val="32"/>
          <w:szCs w:val="32"/>
        </w:rPr>
      </w:pPr>
    </w:p>
    <w:p>
      <w:pPr>
        <w:spacing w:line="560" w:lineRule="exact"/>
        <w:rPr>
          <w:rFonts w:ascii="Times New Roman" w:hAnsi="Times New Roman" w:eastAsia="黑体" w:cs="Times New Roman"/>
          <w:sz w:val="32"/>
          <w:szCs w:val="32"/>
        </w:rPr>
      </w:pPr>
    </w:p>
    <w:p>
      <w:pPr>
        <w:spacing w:line="560" w:lineRule="exact"/>
        <w:rPr>
          <w:rFonts w:ascii="Times New Roman" w:hAnsi="Times New Roman" w:eastAsia="黑体" w:cs="Times New Roman"/>
          <w:sz w:val="32"/>
          <w:szCs w:val="32"/>
        </w:rPr>
      </w:pPr>
    </w:p>
    <w:p>
      <w:pPr>
        <w:spacing w:line="560" w:lineRule="exact"/>
        <w:rPr>
          <w:rFonts w:ascii="Times New Roman" w:hAnsi="Times New Roman" w:eastAsia="黑体" w:cs="Times New Roman"/>
          <w:sz w:val="32"/>
          <w:szCs w:val="32"/>
        </w:rPr>
      </w:pPr>
    </w:p>
    <w:p>
      <w:pPr>
        <w:spacing w:line="560" w:lineRule="exact"/>
        <w:rPr>
          <w:rFonts w:ascii="Times New Roman" w:hAnsi="Times New Roman" w:eastAsia="黑体" w:cs="Times New Roman"/>
          <w:sz w:val="32"/>
          <w:szCs w:val="32"/>
        </w:rPr>
      </w:pP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一、基金设立背景与行业领域分析</w:t>
      </w:r>
    </w:p>
    <w:p>
      <w:pPr>
        <w:spacing w:line="560" w:lineRule="exact"/>
        <w:ind w:firstLine="640" w:firstLineChars="200"/>
        <w:rPr>
          <w:rFonts w:ascii="Times New Roman" w:hAnsi="Times New Roman" w:eastAsia="仿宋" w:cs="Times New Roman"/>
          <w:bCs/>
          <w:sz w:val="32"/>
          <w:szCs w:val="32"/>
        </w:rPr>
      </w:pPr>
      <w:r>
        <w:rPr>
          <w:rFonts w:ascii="Times New Roman" w:hAnsi="Times New Roman" w:eastAsia="仿宋" w:cs="Times New Roman"/>
          <w:bCs/>
          <w:sz w:val="32"/>
          <w:szCs w:val="32"/>
        </w:rPr>
        <w:t>主要内容包括但不限于：行业领域国际国内现状分析、机构对产业细分领域理解</w:t>
      </w:r>
      <w:r>
        <w:rPr>
          <w:rFonts w:hint="eastAsia" w:ascii="Times New Roman" w:hAnsi="Times New Roman" w:eastAsia="仿宋" w:cs="Times New Roman"/>
          <w:bCs/>
          <w:sz w:val="32"/>
          <w:szCs w:val="32"/>
        </w:rPr>
        <w:t>、基金对成都高新区产业发展作用</w:t>
      </w:r>
      <w:r>
        <w:rPr>
          <w:rFonts w:ascii="Times New Roman" w:hAnsi="Times New Roman" w:eastAsia="仿宋" w:cs="Times New Roman"/>
          <w:bCs/>
          <w:sz w:val="32"/>
          <w:szCs w:val="32"/>
        </w:rPr>
        <w:t>等。</w:t>
      </w: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二、基金概况及出资人介绍</w:t>
      </w:r>
    </w:p>
    <w:p>
      <w:pPr>
        <w:spacing w:line="560" w:lineRule="exact"/>
        <w:ind w:firstLine="640" w:firstLineChars="200"/>
        <w:rPr>
          <w:rFonts w:ascii="Times New Roman" w:hAnsi="Times New Roman" w:eastAsia="仿宋" w:cs="Times New Roman"/>
          <w:bCs/>
          <w:sz w:val="32"/>
          <w:szCs w:val="32"/>
        </w:rPr>
      </w:pPr>
      <w:r>
        <w:rPr>
          <w:rFonts w:ascii="Times New Roman" w:hAnsi="Times New Roman" w:eastAsia="仿宋" w:cs="Times New Roman"/>
          <w:bCs/>
          <w:sz w:val="32"/>
          <w:szCs w:val="32"/>
        </w:rPr>
        <w:t>对拟设子基金要素进行描述，并按出资规模，依次介绍出资人（机构或个人）的概况（可列表）。</w:t>
      </w:r>
    </w:p>
    <w:p>
      <w:pPr>
        <w:spacing w:line="560" w:lineRule="exact"/>
        <w:ind w:firstLine="640" w:firstLineChars="200"/>
        <w:rPr>
          <w:rFonts w:ascii="Times New Roman" w:hAnsi="Times New Roman" w:eastAsia="仿宋" w:cs="Times New Roman"/>
          <w:bCs/>
          <w:sz w:val="32"/>
          <w:szCs w:val="32"/>
        </w:rPr>
      </w:pPr>
      <w:r>
        <w:rPr>
          <w:rFonts w:hint="eastAsia" w:ascii="Times New Roman" w:hAnsi="Times New Roman" w:eastAsia="仿宋" w:cs="Times New Roman"/>
          <w:bCs/>
          <w:sz w:val="32"/>
          <w:szCs w:val="32"/>
        </w:rPr>
        <w:t>基金募集情况，须说明剩余资金的募集计划及时间安排</w:t>
      </w:r>
    </w:p>
    <w:tbl>
      <w:tblPr>
        <w:tblStyle w:val="3"/>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
        <w:gridCol w:w="1001"/>
        <w:gridCol w:w="1036"/>
        <w:gridCol w:w="1333"/>
        <w:gridCol w:w="1130"/>
        <w:gridCol w:w="1425"/>
        <w:gridCol w:w="2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dxa"/>
          </w:tcPr>
          <w:p>
            <w:pPr>
              <w:rPr>
                <w:rFonts w:ascii="仿宋" w:hAnsi="仿宋" w:eastAsia="仿宋" w:cs="仿宋"/>
                <w:kern w:val="0"/>
                <w:sz w:val="24"/>
                <w:szCs w:val="24"/>
              </w:rPr>
            </w:pPr>
          </w:p>
        </w:tc>
        <w:tc>
          <w:tcPr>
            <w:tcW w:w="1001" w:type="dxa"/>
          </w:tcPr>
          <w:p>
            <w:pPr>
              <w:jc w:val="center"/>
              <w:rPr>
                <w:rFonts w:ascii="仿宋" w:hAnsi="仿宋" w:eastAsia="仿宋" w:cs="仿宋"/>
                <w:b/>
                <w:bCs/>
                <w:kern w:val="0"/>
                <w:sz w:val="24"/>
                <w:szCs w:val="24"/>
              </w:rPr>
            </w:pPr>
            <w:r>
              <w:rPr>
                <w:rFonts w:hint="eastAsia" w:ascii="仿宋" w:hAnsi="仿宋" w:eastAsia="仿宋" w:cs="仿宋"/>
                <w:b/>
                <w:bCs/>
                <w:kern w:val="0"/>
                <w:sz w:val="24"/>
                <w:szCs w:val="24"/>
              </w:rPr>
              <w:t>合伙人性质</w:t>
            </w:r>
          </w:p>
        </w:tc>
        <w:tc>
          <w:tcPr>
            <w:tcW w:w="1036" w:type="dxa"/>
          </w:tcPr>
          <w:p>
            <w:pPr>
              <w:jc w:val="center"/>
              <w:rPr>
                <w:rFonts w:ascii="仿宋" w:hAnsi="仿宋" w:eastAsia="仿宋" w:cs="仿宋"/>
                <w:b/>
                <w:bCs/>
                <w:kern w:val="0"/>
                <w:sz w:val="24"/>
                <w:szCs w:val="24"/>
              </w:rPr>
            </w:pPr>
            <w:r>
              <w:rPr>
                <w:rFonts w:hint="eastAsia" w:ascii="仿宋" w:hAnsi="仿宋" w:eastAsia="仿宋" w:cs="仿宋"/>
                <w:b/>
                <w:bCs/>
                <w:kern w:val="0"/>
                <w:sz w:val="24"/>
                <w:szCs w:val="24"/>
              </w:rPr>
              <w:t>出资人</w:t>
            </w:r>
          </w:p>
        </w:tc>
        <w:tc>
          <w:tcPr>
            <w:tcW w:w="1333" w:type="dxa"/>
          </w:tcPr>
          <w:p>
            <w:pPr>
              <w:jc w:val="center"/>
              <w:rPr>
                <w:rFonts w:ascii="仿宋" w:hAnsi="仿宋" w:eastAsia="仿宋" w:cs="仿宋"/>
                <w:b/>
                <w:bCs/>
                <w:kern w:val="0"/>
                <w:sz w:val="24"/>
                <w:szCs w:val="24"/>
              </w:rPr>
            </w:pPr>
            <w:r>
              <w:rPr>
                <w:rFonts w:hint="eastAsia" w:ascii="仿宋" w:hAnsi="仿宋" w:eastAsia="仿宋" w:cs="仿宋"/>
                <w:b/>
                <w:bCs/>
                <w:kern w:val="0"/>
                <w:sz w:val="24"/>
                <w:szCs w:val="24"/>
              </w:rPr>
              <w:t>认缴出资金额（万元）</w:t>
            </w:r>
          </w:p>
        </w:tc>
        <w:tc>
          <w:tcPr>
            <w:tcW w:w="1130" w:type="dxa"/>
          </w:tcPr>
          <w:p>
            <w:pPr>
              <w:jc w:val="center"/>
              <w:rPr>
                <w:rFonts w:ascii="仿宋" w:hAnsi="仿宋" w:eastAsia="仿宋" w:cs="仿宋"/>
                <w:b/>
                <w:bCs/>
                <w:kern w:val="0"/>
                <w:sz w:val="24"/>
                <w:szCs w:val="24"/>
              </w:rPr>
            </w:pPr>
            <w:r>
              <w:rPr>
                <w:rFonts w:hint="eastAsia" w:ascii="仿宋" w:hAnsi="仿宋" w:eastAsia="仿宋" w:cs="仿宋"/>
                <w:b/>
                <w:bCs/>
                <w:kern w:val="0"/>
                <w:sz w:val="24"/>
                <w:szCs w:val="24"/>
              </w:rPr>
              <w:t>出资比例</w:t>
            </w:r>
          </w:p>
        </w:tc>
        <w:tc>
          <w:tcPr>
            <w:tcW w:w="1425" w:type="dxa"/>
          </w:tcPr>
          <w:p>
            <w:pPr>
              <w:jc w:val="center"/>
              <w:rPr>
                <w:rFonts w:ascii="仿宋" w:hAnsi="仿宋" w:eastAsia="仿宋" w:cs="仿宋"/>
                <w:b/>
                <w:bCs/>
                <w:kern w:val="0"/>
                <w:sz w:val="24"/>
                <w:szCs w:val="24"/>
              </w:rPr>
            </w:pPr>
            <w:r>
              <w:rPr>
                <w:rFonts w:hint="eastAsia" w:ascii="仿宋" w:hAnsi="仿宋" w:eastAsia="仿宋" w:cs="仿宋"/>
                <w:b/>
                <w:bCs/>
                <w:kern w:val="0"/>
                <w:sz w:val="24"/>
                <w:szCs w:val="24"/>
              </w:rPr>
              <w:t>出资进度</w:t>
            </w:r>
          </w:p>
        </w:tc>
        <w:tc>
          <w:tcPr>
            <w:tcW w:w="2481" w:type="dxa"/>
          </w:tcPr>
          <w:p>
            <w:pPr>
              <w:jc w:val="center"/>
              <w:rPr>
                <w:rFonts w:ascii="仿宋" w:hAnsi="仿宋" w:eastAsia="仿宋" w:cs="仿宋"/>
                <w:b/>
                <w:bCs/>
                <w:kern w:val="0"/>
                <w:sz w:val="24"/>
                <w:szCs w:val="24"/>
              </w:rPr>
            </w:pPr>
            <w:r>
              <w:rPr>
                <w:rFonts w:hint="eastAsia" w:ascii="仿宋" w:hAnsi="仿宋" w:eastAsia="仿宋" w:cs="仿宋"/>
                <w:b/>
                <w:bCs/>
                <w:kern w:val="0"/>
                <w:sz w:val="24"/>
                <w:szCs w:val="24"/>
              </w:rPr>
              <w:t>备注（时间安排、合伙人特殊要求等）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dxa"/>
          </w:tcPr>
          <w:p>
            <w:pPr>
              <w:rPr>
                <w:rFonts w:ascii="仿宋" w:hAnsi="仿宋" w:eastAsia="仿宋" w:cs="仿宋"/>
                <w:kern w:val="0"/>
                <w:sz w:val="24"/>
                <w:szCs w:val="24"/>
              </w:rPr>
            </w:pPr>
            <w:r>
              <w:rPr>
                <w:rFonts w:ascii="仿宋" w:hAnsi="仿宋" w:eastAsia="仿宋" w:cs="仿宋"/>
                <w:kern w:val="0"/>
                <w:sz w:val="24"/>
                <w:szCs w:val="24"/>
              </w:rPr>
              <w:t>1</w:t>
            </w:r>
          </w:p>
        </w:tc>
        <w:tc>
          <w:tcPr>
            <w:tcW w:w="1001" w:type="dxa"/>
          </w:tcPr>
          <w:p>
            <w:pPr>
              <w:rPr>
                <w:rFonts w:ascii="仿宋" w:hAnsi="仿宋" w:eastAsia="仿宋" w:cs="仿宋"/>
                <w:kern w:val="0"/>
                <w:sz w:val="24"/>
                <w:szCs w:val="24"/>
              </w:rPr>
            </w:pPr>
            <w:r>
              <w:rPr>
                <w:rFonts w:ascii="仿宋" w:hAnsi="仿宋" w:eastAsia="仿宋" w:cs="仿宋"/>
                <w:kern w:val="0"/>
                <w:sz w:val="24"/>
                <w:szCs w:val="24"/>
              </w:rPr>
              <w:t>GP</w:t>
            </w:r>
          </w:p>
        </w:tc>
        <w:tc>
          <w:tcPr>
            <w:tcW w:w="1036" w:type="dxa"/>
          </w:tcPr>
          <w:p>
            <w:pPr>
              <w:rPr>
                <w:rFonts w:ascii="仿宋" w:hAnsi="仿宋" w:eastAsia="仿宋" w:cs="仿宋"/>
                <w:kern w:val="0"/>
                <w:sz w:val="24"/>
                <w:szCs w:val="24"/>
              </w:rPr>
            </w:pPr>
          </w:p>
        </w:tc>
        <w:tc>
          <w:tcPr>
            <w:tcW w:w="1333" w:type="dxa"/>
          </w:tcPr>
          <w:p>
            <w:pPr>
              <w:rPr>
                <w:rFonts w:ascii="仿宋" w:hAnsi="仿宋" w:eastAsia="仿宋" w:cs="仿宋"/>
                <w:kern w:val="0"/>
                <w:sz w:val="24"/>
                <w:szCs w:val="24"/>
              </w:rPr>
            </w:pPr>
          </w:p>
        </w:tc>
        <w:tc>
          <w:tcPr>
            <w:tcW w:w="1130" w:type="dxa"/>
          </w:tcPr>
          <w:p>
            <w:pPr>
              <w:rPr>
                <w:rFonts w:ascii="仿宋" w:hAnsi="仿宋" w:eastAsia="仿宋" w:cs="仿宋"/>
                <w:kern w:val="0"/>
                <w:sz w:val="24"/>
                <w:szCs w:val="24"/>
              </w:rPr>
            </w:pPr>
          </w:p>
        </w:tc>
        <w:tc>
          <w:tcPr>
            <w:tcW w:w="1425" w:type="dxa"/>
          </w:tcPr>
          <w:p>
            <w:pPr>
              <w:rPr>
                <w:rFonts w:ascii="仿宋" w:hAnsi="仿宋" w:eastAsia="仿宋" w:cs="仿宋"/>
                <w:kern w:val="0"/>
                <w:sz w:val="24"/>
                <w:szCs w:val="24"/>
              </w:rPr>
            </w:pPr>
            <w:r>
              <w:rPr>
                <w:rFonts w:hint="eastAsia" w:ascii="仿宋" w:hAnsi="仿宋" w:eastAsia="仿宋" w:cs="仿宋"/>
                <w:kern w:val="0"/>
                <w:sz w:val="24"/>
                <w:szCs w:val="24"/>
              </w:rPr>
              <w:t>已出具出资意向函</w:t>
            </w:r>
          </w:p>
        </w:tc>
        <w:tc>
          <w:tcPr>
            <w:tcW w:w="2481" w:type="dxa"/>
          </w:tcPr>
          <w:p>
            <w:pP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dxa"/>
          </w:tcPr>
          <w:p>
            <w:pPr>
              <w:rPr>
                <w:rFonts w:ascii="仿宋" w:hAnsi="仿宋" w:eastAsia="仿宋" w:cs="仿宋"/>
                <w:kern w:val="0"/>
                <w:sz w:val="24"/>
                <w:szCs w:val="24"/>
              </w:rPr>
            </w:pPr>
            <w:r>
              <w:rPr>
                <w:rFonts w:ascii="仿宋" w:hAnsi="仿宋" w:eastAsia="仿宋" w:cs="仿宋"/>
                <w:kern w:val="0"/>
                <w:sz w:val="24"/>
                <w:szCs w:val="24"/>
              </w:rPr>
              <w:t>2</w:t>
            </w:r>
          </w:p>
        </w:tc>
        <w:tc>
          <w:tcPr>
            <w:tcW w:w="1001" w:type="dxa"/>
          </w:tcPr>
          <w:p>
            <w:pPr>
              <w:rPr>
                <w:rFonts w:ascii="仿宋" w:hAnsi="仿宋" w:eastAsia="仿宋" w:cs="仿宋"/>
                <w:kern w:val="0"/>
                <w:sz w:val="24"/>
                <w:szCs w:val="24"/>
              </w:rPr>
            </w:pPr>
            <w:r>
              <w:rPr>
                <w:rFonts w:ascii="仿宋" w:hAnsi="仿宋" w:eastAsia="仿宋" w:cs="仿宋"/>
                <w:kern w:val="0"/>
                <w:sz w:val="24"/>
                <w:szCs w:val="24"/>
              </w:rPr>
              <w:t>LP1</w:t>
            </w:r>
          </w:p>
        </w:tc>
        <w:tc>
          <w:tcPr>
            <w:tcW w:w="1036" w:type="dxa"/>
          </w:tcPr>
          <w:p>
            <w:pPr>
              <w:rPr>
                <w:rFonts w:ascii="仿宋" w:hAnsi="仿宋" w:eastAsia="仿宋" w:cs="仿宋"/>
                <w:kern w:val="0"/>
                <w:sz w:val="24"/>
                <w:szCs w:val="24"/>
              </w:rPr>
            </w:pPr>
          </w:p>
        </w:tc>
        <w:tc>
          <w:tcPr>
            <w:tcW w:w="1333" w:type="dxa"/>
          </w:tcPr>
          <w:p>
            <w:pPr>
              <w:rPr>
                <w:rFonts w:ascii="仿宋" w:hAnsi="仿宋" w:eastAsia="仿宋" w:cs="仿宋"/>
                <w:kern w:val="0"/>
                <w:sz w:val="24"/>
                <w:szCs w:val="24"/>
              </w:rPr>
            </w:pPr>
          </w:p>
        </w:tc>
        <w:tc>
          <w:tcPr>
            <w:tcW w:w="1130" w:type="dxa"/>
          </w:tcPr>
          <w:p>
            <w:pPr>
              <w:rPr>
                <w:rFonts w:ascii="仿宋" w:hAnsi="仿宋" w:eastAsia="仿宋" w:cs="仿宋"/>
                <w:kern w:val="0"/>
                <w:sz w:val="24"/>
                <w:szCs w:val="24"/>
              </w:rPr>
            </w:pPr>
          </w:p>
        </w:tc>
        <w:tc>
          <w:tcPr>
            <w:tcW w:w="1425" w:type="dxa"/>
          </w:tcPr>
          <w:p>
            <w:pPr>
              <w:rPr>
                <w:rFonts w:ascii="仿宋" w:hAnsi="仿宋" w:eastAsia="仿宋" w:cs="仿宋"/>
                <w:kern w:val="0"/>
                <w:sz w:val="24"/>
                <w:szCs w:val="24"/>
              </w:rPr>
            </w:pPr>
            <w:r>
              <w:rPr>
                <w:rFonts w:hint="eastAsia" w:ascii="仿宋" w:hAnsi="仿宋" w:eastAsia="仿宋" w:cs="仿宋"/>
                <w:kern w:val="0"/>
                <w:sz w:val="24"/>
                <w:szCs w:val="24"/>
              </w:rPr>
              <w:t>意向沟通中</w:t>
            </w:r>
          </w:p>
        </w:tc>
        <w:tc>
          <w:tcPr>
            <w:tcW w:w="2481" w:type="dxa"/>
          </w:tcPr>
          <w:p>
            <w:pP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dxa"/>
          </w:tcPr>
          <w:p>
            <w:pPr>
              <w:rPr>
                <w:rFonts w:ascii="仿宋" w:hAnsi="仿宋" w:eastAsia="仿宋" w:cs="仿宋"/>
                <w:kern w:val="0"/>
                <w:sz w:val="24"/>
                <w:szCs w:val="24"/>
              </w:rPr>
            </w:pPr>
            <w:r>
              <w:rPr>
                <w:rFonts w:ascii="仿宋" w:hAnsi="仿宋" w:eastAsia="仿宋" w:cs="仿宋"/>
                <w:kern w:val="0"/>
                <w:sz w:val="24"/>
                <w:szCs w:val="24"/>
              </w:rPr>
              <w:t>3</w:t>
            </w:r>
          </w:p>
        </w:tc>
        <w:tc>
          <w:tcPr>
            <w:tcW w:w="1001" w:type="dxa"/>
          </w:tcPr>
          <w:p>
            <w:pPr>
              <w:rPr>
                <w:rFonts w:ascii="仿宋" w:hAnsi="仿宋" w:eastAsia="仿宋" w:cs="仿宋"/>
                <w:kern w:val="0"/>
                <w:sz w:val="24"/>
                <w:szCs w:val="24"/>
              </w:rPr>
            </w:pPr>
            <w:r>
              <w:rPr>
                <w:rFonts w:ascii="仿宋" w:hAnsi="仿宋" w:eastAsia="仿宋" w:cs="仿宋"/>
                <w:kern w:val="0"/>
                <w:sz w:val="24"/>
                <w:szCs w:val="24"/>
              </w:rPr>
              <w:t>LP2</w:t>
            </w:r>
          </w:p>
        </w:tc>
        <w:tc>
          <w:tcPr>
            <w:tcW w:w="1036" w:type="dxa"/>
          </w:tcPr>
          <w:p>
            <w:pPr>
              <w:rPr>
                <w:rFonts w:ascii="仿宋" w:hAnsi="仿宋" w:eastAsia="仿宋" w:cs="仿宋"/>
                <w:kern w:val="0"/>
                <w:sz w:val="24"/>
                <w:szCs w:val="24"/>
              </w:rPr>
            </w:pPr>
          </w:p>
        </w:tc>
        <w:tc>
          <w:tcPr>
            <w:tcW w:w="1333" w:type="dxa"/>
          </w:tcPr>
          <w:p>
            <w:pPr>
              <w:rPr>
                <w:rFonts w:ascii="仿宋" w:hAnsi="仿宋" w:eastAsia="仿宋" w:cs="仿宋"/>
                <w:kern w:val="0"/>
                <w:sz w:val="24"/>
                <w:szCs w:val="24"/>
              </w:rPr>
            </w:pPr>
          </w:p>
        </w:tc>
        <w:tc>
          <w:tcPr>
            <w:tcW w:w="1130" w:type="dxa"/>
          </w:tcPr>
          <w:p>
            <w:pPr>
              <w:rPr>
                <w:rFonts w:ascii="仿宋" w:hAnsi="仿宋" w:eastAsia="仿宋" w:cs="仿宋"/>
                <w:kern w:val="0"/>
                <w:sz w:val="24"/>
                <w:szCs w:val="24"/>
              </w:rPr>
            </w:pPr>
          </w:p>
        </w:tc>
        <w:tc>
          <w:tcPr>
            <w:tcW w:w="1425" w:type="dxa"/>
          </w:tcPr>
          <w:p>
            <w:pPr>
              <w:rPr>
                <w:rFonts w:ascii="仿宋" w:hAnsi="仿宋" w:eastAsia="仿宋" w:cs="仿宋"/>
                <w:kern w:val="0"/>
                <w:sz w:val="24"/>
                <w:szCs w:val="24"/>
              </w:rPr>
            </w:pPr>
          </w:p>
        </w:tc>
        <w:tc>
          <w:tcPr>
            <w:tcW w:w="2481" w:type="dxa"/>
          </w:tcPr>
          <w:p>
            <w:pP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dxa"/>
          </w:tcPr>
          <w:p>
            <w:pPr>
              <w:rPr>
                <w:rFonts w:ascii="仿宋" w:hAnsi="仿宋" w:eastAsia="仿宋" w:cs="仿宋"/>
                <w:kern w:val="0"/>
                <w:sz w:val="24"/>
                <w:szCs w:val="24"/>
              </w:rPr>
            </w:pPr>
            <w:r>
              <w:rPr>
                <w:rFonts w:hint="eastAsia" w:ascii="仿宋" w:hAnsi="仿宋" w:eastAsia="仿宋" w:cs="仿宋"/>
                <w:kern w:val="0"/>
                <w:sz w:val="24"/>
                <w:szCs w:val="24"/>
              </w:rPr>
              <w:t>…</w:t>
            </w:r>
          </w:p>
        </w:tc>
        <w:tc>
          <w:tcPr>
            <w:tcW w:w="1001" w:type="dxa"/>
          </w:tcPr>
          <w:p>
            <w:pPr>
              <w:rPr>
                <w:rFonts w:ascii="仿宋" w:hAnsi="仿宋" w:eastAsia="仿宋" w:cs="仿宋"/>
                <w:kern w:val="0"/>
                <w:sz w:val="24"/>
                <w:szCs w:val="24"/>
              </w:rPr>
            </w:pPr>
          </w:p>
        </w:tc>
        <w:tc>
          <w:tcPr>
            <w:tcW w:w="1036" w:type="dxa"/>
          </w:tcPr>
          <w:p>
            <w:pPr>
              <w:rPr>
                <w:rFonts w:ascii="仿宋" w:hAnsi="仿宋" w:eastAsia="仿宋" w:cs="仿宋"/>
                <w:kern w:val="0"/>
                <w:sz w:val="24"/>
                <w:szCs w:val="24"/>
              </w:rPr>
            </w:pPr>
          </w:p>
        </w:tc>
        <w:tc>
          <w:tcPr>
            <w:tcW w:w="1333" w:type="dxa"/>
          </w:tcPr>
          <w:p>
            <w:pPr>
              <w:rPr>
                <w:rFonts w:ascii="仿宋" w:hAnsi="仿宋" w:eastAsia="仿宋" w:cs="仿宋"/>
                <w:kern w:val="0"/>
                <w:sz w:val="24"/>
                <w:szCs w:val="24"/>
              </w:rPr>
            </w:pPr>
          </w:p>
        </w:tc>
        <w:tc>
          <w:tcPr>
            <w:tcW w:w="1130" w:type="dxa"/>
          </w:tcPr>
          <w:p>
            <w:pPr>
              <w:rPr>
                <w:rFonts w:ascii="仿宋" w:hAnsi="仿宋" w:eastAsia="仿宋" w:cs="仿宋"/>
                <w:kern w:val="0"/>
                <w:sz w:val="24"/>
                <w:szCs w:val="24"/>
              </w:rPr>
            </w:pPr>
          </w:p>
        </w:tc>
        <w:tc>
          <w:tcPr>
            <w:tcW w:w="1425" w:type="dxa"/>
          </w:tcPr>
          <w:p>
            <w:pPr>
              <w:rPr>
                <w:rFonts w:ascii="仿宋" w:hAnsi="仿宋" w:eastAsia="仿宋" w:cs="仿宋"/>
                <w:kern w:val="0"/>
                <w:sz w:val="24"/>
                <w:szCs w:val="24"/>
              </w:rPr>
            </w:pPr>
          </w:p>
        </w:tc>
        <w:tc>
          <w:tcPr>
            <w:tcW w:w="2481" w:type="dxa"/>
          </w:tcPr>
          <w:p>
            <w:pP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dxa"/>
          </w:tcPr>
          <w:p>
            <w:pPr>
              <w:rPr>
                <w:rFonts w:ascii="仿宋" w:hAnsi="仿宋" w:eastAsia="仿宋" w:cs="仿宋"/>
                <w:b/>
                <w:bCs/>
                <w:kern w:val="0"/>
                <w:sz w:val="24"/>
                <w:szCs w:val="24"/>
              </w:rPr>
            </w:pPr>
            <w:r>
              <w:rPr>
                <w:rFonts w:hint="eastAsia" w:ascii="仿宋" w:hAnsi="仿宋" w:eastAsia="仿宋" w:cs="仿宋"/>
                <w:b/>
                <w:bCs/>
                <w:kern w:val="0"/>
                <w:sz w:val="24"/>
                <w:szCs w:val="24"/>
              </w:rPr>
              <w:t>合计</w:t>
            </w:r>
          </w:p>
        </w:tc>
        <w:tc>
          <w:tcPr>
            <w:tcW w:w="1001" w:type="dxa"/>
          </w:tcPr>
          <w:p>
            <w:pPr>
              <w:rPr>
                <w:rFonts w:ascii="仿宋" w:hAnsi="仿宋" w:eastAsia="仿宋" w:cs="仿宋"/>
                <w:b/>
                <w:bCs/>
                <w:kern w:val="0"/>
                <w:sz w:val="24"/>
                <w:szCs w:val="24"/>
              </w:rPr>
            </w:pPr>
          </w:p>
        </w:tc>
        <w:tc>
          <w:tcPr>
            <w:tcW w:w="1036" w:type="dxa"/>
          </w:tcPr>
          <w:p>
            <w:pPr>
              <w:rPr>
                <w:rFonts w:ascii="仿宋" w:hAnsi="仿宋" w:eastAsia="仿宋" w:cs="仿宋"/>
                <w:b/>
                <w:bCs/>
                <w:kern w:val="0"/>
                <w:sz w:val="24"/>
                <w:szCs w:val="24"/>
              </w:rPr>
            </w:pPr>
          </w:p>
        </w:tc>
        <w:tc>
          <w:tcPr>
            <w:tcW w:w="1333" w:type="dxa"/>
          </w:tcPr>
          <w:p>
            <w:pPr>
              <w:rPr>
                <w:rFonts w:ascii="仿宋" w:hAnsi="仿宋" w:eastAsia="仿宋" w:cs="仿宋"/>
                <w:b/>
                <w:bCs/>
                <w:kern w:val="0"/>
                <w:sz w:val="24"/>
                <w:szCs w:val="24"/>
              </w:rPr>
            </w:pPr>
          </w:p>
        </w:tc>
        <w:tc>
          <w:tcPr>
            <w:tcW w:w="1130" w:type="dxa"/>
          </w:tcPr>
          <w:p>
            <w:pPr>
              <w:rPr>
                <w:rFonts w:ascii="仿宋" w:hAnsi="仿宋" w:eastAsia="仿宋" w:cs="仿宋"/>
                <w:b/>
                <w:bCs/>
                <w:kern w:val="0"/>
                <w:sz w:val="24"/>
                <w:szCs w:val="24"/>
              </w:rPr>
            </w:pPr>
          </w:p>
        </w:tc>
        <w:tc>
          <w:tcPr>
            <w:tcW w:w="1425" w:type="dxa"/>
          </w:tcPr>
          <w:p>
            <w:pPr>
              <w:rPr>
                <w:rFonts w:ascii="仿宋" w:hAnsi="仿宋" w:eastAsia="仿宋" w:cs="仿宋"/>
                <w:b/>
                <w:bCs/>
                <w:kern w:val="0"/>
                <w:sz w:val="24"/>
                <w:szCs w:val="24"/>
              </w:rPr>
            </w:pPr>
          </w:p>
        </w:tc>
        <w:tc>
          <w:tcPr>
            <w:tcW w:w="2481" w:type="dxa"/>
          </w:tcPr>
          <w:p>
            <w:pPr>
              <w:rPr>
                <w:rFonts w:ascii="仿宋" w:hAnsi="仿宋" w:eastAsia="仿宋" w:cs="仿宋"/>
                <w:b/>
                <w:bCs/>
                <w:kern w:val="0"/>
                <w:sz w:val="24"/>
                <w:szCs w:val="24"/>
              </w:rPr>
            </w:pPr>
          </w:p>
        </w:tc>
      </w:tr>
    </w:tbl>
    <w:p>
      <w:pPr>
        <w:spacing w:line="560" w:lineRule="exact"/>
        <w:ind w:firstLine="640" w:firstLineChars="200"/>
        <w:rPr>
          <w:rFonts w:ascii="Times New Roman" w:hAnsi="Times New Roman" w:eastAsia="仿宋" w:cs="Times New Roman"/>
          <w:bCs/>
          <w:sz w:val="32"/>
          <w:szCs w:val="32"/>
        </w:rPr>
      </w:pPr>
      <w:r>
        <w:rPr>
          <w:rFonts w:hint="eastAsia" w:ascii="Times New Roman" w:hAnsi="Times New Roman" w:eastAsia="仿宋" w:cs="Times New Roman"/>
          <w:bCs/>
          <w:sz w:val="32"/>
          <w:szCs w:val="32"/>
        </w:rPr>
        <w:t>基金每年度投资计划</w:t>
      </w:r>
      <w:r>
        <w:rPr>
          <w:rFonts w:ascii="Times New Roman" w:hAnsi="Times New Roman" w:eastAsia="仿宋" w:cs="Times New Roman"/>
          <w:bCs/>
          <w:sz w:val="32"/>
          <w:szCs w:val="32"/>
        </w:rPr>
        <w:t>、</w:t>
      </w:r>
      <w:r>
        <w:rPr>
          <w:rFonts w:hint="eastAsia" w:ascii="Times New Roman" w:hAnsi="Times New Roman" w:eastAsia="仿宋" w:cs="Times New Roman"/>
          <w:bCs/>
          <w:sz w:val="32"/>
          <w:szCs w:val="32"/>
        </w:rPr>
        <w:t>返投计划</w:t>
      </w: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三、基金管理机构和团队</w:t>
      </w:r>
    </w:p>
    <w:p>
      <w:pPr>
        <w:spacing w:line="560" w:lineRule="exact"/>
        <w:ind w:firstLine="640" w:firstLineChars="200"/>
        <w:rPr>
          <w:rFonts w:ascii="Times New Roman" w:hAnsi="Times New Roman" w:eastAsia="仿宋" w:cs="Times New Roman"/>
          <w:bCs/>
          <w:sz w:val="32"/>
          <w:szCs w:val="32"/>
        </w:rPr>
      </w:pPr>
      <w:r>
        <w:rPr>
          <w:rFonts w:hint="eastAsia" w:ascii="Times New Roman" w:hAnsi="Times New Roman" w:eastAsia="仿宋" w:cs="Times New Roman"/>
          <w:bCs/>
          <w:sz w:val="32"/>
          <w:szCs w:val="32"/>
        </w:rPr>
        <w:t>（一）基金管理机构</w:t>
      </w:r>
    </w:p>
    <w:p>
      <w:pPr>
        <w:spacing w:line="560" w:lineRule="exact"/>
        <w:ind w:firstLine="640" w:firstLineChars="200"/>
        <w:rPr>
          <w:rFonts w:ascii="Times New Roman" w:hAnsi="Times New Roman" w:eastAsia="仿宋" w:cs="Times New Roman"/>
          <w:bCs/>
          <w:sz w:val="32"/>
          <w:szCs w:val="32"/>
        </w:rPr>
      </w:pPr>
      <w:r>
        <w:rPr>
          <w:rFonts w:ascii="Times New Roman" w:hAnsi="Times New Roman" w:eastAsia="仿宋" w:cs="Times New Roman"/>
          <w:bCs/>
          <w:sz w:val="32"/>
          <w:szCs w:val="32"/>
        </w:rPr>
        <w:t>1.</w:t>
      </w:r>
      <w:r>
        <w:rPr>
          <w:rFonts w:hint="eastAsia" w:ascii="Times New Roman" w:hAnsi="Times New Roman" w:eastAsia="仿宋" w:cs="Times New Roman"/>
          <w:bCs/>
          <w:sz w:val="32"/>
          <w:szCs w:val="32"/>
        </w:rPr>
        <w:t>工商登记信息</w:t>
      </w:r>
    </w:p>
    <w:p>
      <w:pPr>
        <w:spacing w:line="560" w:lineRule="exact"/>
        <w:ind w:firstLine="640" w:firstLineChars="200"/>
        <w:rPr>
          <w:rFonts w:ascii="Times New Roman" w:hAnsi="Times New Roman" w:eastAsia="仿宋" w:cs="Times New Roman"/>
          <w:bCs/>
          <w:sz w:val="32"/>
          <w:szCs w:val="32"/>
        </w:rPr>
      </w:pPr>
      <w:r>
        <w:rPr>
          <w:rFonts w:ascii="Times New Roman" w:hAnsi="Times New Roman" w:eastAsia="仿宋" w:cs="Times New Roman"/>
          <w:bCs/>
          <w:sz w:val="32"/>
          <w:szCs w:val="32"/>
        </w:rPr>
        <w:t>2.</w:t>
      </w:r>
      <w:r>
        <w:rPr>
          <w:rFonts w:hint="eastAsia" w:ascii="Times New Roman" w:hAnsi="Times New Roman" w:eastAsia="仿宋" w:cs="Times New Roman"/>
          <w:bCs/>
          <w:sz w:val="32"/>
          <w:szCs w:val="32"/>
        </w:rPr>
        <w:t>基协登记信息</w:t>
      </w:r>
    </w:p>
    <w:p>
      <w:pPr>
        <w:spacing w:line="560" w:lineRule="exact"/>
        <w:ind w:firstLine="640" w:firstLineChars="200"/>
        <w:rPr>
          <w:rFonts w:ascii="Times New Roman" w:hAnsi="Times New Roman" w:eastAsia="仿宋" w:cs="Times New Roman"/>
          <w:bCs/>
          <w:sz w:val="32"/>
          <w:szCs w:val="32"/>
        </w:rPr>
      </w:pPr>
      <w:r>
        <w:rPr>
          <w:rFonts w:ascii="Times New Roman" w:hAnsi="Times New Roman" w:eastAsia="仿宋" w:cs="Times New Roman"/>
          <w:bCs/>
          <w:sz w:val="32"/>
          <w:szCs w:val="32"/>
        </w:rPr>
        <w:t>3.</w:t>
      </w:r>
      <w:r>
        <w:rPr>
          <w:rFonts w:hint="eastAsia" w:ascii="Times New Roman" w:hAnsi="Times New Roman" w:eastAsia="仿宋" w:cs="Times New Roman"/>
          <w:bCs/>
          <w:sz w:val="32"/>
          <w:szCs w:val="32"/>
        </w:rPr>
        <w:t>历史沿革</w:t>
      </w:r>
    </w:p>
    <w:p>
      <w:pPr>
        <w:spacing w:line="560" w:lineRule="exact"/>
        <w:ind w:firstLine="640" w:firstLineChars="200"/>
        <w:rPr>
          <w:rFonts w:ascii="Times New Roman" w:hAnsi="Times New Roman" w:eastAsia="仿宋" w:cs="Times New Roman"/>
          <w:bCs/>
          <w:sz w:val="32"/>
          <w:szCs w:val="32"/>
        </w:rPr>
      </w:pPr>
      <w:r>
        <w:rPr>
          <w:rFonts w:ascii="Times New Roman" w:hAnsi="Times New Roman" w:eastAsia="仿宋" w:cs="Times New Roman"/>
          <w:bCs/>
          <w:sz w:val="32"/>
          <w:szCs w:val="32"/>
        </w:rPr>
        <w:t>4.</w:t>
      </w:r>
      <w:r>
        <w:rPr>
          <w:rFonts w:hint="eastAsia" w:ascii="Times New Roman" w:hAnsi="Times New Roman" w:eastAsia="仿宋" w:cs="Times New Roman"/>
          <w:bCs/>
          <w:sz w:val="32"/>
          <w:szCs w:val="32"/>
        </w:rPr>
        <w:t>股权结构、实际控制人</w:t>
      </w:r>
    </w:p>
    <w:p>
      <w:pPr>
        <w:spacing w:line="560" w:lineRule="exact"/>
        <w:ind w:firstLine="640" w:firstLineChars="200"/>
        <w:rPr>
          <w:rFonts w:ascii="Times New Roman" w:hAnsi="Times New Roman" w:eastAsia="仿宋" w:cs="Times New Roman"/>
          <w:bCs/>
          <w:sz w:val="32"/>
          <w:szCs w:val="32"/>
        </w:rPr>
      </w:pPr>
      <w:r>
        <w:rPr>
          <w:rFonts w:hint="eastAsia" w:ascii="Times New Roman" w:hAnsi="Times New Roman" w:eastAsia="仿宋" w:cs="Times New Roman"/>
          <w:bCs/>
          <w:sz w:val="32"/>
          <w:szCs w:val="32"/>
        </w:rPr>
        <w:t>图表配合文字详细说明。</w:t>
      </w:r>
    </w:p>
    <w:p>
      <w:pPr>
        <w:spacing w:line="560" w:lineRule="exact"/>
        <w:ind w:firstLine="640" w:firstLineChars="200"/>
        <w:rPr>
          <w:rFonts w:ascii="Times New Roman" w:hAnsi="Times New Roman" w:eastAsia="仿宋" w:cs="Times New Roman"/>
          <w:bCs/>
          <w:sz w:val="32"/>
          <w:szCs w:val="32"/>
        </w:rPr>
      </w:pPr>
      <w:r>
        <w:rPr>
          <w:rFonts w:ascii="Times New Roman" w:hAnsi="Times New Roman" w:eastAsia="仿宋" w:cs="Times New Roman"/>
          <w:bCs/>
          <w:sz w:val="32"/>
          <w:szCs w:val="32"/>
        </w:rPr>
        <w:t>5.</w:t>
      </w:r>
      <w:r>
        <w:rPr>
          <w:rFonts w:hint="eastAsia" w:ascii="Times New Roman" w:hAnsi="Times New Roman" w:eastAsia="仿宋" w:cs="Times New Roman"/>
          <w:bCs/>
          <w:sz w:val="32"/>
          <w:szCs w:val="32"/>
        </w:rPr>
        <w:t>内部治理架构</w:t>
      </w:r>
    </w:p>
    <w:p>
      <w:pPr>
        <w:spacing w:line="560" w:lineRule="exact"/>
        <w:ind w:firstLine="640" w:firstLineChars="200"/>
        <w:rPr>
          <w:rFonts w:ascii="Times New Roman" w:hAnsi="Times New Roman" w:eastAsia="仿宋" w:cs="Times New Roman"/>
          <w:bCs/>
          <w:sz w:val="32"/>
          <w:szCs w:val="32"/>
        </w:rPr>
      </w:pPr>
      <w:r>
        <w:rPr>
          <w:rFonts w:hint="eastAsia" w:ascii="Times New Roman" w:hAnsi="Times New Roman" w:eastAsia="仿宋" w:cs="Times New Roman"/>
          <w:bCs/>
          <w:sz w:val="32"/>
          <w:szCs w:val="32"/>
        </w:rPr>
        <w:t>包括但不限于组织架构（各部门主要职能及人数）、公司治理、内控机制和管理制度、项目遴选机制、投资决策机制、激励约束机制、团队跟进投资机制、资产托管机制和风险控制机制等。</w:t>
      </w:r>
    </w:p>
    <w:p>
      <w:pPr>
        <w:spacing w:line="560" w:lineRule="exact"/>
        <w:ind w:firstLine="640" w:firstLineChars="200"/>
        <w:rPr>
          <w:rFonts w:ascii="Times New Roman" w:hAnsi="Times New Roman" w:eastAsia="仿宋" w:cs="Times New Roman"/>
          <w:bCs/>
          <w:sz w:val="32"/>
          <w:szCs w:val="32"/>
        </w:rPr>
      </w:pPr>
      <w:r>
        <w:rPr>
          <w:rFonts w:ascii="Times New Roman" w:hAnsi="Times New Roman" w:eastAsia="仿宋" w:cs="Times New Roman"/>
          <w:bCs/>
          <w:sz w:val="32"/>
          <w:szCs w:val="32"/>
        </w:rPr>
        <w:t>6.</w:t>
      </w:r>
      <w:r>
        <w:rPr>
          <w:rFonts w:hint="eastAsia" w:ascii="Times New Roman" w:hAnsi="Times New Roman" w:eastAsia="仿宋" w:cs="Times New Roman"/>
          <w:bCs/>
          <w:sz w:val="32"/>
          <w:szCs w:val="32"/>
        </w:rPr>
        <w:t>基金管理机构核心管理团队成员名单</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 w:cs="Times New Roman"/>
          <w:bCs/>
          <w:sz w:val="32"/>
          <w:szCs w:val="32"/>
        </w:rPr>
        <w:t>包括投资团队和中后台赋能团队主要管理人员，涵盖姓名、职务、年龄、毕业院校、专业及学历、加入团队时间、分工情况、与投资和金融相关的工作履历、共同合作经历等内容。</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姓名</w:t>
            </w:r>
          </w:p>
        </w:tc>
        <w:tc>
          <w:tcPr>
            <w:tcW w:w="1420"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职务</w:t>
            </w:r>
          </w:p>
        </w:tc>
        <w:tc>
          <w:tcPr>
            <w:tcW w:w="1420"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简介</w:t>
            </w:r>
          </w:p>
        </w:tc>
        <w:tc>
          <w:tcPr>
            <w:tcW w:w="1420"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入职时间</w:t>
            </w:r>
          </w:p>
        </w:tc>
        <w:tc>
          <w:tcPr>
            <w:tcW w:w="1421"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分工情况</w:t>
            </w:r>
          </w:p>
        </w:tc>
        <w:tc>
          <w:tcPr>
            <w:tcW w:w="1421"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相关履历或证书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600" w:lineRule="exact"/>
              <w:outlineLvl w:val="0"/>
              <w:rPr>
                <w:rFonts w:ascii="仿宋_GB2312" w:hAnsi="仿宋" w:eastAsia="仿宋_GB2312"/>
                <w:kern w:val="0"/>
                <w:sz w:val="24"/>
                <w:szCs w:val="24"/>
              </w:rPr>
            </w:pPr>
          </w:p>
        </w:tc>
        <w:tc>
          <w:tcPr>
            <w:tcW w:w="1420" w:type="dxa"/>
          </w:tcPr>
          <w:p>
            <w:pPr>
              <w:spacing w:line="600" w:lineRule="exact"/>
              <w:outlineLvl w:val="0"/>
              <w:rPr>
                <w:rFonts w:ascii="仿宋_GB2312" w:hAnsi="仿宋" w:eastAsia="仿宋_GB2312"/>
                <w:kern w:val="0"/>
                <w:sz w:val="24"/>
                <w:szCs w:val="24"/>
              </w:rPr>
            </w:pPr>
          </w:p>
        </w:tc>
        <w:tc>
          <w:tcPr>
            <w:tcW w:w="1420" w:type="dxa"/>
          </w:tcPr>
          <w:p>
            <w:pPr>
              <w:spacing w:line="600" w:lineRule="exact"/>
              <w:outlineLvl w:val="0"/>
              <w:rPr>
                <w:rFonts w:ascii="仿宋_GB2312" w:hAnsi="仿宋" w:eastAsia="仿宋_GB2312"/>
                <w:kern w:val="0"/>
                <w:sz w:val="24"/>
                <w:szCs w:val="24"/>
              </w:rPr>
            </w:pPr>
          </w:p>
        </w:tc>
        <w:tc>
          <w:tcPr>
            <w:tcW w:w="1420" w:type="dxa"/>
          </w:tcPr>
          <w:p>
            <w:pPr>
              <w:spacing w:line="600" w:lineRule="exact"/>
              <w:outlineLvl w:val="0"/>
              <w:rPr>
                <w:rFonts w:ascii="仿宋_GB2312" w:hAnsi="仿宋" w:eastAsia="仿宋_GB2312"/>
                <w:kern w:val="0"/>
                <w:sz w:val="24"/>
                <w:szCs w:val="24"/>
              </w:rPr>
            </w:pPr>
          </w:p>
        </w:tc>
        <w:tc>
          <w:tcPr>
            <w:tcW w:w="1421" w:type="dxa"/>
          </w:tcPr>
          <w:p>
            <w:pPr>
              <w:spacing w:line="600" w:lineRule="exact"/>
              <w:outlineLvl w:val="0"/>
              <w:rPr>
                <w:rFonts w:ascii="仿宋_GB2312" w:hAnsi="仿宋" w:eastAsia="仿宋_GB2312"/>
                <w:kern w:val="0"/>
                <w:sz w:val="24"/>
                <w:szCs w:val="24"/>
              </w:rPr>
            </w:pPr>
          </w:p>
        </w:tc>
        <w:tc>
          <w:tcPr>
            <w:tcW w:w="1421" w:type="dxa"/>
          </w:tcPr>
          <w:p>
            <w:pPr>
              <w:spacing w:line="600" w:lineRule="exact"/>
              <w:outlineLvl w:val="0"/>
              <w:rPr>
                <w:rFonts w:ascii="仿宋_GB2312" w:hAnsi="仿宋"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600" w:lineRule="exact"/>
              <w:outlineLvl w:val="0"/>
              <w:rPr>
                <w:rFonts w:ascii="仿宋_GB2312" w:hAnsi="仿宋" w:eastAsia="仿宋_GB2312"/>
                <w:kern w:val="0"/>
                <w:sz w:val="24"/>
                <w:szCs w:val="24"/>
              </w:rPr>
            </w:pPr>
          </w:p>
        </w:tc>
        <w:tc>
          <w:tcPr>
            <w:tcW w:w="1420" w:type="dxa"/>
          </w:tcPr>
          <w:p>
            <w:pPr>
              <w:spacing w:line="600" w:lineRule="exact"/>
              <w:outlineLvl w:val="0"/>
              <w:rPr>
                <w:rFonts w:ascii="仿宋_GB2312" w:hAnsi="仿宋" w:eastAsia="仿宋_GB2312"/>
                <w:kern w:val="0"/>
                <w:sz w:val="24"/>
                <w:szCs w:val="24"/>
              </w:rPr>
            </w:pPr>
          </w:p>
        </w:tc>
        <w:tc>
          <w:tcPr>
            <w:tcW w:w="1420" w:type="dxa"/>
          </w:tcPr>
          <w:p>
            <w:pPr>
              <w:spacing w:line="600" w:lineRule="exact"/>
              <w:outlineLvl w:val="0"/>
              <w:rPr>
                <w:rFonts w:ascii="仿宋_GB2312" w:hAnsi="仿宋" w:eastAsia="仿宋_GB2312"/>
                <w:kern w:val="0"/>
                <w:sz w:val="24"/>
                <w:szCs w:val="24"/>
              </w:rPr>
            </w:pPr>
          </w:p>
        </w:tc>
        <w:tc>
          <w:tcPr>
            <w:tcW w:w="1420" w:type="dxa"/>
          </w:tcPr>
          <w:p>
            <w:pPr>
              <w:spacing w:line="600" w:lineRule="exact"/>
              <w:outlineLvl w:val="0"/>
              <w:rPr>
                <w:rFonts w:ascii="仿宋_GB2312" w:hAnsi="仿宋" w:eastAsia="仿宋_GB2312"/>
                <w:kern w:val="0"/>
                <w:sz w:val="24"/>
                <w:szCs w:val="24"/>
              </w:rPr>
            </w:pPr>
          </w:p>
        </w:tc>
        <w:tc>
          <w:tcPr>
            <w:tcW w:w="1421" w:type="dxa"/>
          </w:tcPr>
          <w:p>
            <w:pPr>
              <w:spacing w:line="600" w:lineRule="exact"/>
              <w:outlineLvl w:val="0"/>
              <w:rPr>
                <w:rFonts w:ascii="仿宋_GB2312" w:hAnsi="仿宋" w:eastAsia="仿宋_GB2312"/>
                <w:kern w:val="0"/>
                <w:sz w:val="24"/>
                <w:szCs w:val="24"/>
              </w:rPr>
            </w:pPr>
          </w:p>
        </w:tc>
        <w:tc>
          <w:tcPr>
            <w:tcW w:w="1421" w:type="dxa"/>
          </w:tcPr>
          <w:p>
            <w:pPr>
              <w:spacing w:line="600" w:lineRule="exact"/>
              <w:outlineLvl w:val="0"/>
              <w:rPr>
                <w:rFonts w:ascii="仿宋_GB2312" w:hAnsi="仿宋" w:eastAsia="仿宋_GB2312"/>
                <w:kern w:val="0"/>
                <w:sz w:val="24"/>
                <w:szCs w:val="24"/>
              </w:rPr>
            </w:pPr>
          </w:p>
        </w:tc>
      </w:tr>
    </w:tbl>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管理机构及其主要股东、普通合伙人在管基金情况</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分基金列示，图表配合文字详细说明，包括：基金名称、注册地、设立时间、基金规模、实缴资本、主要出资人、投资领域、投资阶段、投资项目数量及金额、退出项目数量及金额、退出方式、基金业绩（IRR、DPI、MOIC）（以L</w:t>
      </w:r>
      <w:r>
        <w:rPr>
          <w:rFonts w:ascii="Times New Roman" w:hAnsi="Times New Roman" w:eastAsia="仿宋_GB2312" w:cs="Times New Roman"/>
          <w:sz w:val="32"/>
          <w:szCs w:val="32"/>
        </w:rPr>
        <w:t>P</w:t>
      </w:r>
      <w:r>
        <w:rPr>
          <w:rFonts w:hint="eastAsia" w:ascii="Times New Roman" w:hAnsi="Times New Roman" w:eastAsia="仿宋_GB2312" w:cs="Times New Roman"/>
          <w:sz w:val="32"/>
          <w:szCs w:val="32"/>
        </w:rPr>
        <w:t>资金进出时点计算）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基金的核心团队等，以及本基金相对于其他基金的独立性说明（内容包括但不限于本基金投资领域内的投资机会在本基金和其他在管基金之间如何分配）。若有过与国家及地方引导基金合作经历，请列示返投要求及返投完成情况。</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负面舆情信息披露</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w:t>
      </w:r>
      <w:r>
        <w:rPr>
          <w:rFonts w:hint="eastAsia" w:ascii="Times New Roman" w:hAnsi="Times New Roman" w:eastAsia="仿宋_GB2312" w:cs="Times New Roman"/>
          <w:sz w:val="32"/>
          <w:szCs w:val="32"/>
        </w:rPr>
        <w:t>管理人优势</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请简要说明管理人异于其他同类机构的优势，包括不限于机构资源禀赋等，能为已投项目提供的核心外部资源链接，科学顾问团队名单、专家顾问团队名单。</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（二）拟设子基金管理团队</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1.拟设</w:t>
      </w:r>
      <w:r>
        <w:rPr>
          <w:rFonts w:hint="eastAsia" w:ascii="Times New Roman" w:hAnsi="Times New Roman" w:eastAsia="仿宋_GB2312" w:cs="Times New Roman"/>
          <w:sz w:val="32"/>
          <w:szCs w:val="32"/>
        </w:rPr>
        <w:t>子基金核心管理团队成员构成及分工。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127"/>
        <w:gridCol w:w="956"/>
        <w:gridCol w:w="1352"/>
        <w:gridCol w:w="1111"/>
        <w:gridCol w:w="944"/>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姓名</w:t>
            </w:r>
          </w:p>
        </w:tc>
        <w:tc>
          <w:tcPr>
            <w:tcW w:w="1127"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职务</w:t>
            </w:r>
          </w:p>
        </w:tc>
        <w:tc>
          <w:tcPr>
            <w:tcW w:w="956"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简介</w:t>
            </w:r>
          </w:p>
        </w:tc>
        <w:tc>
          <w:tcPr>
            <w:tcW w:w="1352"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入职时间</w:t>
            </w:r>
          </w:p>
        </w:tc>
        <w:tc>
          <w:tcPr>
            <w:tcW w:w="1111"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分工情况</w:t>
            </w:r>
          </w:p>
        </w:tc>
        <w:tc>
          <w:tcPr>
            <w:tcW w:w="944"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常驻地</w:t>
            </w:r>
          </w:p>
        </w:tc>
        <w:tc>
          <w:tcPr>
            <w:tcW w:w="1927" w:type="dxa"/>
          </w:tcPr>
          <w:p>
            <w:pPr>
              <w:spacing w:line="600" w:lineRule="exact"/>
              <w:outlineLvl w:val="0"/>
              <w:rPr>
                <w:rFonts w:ascii="仿宋_GB2312" w:hAnsi="仿宋" w:eastAsia="仿宋_GB2312"/>
                <w:kern w:val="0"/>
                <w:sz w:val="24"/>
                <w:szCs w:val="24"/>
              </w:rPr>
            </w:pPr>
            <w:r>
              <w:rPr>
                <w:rFonts w:hint="eastAsia" w:ascii="仿宋_GB2312" w:hAnsi="仿宋" w:eastAsia="仿宋_GB2312"/>
                <w:kern w:val="0"/>
                <w:sz w:val="24"/>
                <w:szCs w:val="24"/>
              </w:rPr>
              <w:t>在管理公司或</w:t>
            </w:r>
            <w:r>
              <w:rPr>
                <w:rFonts w:ascii="仿宋_GB2312" w:hAnsi="仿宋" w:eastAsia="仿宋_GB2312"/>
                <w:kern w:val="0"/>
                <w:sz w:val="24"/>
                <w:szCs w:val="24"/>
              </w:rPr>
              <w:t>GP</w:t>
            </w:r>
            <w:r>
              <w:rPr>
                <w:rFonts w:hint="eastAsia" w:ascii="仿宋_GB2312" w:hAnsi="仿宋" w:eastAsia="仿宋_GB2312"/>
                <w:kern w:val="0"/>
                <w:sz w:val="24"/>
                <w:szCs w:val="24"/>
              </w:rPr>
              <w:t>公司持股比例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600" w:lineRule="exact"/>
              <w:outlineLvl w:val="0"/>
              <w:rPr>
                <w:rFonts w:ascii="仿宋_GB2312" w:hAnsi="仿宋" w:eastAsia="仿宋_GB2312"/>
                <w:kern w:val="0"/>
                <w:sz w:val="24"/>
                <w:szCs w:val="24"/>
              </w:rPr>
            </w:pPr>
          </w:p>
        </w:tc>
        <w:tc>
          <w:tcPr>
            <w:tcW w:w="1127" w:type="dxa"/>
          </w:tcPr>
          <w:p>
            <w:pPr>
              <w:spacing w:line="600" w:lineRule="exact"/>
              <w:outlineLvl w:val="0"/>
              <w:rPr>
                <w:rFonts w:ascii="仿宋_GB2312" w:hAnsi="仿宋" w:eastAsia="仿宋_GB2312"/>
                <w:kern w:val="0"/>
                <w:sz w:val="24"/>
                <w:szCs w:val="24"/>
              </w:rPr>
            </w:pPr>
          </w:p>
        </w:tc>
        <w:tc>
          <w:tcPr>
            <w:tcW w:w="956" w:type="dxa"/>
          </w:tcPr>
          <w:p>
            <w:pPr>
              <w:spacing w:line="600" w:lineRule="exact"/>
              <w:outlineLvl w:val="0"/>
              <w:rPr>
                <w:rFonts w:ascii="仿宋_GB2312" w:hAnsi="仿宋" w:eastAsia="仿宋_GB2312"/>
                <w:kern w:val="0"/>
                <w:sz w:val="24"/>
                <w:szCs w:val="24"/>
              </w:rPr>
            </w:pPr>
          </w:p>
        </w:tc>
        <w:tc>
          <w:tcPr>
            <w:tcW w:w="1352" w:type="dxa"/>
          </w:tcPr>
          <w:p>
            <w:pPr>
              <w:spacing w:line="600" w:lineRule="exact"/>
              <w:outlineLvl w:val="0"/>
              <w:rPr>
                <w:rFonts w:ascii="仿宋_GB2312" w:hAnsi="仿宋" w:eastAsia="仿宋_GB2312"/>
                <w:kern w:val="0"/>
                <w:sz w:val="24"/>
                <w:szCs w:val="24"/>
              </w:rPr>
            </w:pPr>
          </w:p>
        </w:tc>
        <w:tc>
          <w:tcPr>
            <w:tcW w:w="1111" w:type="dxa"/>
          </w:tcPr>
          <w:p>
            <w:pPr>
              <w:spacing w:line="600" w:lineRule="exact"/>
              <w:outlineLvl w:val="0"/>
              <w:rPr>
                <w:rFonts w:ascii="仿宋_GB2312" w:hAnsi="仿宋" w:eastAsia="仿宋_GB2312"/>
                <w:kern w:val="0"/>
                <w:sz w:val="24"/>
                <w:szCs w:val="24"/>
              </w:rPr>
            </w:pPr>
          </w:p>
        </w:tc>
        <w:tc>
          <w:tcPr>
            <w:tcW w:w="944" w:type="dxa"/>
          </w:tcPr>
          <w:p>
            <w:pPr>
              <w:spacing w:line="600" w:lineRule="exact"/>
              <w:outlineLvl w:val="0"/>
              <w:rPr>
                <w:rFonts w:ascii="仿宋_GB2312" w:hAnsi="仿宋" w:eastAsia="仿宋_GB2312"/>
                <w:kern w:val="0"/>
                <w:sz w:val="24"/>
                <w:szCs w:val="24"/>
              </w:rPr>
            </w:pPr>
          </w:p>
        </w:tc>
        <w:tc>
          <w:tcPr>
            <w:tcW w:w="1927" w:type="dxa"/>
          </w:tcPr>
          <w:p>
            <w:pPr>
              <w:spacing w:line="600" w:lineRule="exact"/>
              <w:outlineLvl w:val="0"/>
              <w:rPr>
                <w:rFonts w:ascii="仿宋_GB2312" w:hAnsi="仿宋"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600" w:lineRule="exact"/>
              <w:outlineLvl w:val="0"/>
              <w:rPr>
                <w:rFonts w:ascii="仿宋_GB2312" w:hAnsi="仿宋" w:eastAsia="仿宋_GB2312"/>
                <w:kern w:val="0"/>
                <w:sz w:val="24"/>
                <w:szCs w:val="24"/>
              </w:rPr>
            </w:pPr>
          </w:p>
        </w:tc>
        <w:tc>
          <w:tcPr>
            <w:tcW w:w="1127" w:type="dxa"/>
          </w:tcPr>
          <w:p>
            <w:pPr>
              <w:spacing w:line="600" w:lineRule="exact"/>
              <w:outlineLvl w:val="0"/>
              <w:rPr>
                <w:rFonts w:ascii="仿宋_GB2312" w:hAnsi="仿宋" w:eastAsia="仿宋_GB2312"/>
                <w:kern w:val="0"/>
                <w:sz w:val="24"/>
                <w:szCs w:val="24"/>
              </w:rPr>
            </w:pPr>
          </w:p>
        </w:tc>
        <w:tc>
          <w:tcPr>
            <w:tcW w:w="956" w:type="dxa"/>
          </w:tcPr>
          <w:p>
            <w:pPr>
              <w:spacing w:line="600" w:lineRule="exact"/>
              <w:outlineLvl w:val="0"/>
              <w:rPr>
                <w:rFonts w:ascii="仿宋_GB2312" w:hAnsi="仿宋" w:eastAsia="仿宋_GB2312"/>
                <w:kern w:val="0"/>
                <w:sz w:val="24"/>
                <w:szCs w:val="24"/>
              </w:rPr>
            </w:pPr>
          </w:p>
        </w:tc>
        <w:tc>
          <w:tcPr>
            <w:tcW w:w="1352" w:type="dxa"/>
          </w:tcPr>
          <w:p>
            <w:pPr>
              <w:spacing w:line="600" w:lineRule="exact"/>
              <w:outlineLvl w:val="0"/>
              <w:rPr>
                <w:rFonts w:ascii="仿宋_GB2312" w:hAnsi="仿宋" w:eastAsia="仿宋_GB2312"/>
                <w:kern w:val="0"/>
                <w:sz w:val="24"/>
                <w:szCs w:val="24"/>
              </w:rPr>
            </w:pPr>
          </w:p>
        </w:tc>
        <w:tc>
          <w:tcPr>
            <w:tcW w:w="1111" w:type="dxa"/>
          </w:tcPr>
          <w:p>
            <w:pPr>
              <w:spacing w:line="600" w:lineRule="exact"/>
              <w:outlineLvl w:val="0"/>
              <w:rPr>
                <w:rFonts w:ascii="仿宋_GB2312" w:hAnsi="仿宋" w:eastAsia="仿宋_GB2312"/>
                <w:kern w:val="0"/>
                <w:sz w:val="24"/>
                <w:szCs w:val="24"/>
              </w:rPr>
            </w:pPr>
          </w:p>
        </w:tc>
        <w:tc>
          <w:tcPr>
            <w:tcW w:w="944" w:type="dxa"/>
          </w:tcPr>
          <w:p>
            <w:pPr>
              <w:spacing w:line="600" w:lineRule="exact"/>
              <w:outlineLvl w:val="0"/>
              <w:rPr>
                <w:rFonts w:ascii="仿宋_GB2312" w:hAnsi="仿宋" w:eastAsia="仿宋_GB2312"/>
                <w:kern w:val="0"/>
                <w:sz w:val="24"/>
                <w:szCs w:val="24"/>
              </w:rPr>
            </w:pPr>
          </w:p>
        </w:tc>
        <w:tc>
          <w:tcPr>
            <w:tcW w:w="1927" w:type="dxa"/>
          </w:tcPr>
          <w:p>
            <w:pPr>
              <w:spacing w:line="600" w:lineRule="exact"/>
              <w:outlineLvl w:val="0"/>
              <w:rPr>
                <w:rFonts w:ascii="仿宋_GB2312" w:hAnsi="仿宋" w:eastAsia="仿宋_GB2312"/>
                <w:kern w:val="0"/>
                <w:sz w:val="24"/>
                <w:szCs w:val="24"/>
              </w:rPr>
            </w:pPr>
          </w:p>
        </w:tc>
      </w:tr>
    </w:tbl>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按顺序依次阐述拟设</w:t>
      </w:r>
      <w:r>
        <w:rPr>
          <w:rFonts w:hint="eastAsia" w:ascii="Times New Roman" w:hAnsi="Times New Roman" w:eastAsia="仿宋_GB2312" w:cs="Times New Roman"/>
          <w:sz w:val="32"/>
          <w:szCs w:val="32"/>
        </w:rPr>
        <w:t>子基金核心管理团队成员</w:t>
      </w:r>
      <w:r>
        <w:rPr>
          <w:rFonts w:ascii="Times New Roman" w:hAnsi="Times New Roman" w:eastAsia="仿宋_GB2312" w:cs="Times New Roman"/>
          <w:sz w:val="32"/>
          <w:szCs w:val="32"/>
        </w:rPr>
        <w:t>详细资料及履历、</w:t>
      </w:r>
      <w:r>
        <w:rPr>
          <w:rFonts w:hint="eastAsia" w:ascii="Times New Roman" w:hAnsi="Times New Roman" w:eastAsia="仿宋_GB2312" w:cs="Times New Roman"/>
          <w:sz w:val="32"/>
          <w:szCs w:val="32"/>
        </w:rPr>
        <w:t>获奖情况</w:t>
      </w:r>
      <w:r>
        <w:rPr>
          <w:rFonts w:ascii="Times New Roman" w:hAnsi="Times New Roman" w:eastAsia="仿宋_GB2312" w:cs="Times New Roman"/>
          <w:sz w:val="32"/>
          <w:szCs w:val="32"/>
        </w:rPr>
        <w:t>、管理各类基金情况、</w:t>
      </w:r>
      <w:r>
        <w:rPr>
          <w:rFonts w:hint="eastAsia" w:ascii="Times New Roman" w:hAnsi="Times New Roman" w:eastAsia="仿宋_GB2312" w:cs="Times New Roman"/>
          <w:sz w:val="32"/>
          <w:szCs w:val="32"/>
        </w:rPr>
        <w:t>项目投资业绩（包括投资时点、投资金额、投资绩效和担任角色），项目来源渠道</w:t>
      </w:r>
      <w:r>
        <w:rPr>
          <w:rFonts w:ascii="Times New Roman" w:hAnsi="Times New Roman" w:eastAsia="仿宋_GB2312" w:cs="Times New Roman"/>
          <w:sz w:val="32"/>
          <w:szCs w:val="32"/>
        </w:rPr>
        <w:t>；</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.提供</w:t>
      </w:r>
      <w:r>
        <w:rPr>
          <w:rFonts w:hint="eastAsia" w:ascii="Times New Roman" w:hAnsi="Times New Roman" w:eastAsia="仿宋_GB2312" w:cs="Times New Roman"/>
          <w:sz w:val="32"/>
          <w:szCs w:val="32"/>
        </w:rPr>
        <w:t>子基金核心管理团队成员</w:t>
      </w:r>
      <w:r>
        <w:rPr>
          <w:rFonts w:ascii="Times New Roman" w:hAnsi="Times New Roman" w:eastAsia="仿宋_GB2312" w:cs="Times New Roman"/>
          <w:sz w:val="32"/>
          <w:szCs w:val="32"/>
        </w:rPr>
        <w:t>之间的合作经历（如有）；</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.提供</w:t>
      </w:r>
      <w:r>
        <w:rPr>
          <w:rFonts w:hint="eastAsia" w:ascii="Times New Roman" w:hAnsi="Times New Roman" w:eastAsia="仿宋_GB2312" w:cs="Times New Roman"/>
          <w:sz w:val="32"/>
          <w:szCs w:val="32"/>
        </w:rPr>
        <w:t>子基金核心管理团队成员</w:t>
      </w:r>
      <w:r>
        <w:rPr>
          <w:rFonts w:ascii="Times New Roman" w:hAnsi="Times New Roman" w:eastAsia="仿宋_GB2312" w:cs="Times New Roman"/>
          <w:sz w:val="32"/>
          <w:szCs w:val="32"/>
        </w:rPr>
        <w:t>已投资</w:t>
      </w:r>
      <w:r>
        <w:rPr>
          <w:rFonts w:hint="eastAsia" w:ascii="Times New Roman" w:hAnsi="Times New Roman" w:eastAsia="仿宋_GB2312" w:cs="Times New Roman"/>
          <w:sz w:val="32"/>
          <w:szCs w:val="32"/>
        </w:rPr>
        <w:t>的已上市及回报倍数大于5倍的天使类</w:t>
      </w:r>
      <w:r>
        <w:rPr>
          <w:rFonts w:ascii="Times New Roman" w:hAnsi="Times New Roman" w:eastAsia="仿宋_GB2312" w:cs="Times New Roman"/>
          <w:sz w:val="32"/>
          <w:szCs w:val="32"/>
        </w:rPr>
        <w:t>项目名称、</w:t>
      </w:r>
      <w:r>
        <w:rPr>
          <w:rFonts w:hint="eastAsia" w:ascii="Times New Roman" w:hAnsi="Times New Roman" w:eastAsia="仿宋_GB2312" w:cs="Times New Roman"/>
          <w:sz w:val="32"/>
          <w:szCs w:val="32"/>
        </w:rPr>
        <w:t>注册地址</w:t>
      </w:r>
      <w:r>
        <w:rPr>
          <w:rFonts w:ascii="Times New Roman" w:hAnsi="Times New Roman" w:eastAsia="仿宋_GB2312" w:cs="Times New Roman"/>
          <w:sz w:val="32"/>
          <w:szCs w:val="32"/>
        </w:rPr>
        <w:t>、投资时间、投资金额、初始股权比例、退出金额、目前持有价值、IRR、团队主要成员参与角色等；</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hint="eastAsia"/>
        </w:rPr>
        <w:t xml:space="preserve"> </w:t>
      </w:r>
      <w:r>
        <w:rPr>
          <w:rFonts w:hint="eastAsia" w:ascii="Times New Roman" w:hAnsi="Times New Roman" w:eastAsia="仿宋_GB2312" w:cs="Times New Roman"/>
          <w:sz w:val="32"/>
          <w:szCs w:val="32"/>
        </w:rPr>
        <w:t>提供子基金核心管理团队成员已投资的已上市及回报倍数大于5倍的非天使类项目名称、注册地址、投资时间、投资金额、初始股权比例、退出金额、目前持有价值、IRR、团队主要成员参与角色等。</w:t>
      </w:r>
      <w:r>
        <w:rPr>
          <w:rFonts w:ascii="Times New Roman" w:hAnsi="Times New Roman" w:eastAsia="仿宋_GB2312" w:cs="Times New Roman"/>
          <w:sz w:val="32"/>
          <w:szCs w:val="32"/>
        </w:rPr>
        <w:t xml:space="preserve"> </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四、基金框架</w:t>
      </w:r>
      <w:r>
        <w:rPr>
          <w:rFonts w:hint="eastAsia" w:ascii="Times New Roman" w:hAnsi="Times New Roman" w:eastAsia="黑体" w:cs="Times New Roman"/>
          <w:sz w:val="32"/>
          <w:szCs w:val="32"/>
        </w:rPr>
        <w:t>方案</w:t>
      </w:r>
    </w:p>
    <w:p>
      <w:pPr>
        <w:spacing w:line="56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包括基金名称、基金规模、组织形式、存续期限、注册地、基金出资安排、投资策略、投资阶段、管理模式、投委会构成、收益分配、申请的激励政策。</w:t>
      </w: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五、项目储备情况</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应包含项目简介、成立时间、所属细分领域、所处地域、项目技术</w:t>
      </w:r>
      <w:r>
        <w:rPr>
          <w:rFonts w:hint="eastAsia" w:ascii="Times New Roman" w:hAnsi="Times New Roman" w:eastAsia="仿宋_GB2312" w:cs="Times New Roman"/>
          <w:sz w:val="32"/>
          <w:szCs w:val="32"/>
        </w:rPr>
        <w:t>优势或商业模式</w:t>
      </w:r>
      <w:r>
        <w:rPr>
          <w:rFonts w:ascii="Times New Roman" w:hAnsi="Times New Roman" w:eastAsia="仿宋_GB2312" w:cs="Times New Roman"/>
          <w:sz w:val="32"/>
          <w:szCs w:val="32"/>
        </w:rPr>
        <w:t>亮点、计划投资金额、投资轮次</w:t>
      </w:r>
      <w:r>
        <w:rPr>
          <w:rFonts w:hint="eastAsia" w:ascii="Times New Roman" w:hAnsi="Times New Roman" w:eastAsia="仿宋_GB2312" w:cs="Times New Roman"/>
          <w:sz w:val="32"/>
          <w:szCs w:val="32"/>
        </w:rPr>
        <w:t>、目前进展</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是否拟引入成都高新区</w:t>
      </w:r>
      <w:r>
        <w:rPr>
          <w:rFonts w:ascii="Times New Roman" w:hAnsi="Times New Roman" w:eastAsia="仿宋_GB2312" w:cs="Times New Roman"/>
          <w:sz w:val="32"/>
          <w:szCs w:val="3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YWYzNDZlYjlhODliN2QyNGFiYTBmMTkzMDEyZGMifQ=="/>
    <w:docVar w:name="KSO_WPS_MARK_KEY" w:val="ba0f75d1-6802-4826-9639-c807b441aad7"/>
  </w:docVars>
  <w:rsids>
    <w:rsidRoot w:val="00B10760"/>
    <w:rsid w:val="003E5EC5"/>
    <w:rsid w:val="00A92244"/>
    <w:rsid w:val="00B10760"/>
    <w:rsid w:val="0C362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1343</Words>
  <Characters>1382</Characters>
  <Lines>10</Lines>
  <Paragraphs>3</Paragraphs>
  <TotalTime>0</TotalTime>
  <ScaleCrop>false</ScaleCrop>
  <LinksUpToDate>false</LinksUpToDate>
  <CharactersWithSpaces>1384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2024-06-07T07:27:00Z</dcterms:created>
  <dc:creator>Windows User</dc:creator>
  <cp:lastModifiedBy>Xiaohong WEI</cp:lastModifiedBy>
  <dcterms:modified xsi:type="dcterms:W3CDTF">2025-05-20T10:04:10Z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8ED5DC9957EC40C598A55A70FA6A0342</vt:lpwstr>
  </property>
</Properties>
</file>