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60" w:lineRule="exact"/>
        <w:outlineLvl w:val="0"/>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附件</w:t>
      </w:r>
      <w:r>
        <w:rPr>
          <w:rFonts w:hint="eastAsia" w:ascii="Times New Roman" w:hAnsi="Times New Roman" w:eastAsia="仿宋_GB2312" w:cs="Times New Roman"/>
          <w:b/>
          <w:bCs/>
          <w:kern w:val="0"/>
          <w:sz w:val="32"/>
          <w:szCs w:val="32"/>
        </w:rPr>
        <w:t>6</w:t>
      </w:r>
    </w:p>
    <w:p>
      <w:pPr>
        <w:spacing w:line="700" w:lineRule="exact"/>
        <w:jc w:val="center"/>
        <w:rPr>
          <w:rFonts w:ascii="宋体" w:hAnsi="宋体"/>
          <w:b/>
          <w:bCs/>
          <w:sz w:val="44"/>
          <w:szCs w:val="44"/>
        </w:rPr>
      </w:pPr>
      <w:r>
        <w:rPr>
          <w:rFonts w:ascii="宋体" w:hAnsi="宋体"/>
          <w:b/>
          <w:bCs/>
          <w:sz w:val="44"/>
          <w:szCs w:val="44"/>
        </w:rPr>
        <w:t>子基金合规性自查表</w:t>
      </w:r>
    </w:p>
    <w:p>
      <w:pPr>
        <w:spacing w:line="590" w:lineRule="exact"/>
        <w:rPr>
          <w:rFonts w:ascii="仿宋_GB2312" w:hAnsi="仿宋" w:eastAsia="仿宋_GB2312"/>
          <w:sz w:val="27"/>
          <w:szCs w:val="27"/>
        </w:rPr>
      </w:pPr>
    </w:p>
    <w:tbl>
      <w:tblPr>
        <w:tblStyle w:val="2"/>
        <w:tblW w:w="496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45" w:type="dxa"/>
          <w:bottom w:w="0" w:type="dxa"/>
          <w:right w:w="45" w:type="dxa"/>
        </w:tblCellMar>
      </w:tblPr>
      <w:tblGrid>
        <w:gridCol w:w="1259"/>
        <w:gridCol w:w="5346"/>
        <w:gridCol w:w="648"/>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3956" w:type="pct"/>
            <w:gridSpan w:val="2"/>
            <w:tcMar>
              <w:top w:w="52" w:type="dxa"/>
              <w:left w:w="52" w:type="dxa"/>
              <w:bottom w:w="52" w:type="dxa"/>
              <w:right w:w="52" w:type="dxa"/>
            </w:tcMar>
            <w:vAlign w:val="center"/>
          </w:tcPr>
          <w:p>
            <w:pPr>
              <w:pStyle w:val="4"/>
              <w:jc w:val="center"/>
              <w:rPr>
                <w:rFonts w:ascii="黑体" w:hAnsi="黑体" w:eastAsia="黑体" w:cs="Times New Roman"/>
                <w:b/>
                <w:sz w:val="22"/>
              </w:rPr>
            </w:pPr>
            <w:r>
              <w:rPr>
                <w:rFonts w:ascii="黑体" w:hAnsi="黑体" w:eastAsia="黑体" w:cs="Times New Roman"/>
                <w:b/>
                <w:sz w:val="22"/>
              </w:rPr>
              <w:t>项目</w:t>
            </w:r>
          </w:p>
        </w:tc>
        <w:tc>
          <w:tcPr>
            <w:tcW w:w="388" w:type="pct"/>
            <w:tcMar>
              <w:top w:w="52" w:type="dxa"/>
              <w:left w:w="52" w:type="dxa"/>
              <w:bottom w:w="52" w:type="dxa"/>
              <w:right w:w="52" w:type="dxa"/>
            </w:tcMar>
            <w:vAlign w:val="center"/>
          </w:tcPr>
          <w:p>
            <w:pPr>
              <w:pStyle w:val="4"/>
              <w:jc w:val="center"/>
              <w:rPr>
                <w:rFonts w:ascii="黑体" w:hAnsi="黑体" w:eastAsia="黑体" w:cs="Times New Roman"/>
                <w:b/>
                <w:sz w:val="22"/>
              </w:rPr>
            </w:pPr>
            <w:r>
              <w:rPr>
                <w:rFonts w:ascii="黑体" w:hAnsi="黑体" w:eastAsia="黑体" w:cs="Times New Roman"/>
                <w:b/>
                <w:sz w:val="22"/>
              </w:rPr>
              <w:t>是否符合</w:t>
            </w:r>
          </w:p>
        </w:tc>
        <w:tc>
          <w:tcPr>
            <w:tcW w:w="655" w:type="pct"/>
            <w:tcMar>
              <w:top w:w="52" w:type="dxa"/>
              <w:left w:w="52" w:type="dxa"/>
              <w:bottom w:w="52" w:type="dxa"/>
              <w:right w:w="52" w:type="dxa"/>
            </w:tcMar>
            <w:vAlign w:val="center"/>
          </w:tcPr>
          <w:p>
            <w:pPr>
              <w:pStyle w:val="4"/>
              <w:jc w:val="center"/>
              <w:rPr>
                <w:rFonts w:ascii="黑体" w:hAnsi="黑体" w:eastAsia="黑体" w:cs="Times New Roman"/>
                <w:b/>
                <w:sz w:val="22"/>
              </w:rPr>
            </w:pPr>
            <w:r>
              <w:rPr>
                <w:rFonts w:ascii="黑体" w:hAnsi="黑体" w:eastAsia="黑体" w:cs="Times New Roman"/>
                <w:b/>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5000" w:type="pct"/>
            <w:gridSpan w:val="4"/>
            <w:tcMar>
              <w:top w:w="52" w:type="dxa"/>
              <w:left w:w="52" w:type="dxa"/>
              <w:bottom w:w="52" w:type="dxa"/>
              <w:right w:w="52" w:type="dxa"/>
            </w:tcMar>
            <w:vAlign w:val="center"/>
          </w:tcPr>
          <w:p>
            <w:pPr>
              <w:pStyle w:val="4"/>
              <w:rPr>
                <w:rFonts w:ascii="黑体" w:hAnsi="黑体" w:eastAsia="黑体" w:cs="Times New Roman"/>
                <w:b/>
                <w:bCs/>
                <w:sz w:val="22"/>
              </w:rPr>
            </w:pPr>
            <w:r>
              <w:rPr>
                <w:rFonts w:hint="eastAsia" w:ascii="黑体" w:hAnsi="黑体" w:eastAsia="黑体" w:cs="Times New Roman"/>
                <w:b/>
                <w:bCs/>
                <w:sz w:val="22"/>
              </w:rPr>
              <w:t>一</w:t>
            </w:r>
            <w:r>
              <w:rPr>
                <w:rFonts w:ascii="黑体" w:hAnsi="黑体" w:eastAsia="黑体" w:cs="Times New Roman"/>
                <w:b/>
                <w:bCs/>
                <w:sz w:val="22"/>
              </w:rPr>
              <w:t>、子基金</w:t>
            </w:r>
            <w:r>
              <w:rPr>
                <w:rFonts w:hint="eastAsia" w:ascii="黑体" w:hAnsi="黑体" w:eastAsia="黑体" w:cs="Times New Roman"/>
                <w:b/>
                <w:bCs/>
                <w:sz w:val="22"/>
              </w:rPr>
              <w:t>管理</w:t>
            </w:r>
            <w:r>
              <w:rPr>
                <w:rFonts w:ascii="黑体" w:hAnsi="黑体" w:eastAsia="黑体" w:cs="Times New Roman"/>
                <w:b/>
                <w:bCs/>
                <w:sz w:val="22"/>
              </w:rPr>
              <w:t>机构应符合以下条件</w:t>
            </w:r>
            <w:r>
              <w:rPr>
                <w:rFonts w:hint="eastAsia" w:ascii="黑体" w:hAnsi="黑体" w:eastAsia="黑体" w:cs="Times New Roman"/>
                <w:b/>
                <w:bCs/>
                <w:sz w:val="22"/>
                <w:lang w:eastAsia="zh-CN"/>
              </w:rPr>
              <w:t>（</w:t>
            </w:r>
            <w:r>
              <w:rPr>
                <w:rFonts w:hint="eastAsia" w:ascii="黑体" w:hAnsi="黑体" w:eastAsia="黑体" w:cs="Times New Roman"/>
                <w:b/>
                <w:bCs/>
                <w:sz w:val="22"/>
                <w:lang w:val="en-US" w:eastAsia="zh-CN"/>
              </w:rPr>
              <w:t>必须上传相关佐证资料</w:t>
            </w:r>
            <w:bookmarkStart w:id="0" w:name="_GoBack"/>
            <w:bookmarkEnd w:id="0"/>
            <w:r>
              <w:rPr>
                <w:rFonts w:hint="eastAsia" w:ascii="黑体" w:hAnsi="黑体" w:eastAsia="黑体" w:cs="Times New Roman"/>
                <w:b/>
                <w:bCs/>
                <w:sz w:val="22"/>
                <w:lang w:eastAsia="zh-CN"/>
              </w:rPr>
              <w:t>）</w:t>
            </w:r>
            <w:r>
              <w:rPr>
                <w:rFonts w:ascii="黑体" w:hAnsi="黑体" w:eastAsia="黑体" w:cs="Times New Roman"/>
                <w:b/>
                <w:bCs/>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754" w:type="pct"/>
            <w:vAlign w:val="center"/>
          </w:tcPr>
          <w:p>
            <w:pPr>
              <w:pStyle w:val="4"/>
              <w:jc w:val="center"/>
              <w:rPr>
                <w:rFonts w:ascii="仿宋_GB2312" w:hAnsi="仿宋" w:eastAsia="仿宋_GB2312" w:cs="Times New Roman"/>
                <w:bCs/>
                <w:sz w:val="22"/>
              </w:rPr>
            </w:pPr>
            <w:r>
              <w:rPr>
                <w:rFonts w:hint="eastAsia" w:ascii="仿宋_GB2312" w:hAnsi="仿宋" w:eastAsia="仿宋_GB2312" w:cs="Times New Roman"/>
                <w:bCs/>
                <w:sz w:val="22"/>
              </w:rPr>
              <w:t>实缴资本</w:t>
            </w:r>
          </w:p>
        </w:tc>
        <w:tc>
          <w:tcPr>
            <w:tcW w:w="3201" w:type="pct"/>
            <w:tcMar>
              <w:top w:w="52" w:type="dxa"/>
              <w:left w:w="52" w:type="dxa"/>
              <w:bottom w:w="52" w:type="dxa"/>
              <w:right w:w="52" w:type="dxa"/>
            </w:tcMar>
            <w:vAlign w:val="center"/>
          </w:tcPr>
          <w:p>
            <w:pPr>
              <w:pStyle w:val="4"/>
              <w:rPr>
                <w:rFonts w:ascii="仿宋_GB2312" w:hAnsi="仿宋" w:eastAsia="仿宋_GB2312" w:cs="Times New Roman"/>
                <w:bCs/>
                <w:sz w:val="22"/>
              </w:rPr>
            </w:pPr>
            <w:r>
              <w:rPr>
                <w:rFonts w:hint="eastAsia" w:ascii="仿宋_GB2312" w:hAnsi="仿宋" w:eastAsia="仿宋_GB2312" w:cs="Times New Roman"/>
                <w:bCs/>
                <w:sz w:val="22"/>
              </w:rPr>
              <w:t>实缴注册资本不低于1</w:t>
            </w:r>
            <w:r>
              <w:rPr>
                <w:rFonts w:ascii="仿宋_GB2312" w:hAnsi="仿宋" w:eastAsia="仿宋_GB2312" w:cs="Times New Roman"/>
                <w:bCs/>
                <w:sz w:val="22"/>
              </w:rPr>
              <w:t>0</w:t>
            </w:r>
            <w:r>
              <w:rPr>
                <w:rFonts w:hint="eastAsia" w:ascii="仿宋_GB2312" w:hAnsi="仿宋" w:eastAsia="仿宋_GB2312" w:cs="Times New Roman"/>
                <w:bCs/>
                <w:sz w:val="22"/>
              </w:rPr>
              <w:t>00万元人民币</w:t>
            </w:r>
            <w:r>
              <w:rPr>
                <w:rFonts w:ascii="仿宋_GB2312" w:hAnsi="仿宋" w:eastAsia="仿宋_GB2312" w:cs="Times New Roman"/>
                <w:bCs/>
                <w:sz w:val="22"/>
              </w:rPr>
              <w:t>（</w:t>
            </w:r>
            <w:r>
              <w:rPr>
                <w:rFonts w:hint="eastAsia" w:ascii="仿宋_GB2312" w:hAnsi="仿宋" w:eastAsia="仿宋_GB2312" w:cs="Times New Roman"/>
                <w:bCs/>
                <w:sz w:val="22"/>
              </w:rPr>
              <w:t>若不满足</w:t>
            </w:r>
            <w:r>
              <w:rPr>
                <w:rFonts w:ascii="仿宋_GB2312" w:hAnsi="仿宋" w:eastAsia="仿宋_GB2312" w:cs="Times New Roman"/>
                <w:bCs/>
                <w:sz w:val="22"/>
              </w:rPr>
              <w:t>，</w:t>
            </w:r>
            <w:r>
              <w:rPr>
                <w:rFonts w:hint="eastAsia" w:ascii="仿宋_GB2312" w:hAnsi="仿宋" w:eastAsia="仿宋_GB2312" w:cs="Times New Roman"/>
                <w:bCs/>
                <w:sz w:val="22"/>
              </w:rPr>
              <w:t>应提供限期整改承诺</w:t>
            </w:r>
            <w:r>
              <w:rPr>
                <w:rFonts w:ascii="仿宋_GB2312" w:hAnsi="仿宋" w:eastAsia="仿宋_GB2312" w:cs="Times New Roman"/>
                <w:bCs/>
                <w:sz w:val="22"/>
              </w:rPr>
              <w:t>）</w:t>
            </w:r>
          </w:p>
        </w:tc>
        <w:tc>
          <w:tcPr>
            <w:tcW w:w="388" w:type="pct"/>
            <w:tcMar>
              <w:top w:w="52" w:type="dxa"/>
              <w:left w:w="52" w:type="dxa"/>
              <w:bottom w:w="52" w:type="dxa"/>
              <w:right w:w="52" w:type="dxa"/>
            </w:tcMar>
            <w:vAlign w:val="center"/>
          </w:tcPr>
          <w:p>
            <w:pPr>
              <w:pStyle w:val="4"/>
              <w:jc w:val="center"/>
              <w:rPr>
                <w:rFonts w:ascii="仿宋_GB2312" w:hAnsi="仿宋" w:eastAsia="仿宋_GB2312" w:cs="Times New Roman"/>
                <w:bCs/>
                <w:sz w:val="22"/>
              </w:rPr>
            </w:pPr>
            <w:r>
              <w:rPr>
                <w:rFonts w:hint="eastAsia" w:ascii="仿宋_GB2312" w:hAnsi="仿宋" w:eastAsia="仿宋_GB2312" w:cs="Times New Roman"/>
                <w:bCs/>
                <w:sz w:val="22"/>
              </w:rPr>
              <w:t>　</w:t>
            </w:r>
          </w:p>
        </w:tc>
        <w:tc>
          <w:tcPr>
            <w:tcW w:w="655" w:type="pct"/>
            <w:tcMar>
              <w:top w:w="52" w:type="dxa"/>
              <w:left w:w="52" w:type="dxa"/>
              <w:bottom w:w="52" w:type="dxa"/>
              <w:right w:w="52" w:type="dxa"/>
            </w:tcMar>
            <w:vAlign w:val="center"/>
          </w:tcPr>
          <w:p>
            <w:pPr>
              <w:rPr>
                <w:rFonts w:ascii="仿宋_GB2312" w:hAnsi="仿宋" w:eastAsia="仿宋_GB2312"/>
                <w:bCs/>
                <w:sz w:val="22"/>
              </w:rPr>
            </w:pPr>
            <w:r>
              <w:rPr>
                <w:rFonts w:hint="eastAsia" w:ascii="仿宋_GB2312" w:hAnsi="仿宋" w:eastAsia="仿宋_GB2312"/>
                <w:bCs/>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754" w:type="pct"/>
            <w:vAlign w:val="center"/>
          </w:tcPr>
          <w:p>
            <w:pPr>
              <w:pStyle w:val="4"/>
              <w:jc w:val="center"/>
              <w:rPr>
                <w:rFonts w:ascii="仿宋_GB2312" w:hAnsi="仿宋" w:eastAsia="仿宋_GB2312" w:cs="Times New Roman"/>
                <w:bCs/>
                <w:sz w:val="22"/>
              </w:rPr>
            </w:pPr>
            <w:r>
              <w:rPr>
                <w:rFonts w:hint="eastAsia" w:ascii="仿宋_GB2312" w:hAnsi="仿宋" w:eastAsia="仿宋_GB2312" w:cs="Times New Roman"/>
                <w:bCs/>
                <w:sz w:val="22"/>
              </w:rPr>
              <w:t>管理资质</w:t>
            </w:r>
          </w:p>
        </w:tc>
        <w:tc>
          <w:tcPr>
            <w:tcW w:w="3201" w:type="pct"/>
            <w:tcMar>
              <w:top w:w="52" w:type="dxa"/>
              <w:left w:w="52" w:type="dxa"/>
              <w:bottom w:w="52" w:type="dxa"/>
              <w:right w:w="52" w:type="dxa"/>
            </w:tcMar>
            <w:vAlign w:val="center"/>
          </w:tcPr>
          <w:p>
            <w:pPr>
              <w:pStyle w:val="4"/>
              <w:rPr>
                <w:rFonts w:ascii="仿宋_GB2312" w:hAnsi="仿宋" w:eastAsia="仿宋_GB2312" w:cs="Times New Roman"/>
                <w:bCs/>
                <w:sz w:val="22"/>
              </w:rPr>
            </w:pPr>
            <w:r>
              <w:rPr>
                <w:rFonts w:hint="eastAsia" w:ascii="仿宋_GB2312" w:hAnsi="仿宋" w:eastAsia="仿宋_GB2312" w:cs="Times New Roman"/>
                <w:bCs/>
                <w:sz w:val="22"/>
              </w:rPr>
              <w:t>应在中基协登记备案</w:t>
            </w:r>
            <w:r>
              <w:rPr>
                <w:rFonts w:ascii="仿宋_GB2312" w:hAnsi="仿宋" w:eastAsia="仿宋_GB2312" w:cs="Times New Roman"/>
                <w:bCs/>
                <w:sz w:val="22"/>
              </w:rPr>
              <w:t>（</w:t>
            </w:r>
            <w:r>
              <w:rPr>
                <w:rFonts w:hint="eastAsia" w:ascii="仿宋_GB2312" w:hAnsi="仿宋" w:eastAsia="仿宋_GB2312" w:cs="Times New Roman"/>
                <w:bCs/>
                <w:sz w:val="22"/>
              </w:rPr>
              <w:t>若不满足</w:t>
            </w:r>
            <w:r>
              <w:rPr>
                <w:rFonts w:ascii="仿宋_GB2312" w:hAnsi="仿宋" w:eastAsia="仿宋_GB2312" w:cs="Times New Roman"/>
                <w:bCs/>
                <w:sz w:val="22"/>
              </w:rPr>
              <w:t>，</w:t>
            </w:r>
            <w:r>
              <w:rPr>
                <w:rFonts w:hint="eastAsia" w:ascii="仿宋_GB2312" w:hAnsi="仿宋" w:eastAsia="仿宋_GB2312" w:cs="Times New Roman"/>
                <w:bCs/>
                <w:sz w:val="22"/>
              </w:rPr>
              <w:t>应提供限期整改承诺</w:t>
            </w:r>
            <w:r>
              <w:rPr>
                <w:rFonts w:ascii="仿宋_GB2312" w:hAnsi="仿宋" w:eastAsia="仿宋_GB2312" w:cs="Times New Roman"/>
                <w:bCs/>
                <w:sz w:val="22"/>
              </w:rPr>
              <w:t>）</w:t>
            </w:r>
          </w:p>
        </w:tc>
        <w:tc>
          <w:tcPr>
            <w:tcW w:w="388" w:type="pct"/>
            <w:tcMar>
              <w:top w:w="52" w:type="dxa"/>
              <w:left w:w="52" w:type="dxa"/>
              <w:bottom w:w="52" w:type="dxa"/>
              <w:right w:w="52" w:type="dxa"/>
            </w:tcMar>
            <w:vAlign w:val="center"/>
          </w:tcPr>
          <w:p>
            <w:pPr>
              <w:pStyle w:val="4"/>
              <w:jc w:val="center"/>
              <w:rPr>
                <w:rFonts w:ascii="仿宋_GB2312" w:hAnsi="仿宋" w:eastAsia="仿宋_GB2312" w:cs="Times New Roman"/>
                <w:bCs/>
                <w:sz w:val="22"/>
              </w:rPr>
            </w:pPr>
          </w:p>
        </w:tc>
        <w:tc>
          <w:tcPr>
            <w:tcW w:w="655" w:type="pct"/>
            <w:tcMar>
              <w:top w:w="52" w:type="dxa"/>
              <w:left w:w="52" w:type="dxa"/>
              <w:bottom w:w="52" w:type="dxa"/>
              <w:right w:w="52" w:type="dxa"/>
            </w:tcMar>
            <w:vAlign w:val="center"/>
          </w:tcPr>
          <w:p>
            <w:pPr>
              <w:rPr>
                <w:rFonts w:ascii="仿宋_GB2312" w:hAnsi="仿宋" w:eastAsia="仿宋_GB2312"/>
                <w:bCs/>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754" w:type="pct"/>
            <w:vMerge w:val="restart"/>
            <w:vAlign w:val="center"/>
          </w:tcPr>
          <w:p>
            <w:pPr>
              <w:jc w:val="center"/>
              <w:rPr>
                <w:rFonts w:ascii="仿宋_GB2312" w:hAnsi="仿宋" w:eastAsia="仿宋_GB2312"/>
                <w:bCs/>
                <w:sz w:val="22"/>
              </w:rPr>
            </w:pPr>
            <w:r>
              <w:rPr>
                <w:rFonts w:hint="eastAsia" w:ascii="仿宋_GB2312" w:hAnsi="仿宋" w:eastAsia="仿宋_GB2312"/>
                <w:bCs/>
                <w:sz w:val="22"/>
              </w:rPr>
              <w:t>管理</w:t>
            </w:r>
          </w:p>
          <w:p>
            <w:pPr>
              <w:jc w:val="center"/>
              <w:rPr>
                <w:rFonts w:ascii="仿宋_GB2312" w:hAnsi="仿宋" w:eastAsia="仿宋_GB2312"/>
                <w:bCs/>
                <w:sz w:val="22"/>
              </w:rPr>
            </w:pPr>
            <w:r>
              <w:rPr>
                <w:rFonts w:hint="eastAsia" w:ascii="仿宋_GB2312" w:hAnsi="仿宋" w:eastAsia="仿宋_GB2312"/>
                <w:bCs/>
                <w:sz w:val="22"/>
              </w:rPr>
              <w:t>团队</w:t>
            </w:r>
          </w:p>
        </w:tc>
        <w:tc>
          <w:tcPr>
            <w:tcW w:w="3201" w:type="pct"/>
            <w:tcMar>
              <w:top w:w="52" w:type="dxa"/>
              <w:left w:w="52" w:type="dxa"/>
              <w:bottom w:w="52" w:type="dxa"/>
              <w:right w:w="52" w:type="dxa"/>
            </w:tcMar>
            <w:vAlign w:val="center"/>
          </w:tcPr>
          <w:p>
            <w:pPr>
              <w:pStyle w:val="4"/>
              <w:rPr>
                <w:rFonts w:ascii="仿宋_GB2312" w:hAnsi="仿宋" w:eastAsia="仿宋_GB2312" w:cs="Times New Roman"/>
                <w:bCs/>
                <w:sz w:val="22"/>
              </w:rPr>
            </w:pPr>
            <w:r>
              <w:rPr>
                <w:rFonts w:hint="eastAsia" w:ascii="仿宋_GB2312" w:hAnsi="仿宋" w:eastAsia="仿宋_GB2312" w:cs="Times New Roman"/>
                <w:bCs/>
                <w:sz w:val="22"/>
              </w:rPr>
              <w:t>子基金管理机构至少有3名具备3年以上早期项目投资经验或相关行业经验的核心管理团队成员。</w:t>
            </w:r>
          </w:p>
        </w:tc>
        <w:tc>
          <w:tcPr>
            <w:tcW w:w="388" w:type="pct"/>
            <w:tcMar>
              <w:top w:w="52" w:type="dxa"/>
              <w:left w:w="52" w:type="dxa"/>
              <w:bottom w:w="52" w:type="dxa"/>
              <w:right w:w="52" w:type="dxa"/>
            </w:tcMar>
            <w:vAlign w:val="center"/>
          </w:tcPr>
          <w:p>
            <w:pPr>
              <w:pStyle w:val="4"/>
              <w:jc w:val="center"/>
              <w:rPr>
                <w:rFonts w:ascii="仿宋_GB2312" w:hAnsi="仿宋" w:eastAsia="仿宋_GB2312" w:cs="Times New Roman"/>
                <w:bCs/>
                <w:sz w:val="22"/>
              </w:rPr>
            </w:pPr>
            <w:r>
              <w:rPr>
                <w:rFonts w:hint="eastAsia" w:ascii="仿宋_GB2312" w:hAnsi="仿宋" w:eastAsia="仿宋_GB2312" w:cs="Times New Roman"/>
                <w:bCs/>
                <w:sz w:val="22"/>
              </w:rPr>
              <w:t>　</w:t>
            </w:r>
          </w:p>
        </w:tc>
        <w:tc>
          <w:tcPr>
            <w:tcW w:w="655" w:type="pct"/>
            <w:tcMar>
              <w:top w:w="52" w:type="dxa"/>
              <w:left w:w="52" w:type="dxa"/>
              <w:bottom w:w="52" w:type="dxa"/>
              <w:right w:w="52" w:type="dxa"/>
            </w:tcMar>
            <w:vAlign w:val="center"/>
          </w:tcPr>
          <w:p>
            <w:pPr>
              <w:rPr>
                <w:rFonts w:ascii="仿宋_GB2312" w:hAnsi="仿宋" w:eastAsia="仿宋_GB2312"/>
                <w:bCs/>
                <w:sz w:val="22"/>
              </w:rPr>
            </w:pPr>
            <w:r>
              <w:rPr>
                <w:rFonts w:hint="eastAsia" w:ascii="仿宋_GB2312" w:hAnsi="仿宋" w:eastAsia="仿宋_GB2312"/>
                <w:bCs/>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754" w:type="pct"/>
            <w:vMerge w:val="continue"/>
            <w:vAlign w:val="center"/>
          </w:tcPr>
          <w:p>
            <w:pPr>
              <w:rPr>
                <w:rFonts w:ascii="仿宋_GB2312" w:hAnsi="仿宋" w:eastAsia="仿宋_GB2312"/>
                <w:bCs/>
                <w:sz w:val="22"/>
              </w:rPr>
            </w:pPr>
          </w:p>
        </w:tc>
        <w:tc>
          <w:tcPr>
            <w:tcW w:w="3201" w:type="pct"/>
            <w:tcMar>
              <w:top w:w="52" w:type="dxa"/>
              <w:left w:w="52" w:type="dxa"/>
              <w:bottom w:w="52" w:type="dxa"/>
              <w:right w:w="52" w:type="dxa"/>
            </w:tcMar>
            <w:vAlign w:val="center"/>
          </w:tcPr>
          <w:p>
            <w:pPr>
              <w:pStyle w:val="4"/>
              <w:rPr>
                <w:rFonts w:ascii="仿宋_GB2312" w:hAnsi="仿宋" w:eastAsia="仿宋_GB2312" w:cs="Times New Roman"/>
                <w:bCs/>
                <w:sz w:val="22"/>
              </w:rPr>
            </w:pPr>
            <w:r>
              <w:rPr>
                <w:rFonts w:hint="eastAsia" w:ascii="仿宋_GB2312" w:hAnsi="仿宋" w:eastAsia="仿宋_GB2312" w:cs="Times New Roman"/>
                <w:bCs/>
                <w:sz w:val="22"/>
              </w:rPr>
              <w:t>子基金核心管理团队成员须至少满足以下条件之一：</w:t>
            </w:r>
          </w:p>
          <w:p>
            <w:pPr>
              <w:pStyle w:val="4"/>
              <w:rPr>
                <w:rFonts w:ascii="仿宋_GB2312" w:hAnsi="仿宋" w:eastAsia="仿宋_GB2312" w:cs="Times New Roman"/>
                <w:bCs/>
                <w:sz w:val="22"/>
              </w:rPr>
            </w:pPr>
            <w:r>
              <w:rPr>
                <w:rFonts w:hint="eastAsia" w:ascii="仿宋_GB2312" w:hAnsi="仿宋" w:eastAsia="仿宋_GB2312" w:cs="Times New Roman"/>
                <w:bCs/>
                <w:sz w:val="22"/>
              </w:rPr>
              <w:t>1.主要成员累计管理创业投资基金实缴规模不低于5亿元或至少管理过一</w:t>
            </w:r>
            <w:r>
              <w:rPr>
                <w:rFonts w:hint="eastAsia" w:ascii="仿宋_GB2312" w:hAnsi="仿宋" w:eastAsia="仿宋_GB2312" w:cs="Times New Roman"/>
                <w:bCs/>
                <w:sz w:val="22"/>
                <w:lang w:val="en-US" w:eastAsia="zh-CN"/>
              </w:rPr>
              <w:t>支</w:t>
            </w:r>
            <w:r>
              <w:rPr>
                <w:rFonts w:hint="eastAsia" w:ascii="仿宋_GB2312" w:hAnsi="仿宋" w:eastAsia="仿宋_GB2312" w:cs="Times New Roman"/>
                <w:bCs/>
                <w:sz w:val="22"/>
              </w:rPr>
              <w:t>1亿元以上规模的天使投资基金，且有3个（含）以上成功投资退出案例。</w:t>
            </w:r>
          </w:p>
          <w:p>
            <w:pPr>
              <w:pStyle w:val="4"/>
              <w:rPr>
                <w:rFonts w:ascii="仿宋_GB2312" w:hAnsi="仿宋" w:eastAsia="仿宋_GB2312" w:cs="Times New Roman"/>
                <w:bCs/>
                <w:sz w:val="22"/>
              </w:rPr>
            </w:pPr>
            <w:r>
              <w:rPr>
                <w:rFonts w:hint="eastAsia" w:ascii="仿宋_GB2312" w:hAnsi="仿宋" w:eastAsia="仿宋_GB2312" w:cs="Times New Roman"/>
                <w:bCs/>
                <w:sz w:val="22"/>
              </w:rPr>
              <w:t>2.主要成员以自有资金及管理的基金累计投资天使类项目资金规模不低于5000万元，且有3个（含）以上成功投资退出案例。</w:t>
            </w:r>
          </w:p>
          <w:p>
            <w:pPr>
              <w:pStyle w:val="4"/>
              <w:rPr>
                <w:rFonts w:ascii="仿宋_GB2312" w:hAnsi="仿宋" w:eastAsia="仿宋_GB2312" w:cs="Times New Roman"/>
                <w:bCs/>
                <w:sz w:val="22"/>
              </w:rPr>
            </w:pPr>
            <w:r>
              <w:rPr>
                <w:rFonts w:hint="eastAsia" w:ascii="仿宋_GB2312" w:hAnsi="仿宋" w:eastAsia="仿宋_GB2312" w:cs="Times New Roman"/>
                <w:bCs/>
                <w:sz w:val="22"/>
              </w:rPr>
              <w:t>成功投资退出案例是指首两轮外部机构投资项目或者初创期、早中期项目，以现金方式退出部分或全部股权，且该退出部分股权投资收益率超过50%。</w:t>
            </w:r>
          </w:p>
          <w:p>
            <w:pPr>
              <w:pStyle w:val="4"/>
              <w:rPr>
                <w:rFonts w:ascii="仿宋_GB2312" w:hAnsi="仿宋" w:eastAsia="仿宋_GB2312" w:cs="Times New Roman"/>
                <w:bCs/>
                <w:sz w:val="22"/>
              </w:rPr>
            </w:pPr>
            <w:r>
              <w:rPr>
                <w:rFonts w:hint="eastAsia" w:ascii="仿宋_GB2312" w:hAnsi="仿宋" w:eastAsia="仿宋_GB2312" w:cs="Times New Roman"/>
                <w:bCs/>
                <w:sz w:val="22"/>
              </w:rPr>
              <w:t>3.主要成员具备3年以上股权投资行业项目风控经验。</w:t>
            </w:r>
          </w:p>
        </w:tc>
        <w:tc>
          <w:tcPr>
            <w:tcW w:w="388" w:type="pct"/>
            <w:tcMar>
              <w:top w:w="52" w:type="dxa"/>
              <w:left w:w="52" w:type="dxa"/>
              <w:bottom w:w="52" w:type="dxa"/>
              <w:right w:w="52" w:type="dxa"/>
            </w:tcMar>
            <w:vAlign w:val="center"/>
          </w:tcPr>
          <w:p>
            <w:pPr>
              <w:pStyle w:val="4"/>
              <w:jc w:val="center"/>
              <w:rPr>
                <w:rFonts w:ascii="仿宋_GB2312" w:hAnsi="仿宋" w:eastAsia="仿宋_GB2312" w:cs="Times New Roman"/>
                <w:bCs/>
                <w:sz w:val="22"/>
              </w:rPr>
            </w:pPr>
            <w:r>
              <w:rPr>
                <w:rFonts w:hint="eastAsia" w:ascii="仿宋_GB2312" w:hAnsi="仿宋" w:eastAsia="仿宋_GB2312" w:cs="Times New Roman"/>
                <w:bCs/>
                <w:sz w:val="22"/>
              </w:rPr>
              <w:t>　</w:t>
            </w:r>
          </w:p>
        </w:tc>
        <w:tc>
          <w:tcPr>
            <w:tcW w:w="655" w:type="pct"/>
            <w:tcMar>
              <w:top w:w="52" w:type="dxa"/>
              <w:left w:w="52" w:type="dxa"/>
              <w:bottom w:w="52" w:type="dxa"/>
              <w:right w:w="52" w:type="dxa"/>
            </w:tcMar>
            <w:vAlign w:val="center"/>
          </w:tcPr>
          <w:p>
            <w:pPr>
              <w:rPr>
                <w:rFonts w:ascii="仿宋_GB2312" w:hAnsi="仿宋" w:eastAsia="仿宋_GB2312"/>
                <w:bCs/>
                <w:sz w:val="22"/>
              </w:rPr>
            </w:pPr>
            <w:r>
              <w:rPr>
                <w:rFonts w:hint="eastAsia" w:ascii="仿宋_GB2312" w:hAnsi="仿宋" w:eastAsia="仿宋_GB2312"/>
                <w:bCs/>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754" w:type="pct"/>
            <w:tcMar>
              <w:top w:w="52" w:type="dxa"/>
              <w:left w:w="52" w:type="dxa"/>
              <w:bottom w:w="52" w:type="dxa"/>
              <w:right w:w="52" w:type="dxa"/>
            </w:tcMar>
            <w:vAlign w:val="center"/>
          </w:tcPr>
          <w:p>
            <w:pPr>
              <w:pStyle w:val="4"/>
              <w:jc w:val="center"/>
              <w:rPr>
                <w:rFonts w:ascii="仿宋_GB2312" w:hAnsi="仿宋" w:eastAsia="仿宋_GB2312" w:cs="Times New Roman"/>
                <w:bCs/>
                <w:sz w:val="22"/>
              </w:rPr>
            </w:pPr>
            <w:r>
              <w:rPr>
                <w:rFonts w:hint="eastAsia" w:ascii="仿宋_GB2312" w:hAnsi="仿宋" w:eastAsia="仿宋_GB2312" w:cs="Times New Roman"/>
                <w:bCs/>
                <w:sz w:val="22"/>
              </w:rPr>
              <w:t>风险控制</w:t>
            </w:r>
          </w:p>
        </w:tc>
        <w:tc>
          <w:tcPr>
            <w:tcW w:w="3201" w:type="pct"/>
            <w:tcMar>
              <w:top w:w="52" w:type="dxa"/>
              <w:left w:w="52" w:type="dxa"/>
              <w:bottom w:w="52" w:type="dxa"/>
              <w:right w:w="52" w:type="dxa"/>
            </w:tcMar>
            <w:vAlign w:val="center"/>
          </w:tcPr>
          <w:p>
            <w:pPr>
              <w:pStyle w:val="4"/>
              <w:rPr>
                <w:rFonts w:ascii="仿宋_GB2312" w:hAnsi="仿宋" w:eastAsia="仿宋_GB2312" w:cs="Times New Roman"/>
                <w:bCs/>
                <w:sz w:val="22"/>
              </w:rPr>
            </w:pPr>
            <w:r>
              <w:rPr>
                <w:rFonts w:hint="eastAsia" w:ascii="仿宋_GB2312" w:hAnsi="仿宋" w:eastAsia="仿宋_GB2312" w:cs="Times New Roman"/>
                <w:bCs/>
                <w:sz w:val="22"/>
              </w:rPr>
              <w:t>子基金管理机构的管理和投资运作规范，具有完整的投资决策程序、全面的风险控制机制和健全的财务管理制度。近3年内，机构和管理团队主要成员未有受过行政主管机关或司法机关处罚的不良记录。</w:t>
            </w:r>
          </w:p>
        </w:tc>
        <w:tc>
          <w:tcPr>
            <w:tcW w:w="388" w:type="pct"/>
            <w:tcMar>
              <w:top w:w="52" w:type="dxa"/>
              <w:left w:w="52" w:type="dxa"/>
              <w:bottom w:w="52" w:type="dxa"/>
              <w:right w:w="52" w:type="dxa"/>
            </w:tcMar>
            <w:vAlign w:val="center"/>
          </w:tcPr>
          <w:p>
            <w:pPr>
              <w:pStyle w:val="4"/>
              <w:jc w:val="center"/>
              <w:rPr>
                <w:rFonts w:ascii="仿宋_GB2312" w:hAnsi="仿宋" w:eastAsia="仿宋_GB2312" w:cs="Times New Roman"/>
                <w:bCs/>
                <w:sz w:val="22"/>
              </w:rPr>
            </w:pPr>
          </w:p>
        </w:tc>
        <w:tc>
          <w:tcPr>
            <w:tcW w:w="655" w:type="pct"/>
            <w:tcMar>
              <w:top w:w="52" w:type="dxa"/>
              <w:left w:w="52" w:type="dxa"/>
              <w:bottom w:w="52" w:type="dxa"/>
              <w:right w:w="52" w:type="dxa"/>
            </w:tcMar>
            <w:vAlign w:val="center"/>
          </w:tcPr>
          <w:p>
            <w:pPr>
              <w:rPr>
                <w:rFonts w:ascii="仿宋_GB2312" w:hAnsi="仿宋" w:eastAsia="仿宋_GB2312"/>
                <w:bCs/>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5000" w:type="pct"/>
            <w:gridSpan w:val="4"/>
            <w:tcMar>
              <w:top w:w="52" w:type="dxa"/>
              <w:left w:w="52" w:type="dxa"/>
              <w:bottom w:w="52" w:type="dxa"/>
              <w:right w:w="52" w:type="dxa"/>
            </w:tcMar>
            <w:vAlign w:val="center"/>
          </w:tcPr>
          <w:p>
            <w:pPr>
              <w:rPr>
                <w:rFonts w:ascii="仿宋_GB2312" w:hAnsi="仿宋" w:eastAsia="仿宋_GB2312"/>
                <w:bCs/>
                <w:sz w:val="22"/>
              </w:rPr>
            </w:pPr>
            <w:r>
              <w:rPr>
                <w:rFonts w:hint="eastAsia" w:ascii="黑体" w:hAnsi="黑体" w:eastAsia="黑体" w:cs="Times New Roman"/>
                <w:b/>
                <w:bCs/>
                <w:sz w:val="22"/>
              </w:rPr>
              <w:t>二</w:t>
            </w:r>
            <w:r>
              <w:rPr>
                <w:rFonts w:ascii="黑体" w:hAnsi="黑体" w:eastAsia="黑体" w:cs="Times New Roman"/>
                <w:b/>
                <w:bCs/>
                <w:sz w:val="22"/>
              </w:rPr>
              <w:t>、子基金应符合以下条件：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0" w:type="auto"/>
            <w:vAlign w:val="center"/>
          </w:tcPr>
          <w:p>
            <w:pPr>
              <w:pStyle w:val="4"/>
              <w:jc w:val="center"/>
              <w:rPr>
                <w:rFonts w:ascii="仿宋_GB2312" w:hAnsi="仿宋" w:eastAsia="仿宋_GB2312" w:cs="Times New Roman"/>
                <w:bCs/>
                <w:sz w:val="22"/>
              </w:rPr>
            </w:pPr>
            <w:r>
              <w:rPr>
                <w:rFonts w:hint="eastAsia" w:ascii="仿宋_GB2312" w:hAnsi="仿宋" w:eastAsia="仿宋_GB2312" w:cs="Times New Roman"/>
                <w:bCs/>
                <w:sz w:val="22"/>
              </w:rPr>
              <w:t>注册地</w:t>
            </w:r>
          </w:p>
        </w:tc>
        <w:tc>
          <w:tcPr>
            <w:tcW w:w="3201" w:type="pct"/>
            <w:vAlign w:val="center"/>
          </w:tcPr>
          <w:p>
            <w:pPr>
              <w:pStyle w:val="4"/>
              <w:rPr>
                <w:rFonts w:ascii="仿宋_GB2312" w:hAnsi="仿宋" w:eastAsia="仿宋_GB2312" w:cs="Times New Roman"/>
                <w:bCs/>
                <w:sz w:val="22"/>
              </w:rPr>
            </w:pPr>
            <w:r>
              <w:rPr>
                <w:rFonts w:hint="eastAsia" w:ascii="仿宋_GB2312" w:hAnsi="仿宋" w:eastAsia="仿宋_GB2312" w:cs="Times New Roman"/>
                <w:bCs/>
                <w:sz w:val="22"/>
              </w:rPr>
              <w:t>原则上注册于成都高新区</w:t>
            </w:r>
          </w:p>
        </w:tc>
        <w:tc>
          <w:tcPr>
            <w:tcW w:w="388" w:type="pct"/>
            <w:vAlign w:val="center"/>
          </w:tcPr>
          <w:p>
            <w:pPr>
              <w:pStyle w:val="4"/>
              <w:jc w:val="center"/>
              <w:rPr>
                <w:rFonts w:ascii="仿宋_GB2312" w:hAnsi="仿宋" w:eastAsia="仿宋_GB2312" w:cs="Times New Roman"/>
                <w:bCs/>
                <w:sz w:val="22"/>
              </w:rPr>
            </w:pPr>
            <w:r>
              <w:rPr>
                <w:rFonts w:hint="eastAsia" w:ascii="仿宋_GB2312" w:hAnsi="仿宋" w:eastAsia="仿宋_GB2312" w:cs="Times New Roman"/>
                <w:bCs/>
                <w:sz w:val="22"/>
              </w:rPr>
              <w:t>　</w:t>
            </w:r>
          </w:p>
        </w:tc>
        <w:tc>
          <w:tcPr>
            <w:tcW w:w="655" w:type="pct"/>
            <w:vAlign w:val="center"/>
          </w:tcPr>
          <w:p>
            <w:pPr>
              <w:pStyle w:val="4"/>
              <w:rPr>
                <w:rFonts w:ascii="仿宋_GB2312" w:hAnsi="仿宋" w:eastAsia="仿宋_GB2312" w:cs="Times New Roman"/>
                <w:bCs/>
                <w:sz w:val="22"/>
              </w:rPr>
            </w:pPr>
            <w:r>
              <w:rPr>
                <w:rFonts w:hint="eastAsia" w:ascii="仿宋_GB2312" w:hAnsi="仿宋" w:eastAsia="仿宋_GB2312" w:cs="Times New Roman"/>
                <w:bCs/>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0" w:type="auto"/>
            <w:vAlign w:val="center"/>
          </w:tcPr>
          <w:p>
            <w:pPr>
              <w:pStyle w:val="4"/>
              <w:jc w:val="center"/>
              <w:rPr>
                <w:rFonts w:ascii="仿宋_GB2312" w:hAnsi="仿宋" w:eastAsia="仿宋_GB2312" w:cs="Times New Roman"/>
                <w:bCs/>
                <w:sz w:val="22"/>
              </w:rPr>
            </w:pPr>
            <w:r>
              <w:rPr>
                <w:rFonts w:hint="eastAsia" w:ascii="仿宋_GB2312" w:hAnsi="仿宋" w:eastAsia="仿宋_GB2312" w:cs="Times New Roman"/>
                <w:bCs/>
                <w:sz w:val="22"/>
              </w:rPr>
              <w:t>基金</w:t>
            </w:r>
          </w:p>
          <w:p>
            <w:pPr>
              <w:pStyle w:val="4"/>
              <w:jc w:val="center"/>
              <w:rPr>
                <w:rFonts w:ascii="仿宋_GB2312" w:hAnsi="仿宋" w:eastAsia="仿宋_GB2312" w:cs="Times New Roman"/>
                <w:bCs/>
                <w:sz w:val="22"/>
              </w:rPr>
            </w:pPr>
            <w:r>
              <w:rPr>
                <w:rFonts w:hint="eastAsia" w:ascii="仿宋_GB2312" w:hAnsi="仿宋" w:eastAsia="仿宋_GB2312" w:cs="Times New Roman"/>
                <w:bCs/>
                <w:sz w:val="22"/>
              </w:rPr>
              <w:t>规模</w:t>
            </w:r>
          </w:p>
        </w:tc>
        <w:tc>
          <w:tcPr>
            <w:tcW w:w="3201" w:type="pct"/>
            <w:vAlign w:val="center"/>
          </w:tcPr>
          <w:p>
            <w:pPr>
              <w:pStyle w:val="4"/>
              <w:rPr>
                <w:rFonts w:ascii="仿宋_GB2312" w:hAnsi="仿宋" w:eastAsia="仿宋_GB2312" w:cs="Times New Roman"/>
                <w:bCs/>
                <w:sz w:val="22"/>
              </w:rPr>
            </w:pPr>
            <w:r>
              <w:rPr>
                <w:rFonts w:hint="eastAsia" w:ascii="仿宋_GB2312" w:hAnsi="仿宋" w:eastAsia="仿宋_GB2312" w:cs="Times New Roman"/>
                <w:bCs/>
                <w:sz w:val="22"/>
              </w:rPr>
              <w:t>子基金单支规模原则上不超过5亿元人民币</w:t>
            </w:r>
          </w:p>
        </w:tc>
        <w:tc>
          <w:tcPr>
            <w:tcW w:w="388" w:type="pct"/>
            <w:vAlign w:val="center"/>
          </w:tcPr>
          <w:p>
            <w:pPr>
              <w:pStyle w:val="4"/>
              <w:jc w:val="center"/>
              <w:rPr>
                <w:rFonts w:ascii="仿宋_GB2312" w:hAnsi="仿宋" w:eastAsia="仿宋_GB2312" w:cs="Times New Roman"/>
                <w:bCs/>
                <w:sz w:val="22"/>
              </w:rPr>
            </w:pPr>
            <w:r>
              <w:rPr>
                <w:rFonts w:hint="eastAsia" w:ascii="仿宋_GB2312" w:hAnsi="仿宋" w:eastAsia="仿宋_GB2312" w:cs="Times New Roman"/>
                <w:bCs/>
                <w:sz w:val="22"/>
              </w:rPr>
              <w:t>　</w:t>
            </w:r>
          </w:p>
        </w:tc>
        <w:tc>
          <w:tcPr>
            <w:tcW w:w="655" w:type="pct"/>
            <w:vAlign w:val="center"/>
          </w:tcPr>
          <w:p>
            <w:pPr>
              <w:pStyle w:val="4"/>
              <w:rPr>
                <w:rFonts w:ascii="仿宋_GB2312" w:hAnsi="仿宋" w:eastAsia="仿宋_GB2312" w:cs="Times New Roman"/>
                <w:bCs/>
                <w:sz w:val="22"/>
              </w:rPr>
            </w:pPr>
            <w:r>
              <w:rPr>
                <w:rFonts w:hint="eastAsia" w:ascii="仿宋_GB2312" w:hAnsi="仿宋" w:eastAsia="仿宋_GB2312" w:cs="Times New Roman"/>
                <w:bCs/>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0" w:type="auto"/>
            <w:vAlign w:val="center"/>
          </w:tcPr>
          <w:p>
            <w:pPr>
              <w:pStyle w:val="4"/>
              <w:jc w:val="center"/>
              <w:rPr>
                <w:rFonts w:ascii="仿宋_GB2312" w:hAnsi="仿宋" w:eastAsia="仿宋_GB2312" w:cs="Times New Roman"/>
                <w:bCs/>
                <w:sz w:val="22"/>
              </w:rPr>
            </w:pPr>
            <w:r>
              <w:rPr>
                <w:rFonts w:hint="eastAsia" w:ascii="仿宋_GB2312" w:hAnsi="仿宋" w:eastAsia="仿宋_GB2312" w:cs="Times New Roman"/>
                <w:bCs/>
                <w:sz w:val="22"/>
              </w:rPr>
              <w:t>存续</w:t>
            </w:r>
          </w:p>
          <w:p>
            <w:pPr>
              <w:pStyle w:val="4"/>
              <w:jc w:val="center"/>
              <w:rPr>
                <w:rFonts w:ascii="仿宋_GB2312" w:hAnsi="仿宋" w:eastAsia="仿宋_GB2312" w:cs="Times New Roman"/>
                <w:bCs/>
                <w:sz w:val="22"/>
              </w:rPr>
            </w:pPr>
            <w:r>
              <w:rPr>
                <w:rFonts w:hint="eastAsia" w:ascii="仿宋_GB2312" w:hAnsi="仿宋" w:eastAsia="仿宋_GB2312" w:cs="Times New Roman"/>
                <w:bCs/>
                <w:sz w:val="22"/>
              </w:rPr>
              <w:t>期限</w:t>
            </w:r>
          </w:p>
        </w:tc>
        <w:tc>
          <w:tcPr>
            <w:tcW w:w="3201" w:type="pct"/>
            <w:vAlign w:val="center"/>
          </w:tcPr>
          <w:p>
            <w:pPr>
              <w:pStyle w:val="4"/>
              <w:rPr>
                <w:rFonts w:ascii="仿宋_GB2312" w:hAnsi="仿宋" w:eastAsia="仿宋_GB2312" w:cs="Times New Roman"/>
                <w:bCs/>
                <w:sz w:val="22"/>
              </w:rPr>
            </w:pPr>
            <w:r>
              <w:rPr>
                <w:rFonts w:hint="eastAsia" w:ascii="仿宋_GB2312" w:hAnsi="仿宋" w:eastAsia="仿宋_GB2312" w:cs="Times New Roman"/>
                <w:bCs/>
                <w:sz w:val="22"/>
              </w:rPr>
              <w:t>子基金存续期原则上不超过10年</w:t>
            </w:r>
          </w:p>
        </w:tc>
        <w:tc>
          <w:tcPr>
            <w:tcW w:w="388" w:type="pct"/>
            <w:vAlign w:val="center"/>
          </w:tcPr>
          <w:p>
            <w:pPr>
              <w:pStyle w:val="4"/>
              <w:jc w:val="center"/>
              <w:rPr>
                <w:rFonts w:ascii="仿宋_GB2312" w:hAnsi="仿宋" w:eastAsia="仿宋_GB2312" w:cs="Times New Roman"/>
                <w:bCs/>
                <w:sz w:val="22"/>
              </w:rPr>
            </w:pPr>
            <w:r>
              <w:rPr>
                <w:rFonts w:hint="eastAsia" w:ascii="仿宋_GB2312" w:hAnsi="仿宋" w:eastAsia="仿宋_GB2312" w:cs="Times New Roman"/>
                <w:bCs/>
                <w:sz w:val="22"/>
              </w:rPr>
              <w:t>　</w:t>
            </w:r>
          </w:p>
        </w:tc>
        <w:tc>
          <w:tcPr>
            <w:tcW w:w="655" w:type="pct"/>
            <w:vAlign w:val="center"/>
          </w:tcPr>
          <w:p>
            <w:pPr>
              <w:pStyle w:val="4"/>
              <w:rPr>
                <w:rFonts w:ascii="仿宋_GB2312" w:hAnsi="仿宋" w:eastAsia="仿宋_GB2312" w:cs="Times New Roman"/>
                <w:bCs/>
                <w:sz w:val="22"/>
              </w:rPr>
            </w:pPr>
            <w:r>
              <w:rPr>
                <w:rFonts w:hint="eastAsia" w:ascii="仿宋_GB2312" w:hAnsi="仿宋" w:eastAsia="仿宋_GB2312" w:cs="Times New Roman"/>
                <w:bCs/>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0" w:type="auto"/>
            <w:vAlign w:val="center"/>
          </w:tcPr>
          <w:p>
            <w:pPr>
              <w:pStyle w:val="4"/>
              <w:jc w:val="center"/>
              <w:rPr>
                <w:rFonts w:ascii="仿宋_GB2312" w:hAnsi="仿宋" w:eastAsia="仿宋_GB2312" w:cs="Times New Roman"/>
                <w:bCs/>
                <w:sz w:val="22"/>
              </w:rPr>
            </w:pPr>
            <w:r>
              <w:rPr>
                <w:rFonts w:hint="eastAsia" w:ascii="仿宋_GB2312" w:hAnsi="仿宋" w:eastAsia="仿宋_GB2312" w:cs="Times New Roman"/>
                <w:bCs/>
                <w:sz w:val="22"/>
              </w:rPr>
              <w:t>出资</w:t>
            </w:r>
          </w:p>
          <w:p>
            <w:pPr>
              <w:pStyle w:val="4"/>
              <w:jc w:val="center"/>
              <w:rPr>
                <w:rFonts w:ascii="仿宋_GB2312" w:hAnsi="仿宋" w:eastAsia="仿宋_GB2312" w:cs="Times New Roman"/>
                <w:bCs/>
                <w:sz w:val="22"/>
              </w:rPr>
            </w:pPr>
            <w:r>
              <w:rPr>
                <w:rFonts w:hint="eastAsia" w:ascii="仿宋_GB2312" w:hAnsi="仿宋" w:eastAsia="仿宋_GB2312" w:cs="Times New Roman"/>
                <w:bCs/>
                <w:sz w:val="22"/>
              </w:rPr>
              <w:t>比例</w:t>
            </w:r>
          </w:p>
        </w:tc>
        <w:tc>
          <w:tcPr>
            <w:tcW w:w="3201" w:type="pct"/>
            <w:vAlign w:val="center"/>
          </w:tcPr>
          <w:p>
            <w:pPr>
              <w:pStyle w:val="4"/>
              <w:rPr>
                <w:rFonts w:ascii="仿宋_GB2312" w:hAnsi="仿宋" w:eastAsia="仿宋_GB2312" w:cs="Times New Roman"/>
                <w:bCs/>
                <w:sz w:val="22"/>
              </w:rPr>
            </w:pPr>
            <w:r>
              <w:rPr>
                <w:rFonts w:hint="eastAsia" w:ascii="仿宋_GB2312" w:hAnsi="仿宋" w:eastAsia="仿宋_GB2312" w:cs="Times New Roman"/>
                <w:bCs/>
                <w:sz w:val="22"/>
              </w:rPr>
              <w:t>天使母基金对单</w:t>
            </w:r>
            <w:r>
              <w:rPr>
                <w:rFonts w:hint="eastAsia" w:ascii="仿宋_GB2312" w:hAnsi="仿宋" w:eastAsia="仿宋_GB2312" w:cs="Times New Roman"/>
                <w:bCs/>
                <w:sz w:val="22"/>
                <w:lang w:val="en-US" w:eastAsia="zh-CN"/>
              </w:rPr>
              <w:t>支</w:t>
            </w:r>
            <w:r>
              <w:rPr>
                <w:rFonts w:hint="eastAsia" w:ascii="仿宋_GB2312" w:hAnsi="仿宋" w:eastAsia="仿宋_GB2312" w:cs="Times New Roman"/>
                <w:bCs/>
                <w:sz w:val="22"/>
              </w:rPr>
              <w:t>子基金出资比例原则上不超过该子基金实缴出资规模的50%，且原则上不超过2.5亿元。</w:t>
            </w:r>
          </w:p>
        </w:tc>
        <w:tc>
          <w:tcPr>
            <w:tcW w:w="388" w:type="pct"/>
            <w:vAlign w:val="center"/>
          </w:tcPr>
          <w:p>
            <w:pPr>
              <w:pStyle w:val="4"/>
              <w:jc w:val="center"/>
              <w:rPr>
                <w:rFonts w:ascii="仿宋_GB2312" w:hAnsi="仿宋" w:eastAsia="仿宋_GB2312" w:cs="Times New Roman"/>
                <w:bCs/>
                <w:sz w:val="22"/>
              </w:rPr>
            </w:pPr>
            <w:r>
              <w:rPr>
                <w:rFonts w:hint="eastAsia" w:ascii="仿宋_GB2312" w:hAnsi="仿宋" w:eastAsia="仿宋_GB2312" w:cs="Times New Roman"/>
                <w:bCs/>
                <w:sz w:val="22"/>
              </w:rPr>
              <w:t>　</w:t>
            </w:r>
          </w:p>
        </w:tc>
        <w:tc>
          <w:tcPr>
            <w:tcW w:w="655" w:type="pct"/>
            <w:vAlign w:val="center"/>
          </w:tcPr>
          <w:p>
            <w:pPr>
              <w:rPr>
                <w:rFonts w:ascii="仿宋_GB2312" w:hAnsi="仿宋" w:eastAsia="仿宋_GB2312" w:cs="Times New Roman"/>
                <w:bCs/>
                <w:sz w:val="22"/>
              </w:rPr>
            </w:pPr>
            <w:r>
              <w:rPr>
                <w:rFonts w:hint="eastAsia" w:ascii="仿宋_GB2312" w:hAnsi="仿宋" w:eastAsia="仿宋_GB2312"/>
                <w:bCs/>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0" w:type="auto"/>
            <w:vAlign w:val="center"/>
          </w:tcPr>
          <w:p>
            <w:pPr>
              <w:pStyle w:val="4"/>
              <w:jc w:val="center"/>
              <w:rPr>
                <w:rFonts w:ascii="仿宋_GB2312" w:hAnsi="仿宋" w:eastAsia="仿宋_GB2312" w:cs="Times New Roman"/>
                <w:bCs/>
                <w:sz w:val="22"/>
              </w:rPr>
            </w:pPr>
            <w:r>
              <w:rPr>
                <w:rFonts w:hint="eastAsia" w:ascii="仿宋_GB2312" w:hAnsi="仿宋" w:eastAsia="仿宋_GB2312" w:cs="Times New Roman"/>
                <w:bCs/>
                <w:sz w:val="22"/>
              </w:rPr>
              <w:t>出资要求</w:t>
            </w:r>
          </w:p>
        </w:tc>
        <w:tc>
          <w:tcPr>
            <w:tcW w:w="3201" w:type="pct"/>
            <w:vAlign w:val="center"/>
          </w:tcPr>
          <w:p>
            <w:pPr>
              <w:pStyle w:val="4"/>
              <w:rPr>
                <w:rFonts w:ascii="仿宋_GB2312" w:hAnsi="仿宋" w:eastAsia="仿宋_GB2312" w:cs="Times New Roman"/>
                <w:bCs/>
                <w:sz w:val="22"/>
              </w:rPr>
            </w:pPr>
            <w:r>
              <w:rPr>
                <w:rFonts w:hint="eastAsia" w:ascii="仿宋_GB2312" w:hAnsi="仿宋" w:eastAsia="仿宋_GB2312" w:cs="Times New Roman"/>
                <w:bCs/>
                <w:sz w:val="22"/>
              </w:rPr>
              <w:t>普通合伙人单独出资比例或其与管理团队出资主体合计出资比例不低于1%</w:t>
            </w:r>
          </w:p>
        </w:tc>
        <w:tc>
          <w:tcPr>
            <w:tcW w:w="388" w:type="pct"/>
            <w:vAlign w:val="center"/>
          </w:tcPr>
          <w:p>
            <w:pPr>
              <w:pStyle w:val="4"/>
              <w:jc w:val="center"/>
              <w:rPr>
                <w:rFonts w:ascii="仿宋_GB2312" w:hAnsi="仿宋" w:eastAsia="仿宋_GB2312" w:cs="Times New Roman"/>
                <w:bCs/>
                <w:sz w:val="22"/>
              </w:rPr>
            </w:pPr>
          </w:p>
        </w:tc>
        <w:tc>
          <w:tcPr>
            <w:tcW w:w="655" w:type="pct"/>
            <w:vAlign w:val="center"/>
          </w:tcPr>
          <w:p>
            <w:pPr>
              <w:rPr>
                <w:rFonts w:ascii="仿宋_GB2312" w:hAnsi="仿宋" w:eastAsia="仿宋_GB2312" w:cs="Times New Roman"/>
                <w:bCs/>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754" w:type="pct"/>
            <w:vMerge w:val="restart"/>
            <w:vAlign w:val="center"/>
          </w:tcPr>
          <w:p>
            <w:pPr>
              <w:pStyle w:val="4"/>
              <w:jc w:val="center"/>
              <w:rPr>
                <w:rFonts w:ascii="仿宋_GB2312" w:hAnsi="仿宋" w:eastAsia="仿宋_GB2312" w:cs="Times New Roman"/>
                <w:bCs/>
                <w:sz w:val="22"/>
              </w:rPr>
            </w:pPr>
            <w:r>
              <w:rPr>
                <w:rFonts w:hint="eastAsia" w:ascii="仿宋_GB2312" w:hAnsi="仿宋" w:eastAsia="仿宋_GB2312" w:cs="Times New Roman"/>
                <w:bCs/>
                <w:sz w:val="22"/>
              </w:rPr>
              <w:t>基金</w:t>
            </w:r>
          </w:p>
          <w:p>
            <w:pPr>
              <w:pStyle w:val="4"/>
              <w:jc w:val="center"/>
              <w:rPr>
                <w:rFonts w:ascii="仿宋_GB2312" w:hAnsi="仿宋" w:eastAsia="仿宋_GB2312" w:cs="Times New Roman"/>
                <w:bCs/>
                <w:sz w:val="22"/>
              </w:rPr>
            </w:pPr>
            <w:r>
              <w:rPr>
                <w:rFonts w:hint="eastAsia" w:ascii="仿宋_GB2312" w:hAnsi="仿宋" w:eastAsia="仿宋_GB2312" w:cs="Times New Roman"/>
                <w:bCs/>
                <w:sz w:val="22"/>
              </w:rPr>
              <w:t>投向</w:t>
            </w:r>
          </w:p>
        </w:tc>
        <w:tc>
          <w:tcPr>
            <w:tcW w:w="3201" w:type="pct"/>
            <w:vAlign w:val="center"/>
          </w:tcPr>
          <w:p>
            <w:pPr>
              <w:pStyle w:val="4"/>
              <w:rPr>
                <w:rFonts w:ascii="仿宋_GB2312" w:hAnsi="仿宋" w:eastAsia="仿宋_GB2312" w:cs="Times New Roman"/>
                <w:bCs/>
                <w:sz w:val="22"/>
              </w:rPr>
            </w:pPr>
            <w:r>
              <w:rPr>
                <w:rFonts w:hint="eastAsia" w:ascii="仿宋_GB2312" w:hAnsi="仿宋" w:eastAsia="仿宋_GB2312" w:cs="Times New Roman"/>
                <w:bCs/>
                <w:sz w:val="22"/>
              </w:rPr>
              <w:t>子基金主要投资于成都高新区扶持和鼓励发展的产业“特长生”方向的子基金在其申报方向的项目投资金额原则上应不低于子基金实缴规模的50%。</w:t>
            </w:r>
          </w:p>
        </w:tc>
        <w:tc>
          <w:tcPr>
            <w:tcW w:w="388" w:type="pct"/>
            <w:vAlign w:val="center"/>
          </w:tcPr>
          <w:p>
            <w:pPr>
              <w:pStyle w:val="4"/>
              <w:jc w:val="center"/>
              <w:rPr>
                <w:rFonts w:ascii="仿宋_GB2312" w:hAnsi="仿宋" w:eastAsia="仿宋_GB2312" w:cs="Times New Roman"/>
                <w:bCs/>
                <w:sz w:val="22"/>
              </w:rPr>
            </w:pPr>
            <w:r>
              <w:rPr>
                <w:rFonts w:hint="eastAsia" w:ascii="仿宋_GB2312" w:hAnsi="仿宋" w:eastAsia="仿宋_GB2312" w:cs="Times New Roman"/>
                <w:bCs/>
                <w:sz w:val="22"/>
              </w:rPr>
              <w:t>　</w:t>
            </w:r>
          </w:p>
        </w:tc>
        <w:tc>
          <w:tcPr>
            <w:tcW w:w="655" w:type="pct"/>
            <w:vAlign w:val="center"/>
          </w:tcPr>
          <w:p>
            <w:pPr>
              <w:rPr>
                <w:rFonts w:ascii="仿宋_GB2312" w:hAnsi="仿宋" w:eastAsia="仿宋_GB2312" w:cs="Times New Roman"/>
                <w:bCs/>
                <w:sz w:val="22"/>
              </w:rPr>
            </w:pPr>
            <w:r>
              <w:rPr>
                <w:rFonts w:hint="eastAsia" w:ascii="仿宋_GB2312" w:hAnsi="仿宋" w:eastAsia="仿宋_GB2312"/>
                <w:bCs/>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754" w:type="pct"/>
            <w:vMerge w:val="continue"/>
          </w:tcPr>
          <w:p>
            <w:pPr>
              <w:pStyle w:val="4"/>
              <w:jc w:val="center"/>
              <w:rPr>
                <w:rFonts w:ascii="仿宋_GB2312" w:hAnsi="仿宋" w:eastAsia="仿宋_GB2312" w:cs="Times New Roman"/>
                <w:bCs/>
                <w:sz w:val="22"/>
              </w:rPr>
            </w:pPr>
          </w:p>
        </w:tc>
        <w:tc>
          <w:tcPr>
            <w:tcW w:w="3201" w:type="pct"/>
            <w:vAlign w:val="center"/>
          </w:tcPr>
          <w:p>
            <w:pPr>
              <w:pStyle w:val="4"/>
              <w:rPr>
                <w:rFonts w:ascii="仿宋_GB2312" w:hAnsi="仿宋" w:eastAsia="仿宋_GB2312" w:cs="Times New Roman"/>
                <w:bCs/>
                <w:sz w:val="22"/>
              </w:rPr>
            </w:pPr>
            <w:r>
              <w:rPr>
                <w:rFonts w:hint="eastAsia" w:ascii="仿宋_GB2312" w:hAnsi="仿宋" w:eastAsia="仿宋_GB2312" w:cs="Times New Roman"/>
                <w:bCs/>
                <w:sz w:val="22"/>
              </w:rPr>
              <w:t>投资于天使类项目的金额不低于子基金总规模的60%，在投资期内对子基金已投天使类项目的追加投资可纳入天使类项目认定。</w:t>
            </w:r>
          </w:p>
        </w:tc>
        <w:tc>
          <w:tcPr>
            <w:tcW w:w="388" w:type="pct"/>
            <w:vAlign w:val="center"/>
          </w:tcPr>
          <w:p>
            <w:pPr>
              <w:pStyle w:val="4"/>
              <w:jc w:val="center"/>
              <w:rPr>
                <w:rFonts w:ascii="仿宋_GB2312" w:hAnsi="仿宋" w:eastAsia="仿宋_GB2312" w:cs="Times New Roman"/>
                <w:bCs/>
                <w:sz w:val="22"/>
              </w:rPr>
            </w:pPr>
            <w:r>
              <w:rPr>
                <w:rFonts w:hint="eastAsia" w:ascii="仿宋_GB2312" w:hAnsi="仿宋" w:eastAsia="仿宋_GB2312" w:cs="Times New Roman"/>
                <w:bCs/>
                <w:sz w:val="22"/>
              </w:rPr>
              <w:t>　</w:t>
            </w:r>
          </w:p>
        </w:tc>
        <w:tc>
          <w:tcPr>
            <w:tcW w:w="655" w:type="pct"/>
            <w:vAlign w:val="center"/>
          </w:tcPr>
          <w:p>
            <w:pPr>
              <w:rPr>
                <w:rFonts w:ascii="仿宋_GB2312" w:hAnsi="仿宋" w:eastAsia="仿宋_GB2312" w:cs="Times New Roman"/>
                <w:bCs/>
                <w:sz w:val="22"/>
              </w:rPr>
            </w:pPr>
            <w:r>
              <w:rPr>
                <w:rFonts w:hint="eastAsia" w:ascii="仿宋_GB2312" w:hAnsi="仿宋" w:eastAsia="仿宋_GB2312"/>
                <w:bCs/>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0" w:type="auto"/>
            <w:vAlign w:val="center"/>
          </w:tcPr>
          <w:p>
            <w:pPr>
              <w:pStyle w:val="4"/>
              <w:jc w:val="center"/>
              <w:rPr>
                <w:rFonts w:ascii="仿宋_GB2312" w:hAnsi="仿宋" w:eastAsia="仿宋_GB2312" w:cs="Times New Roman"/>
                <w:bCs/>
                <w:sz w:val="22"/>
              </w:rPr>
            </w:pPr>
            <w:r>
              <w:rPr>
                <w:rFonts w:hint="eastAsia" w:ascii="仿宋_GB2312" w:hAnsi="仿宋" w:eastAsia="仿宋_GB2312" w:cs="Times New Roman"/>
                <w:bCs/>
                <w:sz w:val="22"/>
              </w:rPr>
              <w:t>投资限额</w:t>
            </w:r>
          </w:p>
        </w:tc>
        <w:tc>
          <w:tcPr>
            <w:tcW w:w="3201" w:type="pct"/>
            <w:vAlign w:val="center"/>
          </w:tcPr>
          <w:p>
            <w:pPr>
              <w:pStyle w:val="4"/>
              <w:rPr>
                <w:rFonts w:ascii="仿宋_GB2312" w:hAnsi="仿宋" w:eastAsia="仿宋_GB2312" w:cs="Times New Roman"/>
                <w:bCs/>
                <w:sz w:val="22"/>
              </w:rPr>
            </w:pPr>
            <w:r>
              <w:rPr>
                <w:rFonts w:hint="eastAsia" w:ascii="仿宋_GB2312" w:hAnsi="仿宋" w:eastAsia="仿宋_GB2312" w:cs="Times New Roman"/>
                <w:bCs/>
                <w:sz w:val="22"/>
              </w:rPr>
              <w:t>1. 子基金对单个项目单次投资金额原则上不超过子基金总规模的10%，追加投资后对单个项目累计投资额原则上不超过子基金总规模的20%。</w:t>
            </w:r>
          </w:p>
          <w:p>
            <w:pPr>
              <w:pStyle w:val="4"/>
              <w:rPr>
                <w:rFonts w:ascii="仿宋_GB2312" w:hAnsi="仿宋" w:eastAsia="仿宋_GB2312" w:cs="Times New Roman"/>
                <w:bCs/>
                <w:sz w:val="22"/>
              </w:rPr>
            </w:pPr>
            <w:r>
              <w:rPr>
                <w:rFonts w:hint="eastAsia" w:ascii="仿宋_GB2312" w:hAnsi="仿宋" w:eastAsia="仿宋_GB2312" w:cs="Times New Roman"/>
                <w:bCs/>
                <w:sz w:val="22"/>
              </w:rPr>
              <w:t>2.子基金投资的项目总数原则上不低于15个（主投生物医药类子基金不低于10个）。其中，投资于成立时间不超过2年（生物医药类企业为5年）的企业数原则上不低于2个。</w:t>
            </w:r>
          </w:p>
        </w:tc>
        <w:tc>
          <w:tcPr>
            <w:tcW w:w="388" w:type="pct"/>
            <w:vAlign w:val="center"/>
          </w:tcPr>
          <w:p>
            <w:pPr>
              <w:pStyle w:val="4"/>
              <w:jc w:val="center"/>
              <w:rPr>
                <w:rFonts w:ascii="仿宋_GB2312" w:hAnsi="仿宋" w:eastAsia="仿宋_GB2312" w:cs="Times New Roman"/>
                <w:bCs/>
                <w:sz w:val="22"/>
              </w:rPr>
            </w:pPr>
          </w:p>
        </w:tc>
        <w:tc>
          <w:tcPr>
            <w:tcW w:w="655" w:type="pct"/>
            <w:vAlign w:val="center"/>
          </w:tcPr>
          <w:p>
            <w:pPr>
              <w:rPr>
                <w:rFonts w:ascii="仿宋_GB2312" w:hAnsi="仿宋" w:eastAsia="仿宋_GB2312" w:cs="Times New Roman"/>
                <w:bCs/>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0" w:type="auto"/>
            <w:vAlign w:val="center"/>
          </w:tcPr>
          <w:p>
            <w:pPr>
              <w:pStyle w:val="4"/>
              <w:jc w:val="center"/>
              <w:rPr>
                <w:rFonts w:ascii="仿宋_GB2312" w:hAnsi="仿宋" w:eastAsia="仿宋_GB2312" w:cs="Times New Roman"/>
                <w:bCs/>
                <w:sz w:val="22"/>
              </w:rPr>
            </w:pPr>
            <w:r>
              <w:rPr>
                <w:rFonts w:hint="eastAsia" w:ascii="仿宋_GB2312" w:hAnsi="仿宋" w:eastAsia="仿宋_GB2312" w:cs="Times New Roman"/>
                <w:bCs/>
                <w:sz w:val="22"/>
              </w:rPr>
              <w:t>管理费</w:t>
            </w:r>
          </w:p>
        </w:tc>
        <w:tc>
          <w:tcPr>
            <w:tcW w:w="3201" w:type="pct"/>
            <w:vAlign w:val="center"/>
          </w:tcPr>
          <w:p>
            <w:pPr>
              <w:pStyle w:val="4"/>
              <w:rPr>
                <w:rFonts w:ascii="仿宋_GB2312" w:hAnsi="仿宋" w:eastAsia="仿宋_GB2312" w:cs="Times New Roman"/>
                <w:bCs/>
                <w:sz w:val="22"/>
              </w:rPr>
            </w:pPr>
            <w:r>
              <w:rPr>
                <w:rFonts w:hint="eastAsia" w:ascii="仿宋_GB2312" w:hAnsi="仿宋" w:eastAsia="仿宋_GB2312" w:cs="Times New Roman"/>
                <w:bCs/>
                <w:sz w:val="22"/>
              </w:rPr>
              <w:t>子基金年度管理费率原则上不超过实缴规模的2.5%，且对天使母基金收取管理费的标准不得高于其他出资人。</w:t>
            </w:r>
          </w:p>
        </w:tc>
        <w:tc>
          <w:tcPr>
            <w:tcW w:w="388" w:type="pct"/>
            <w:vAlign w:val="center"/>
          </w:tcPr>
          <w:p>
            <w:pPr>
              <w:pStyle w:val="4"/>
              <w:jc w:val="center"/>
              <w:rPr>
                <w:rFonts w:ascii="仿宋_GB2312" w:hAnsi="仿宋" w:eastAsia="仿宋_GB2312" w:cs="Times New Roman"/>
                <w:bCs/>
                <w:sz w:val="22"/>
              </w:rPr>
            </w:pPr>
            <w:r>
              <w:rPr>
                <w:rFonts w:hint="eastAsia" w:ascii="仿宋_GB2312" w:hAnsi="仿宋" w:eastAsia="仿宋_GB2312" w:cs="Times New Roman"/>
                <w:bCs/>
                <w:sz w:val="22"/>
              </w:rPr>
              <w:t>　</w:t>
            </w:r>
          </w:p>
        </w:tc>
        <w:tc>
          <w:tcPr>
            <w:tcW w:w="655" w:type="pct"/>
            <w:vAlign w:val="center"/>
          </w:tcPr>
          <w:p>
            <w:pPr>
              <w:rPr>
                <w:rFonts w:ascii="仿宋_GB2312" w:hAnsi="仿宋" w:eastAsia="仿宋_GB2312" w:cs="Times New Roman"/>
                <w:bCs/>
                <w:sz w:val="22"/>
              </w:rPr>
            </w:pPr>
            <w:r>
              <w:rPr>
                <w:rFonts w:hint="eastAsia" w:ascii="仿宋_GB2312" w:hAnsi="仿宋" w:eastAsia="仿宋_GB2312"/>
                <w:bCs/>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0" w:type="auto"/>
            <w:vAlign w:val="center"/>
          </w:tcPr>
          <w:p>
            <w:pPr>
              <w:pStyle w:val="4"/>
              <w:jc w:val="center"/>
              <w:rPr>
                <w:rFonts w:ascii="仿宋_GB2312" w:hAnsi="仿宋" w:eastAsia="仿宋_GB2312" w:cs="Times New Roman"/>
                <w:bCs/>
                <w:sz w:val="22"/>
              </w:rPr>
            </w:pPr>
            <w:r>
              <w:rPr>
                <w:rFonts w:hint="eastAsia" w:ascii="仿宋_GB2312" w:hAnsi="仿宋" w:eastAsia="仿宋_GB2312" w:cs="Times New Roman"/>
                <w:bCs/>
                <w:sz w:val="22"/>
              </w:rPr>
              <w:t>收益</w:t>
            </w:r>
          </w:p>
          <w:p>
            <w:pPr>
              <w:pStyle w:val="4"/>
              <w:jc w:val="center"/>
              <w:rPr>
                <w:rFonts w:ascii="仿宋_GB2312" w:hAnsi="仿宋" w:eastAsia="仿宋_GB2312" w:cs="Times New Roman"/>
                <w:bCs/>
                <w:sz w:val="22"/>
              </w:rPr>
            </w:pPr>
            <w:r>
              <w:rPr>
                <w:rFonts w:hint="eastAsia" w:ascii="仿宋_GB2312" w:hAnsi="仿宋" w:eastAsia="仿宋_GB2312" w:cs="Times New Roman"/>
                <w:bCs/>
                <w:sz w:val="22"/>
              </w:rPr>
              <w:t>分配</w:t>
            </w:r>
          </w:p>
        </w:tc>
        <w:tc>
          <w:tcPr>
            <w:tcW w:w="3201" w:type="pct"/>
            <w:vAlign w:val="center"/>
          </w:tcPr>
          <w:p>
            <w:pPr>
              <w:pStyle w:val="4"/>
              <w:rPr>
                <w:rFonts w:ascii="仿宋_GB2312" w:hAnsi="仿宋" w:eastAsia="仿宋_GB2312" w:cs="Times New Roman"/>
                <w:bCs/>
                <w:sz w:val="22"/>
              </w:rPr>
            </w:pPr>
            <w:r>
              <w:rPr>
                <w:rFonts w:hint="eastAsia" w:ascii="仿宋_GB2312" w:hAnsi="仿宋" w:eastAsia="仿宋_GB2312" w:cs="Times New Roman"/>
                <w:bCs/>
                <w:sz w:val="22"/>
              </w:rPr>
              <w:t>子基金投资项目退出后，可分配资金需及时按合伙协议等投资文件约定向投资人进行分配。天使母基金出资部分的分配原则上采取“先回本后分利”方式，投资收益先按照天使母基金权益比例分配给天使母基金，直至天使母基金收回全部实缴出资，超过实缴出资且归属于天使母基金的投资收益分配按照投资基金合伙协议等投资文件约定的方式进行。</w:t>
            </w:r>
          </w:p>
        </w:tc>
        <w:tc>
          <w:tcPr>
            <w:tcW w:w="388" w:type="pct"/>
            <w:vAlign w:val="center"/>
          </w:tcPr>
          <w:p>
            <w:pPr>
              <w:pStyle w:val="4"/>
              <w:jc w:val="center"/>
              <w:rPr>
                <w:rFonts w:ascii="仿宋_GB2312" w:hAnsi="仿宋" w:eastAsia="仿宋_GB2312" w:cs="Times New Roman"/>
                <w:bCs/>
                <w:sz w:val="22"/>
              </w:rPr>
            </w:pPr>
            <w:r>
              <w:rPr>
                <w:rFonts w:hint="eastAsia" w:ascii="仿宋_GB2312" w:hAnsi="仿宋" w:eastAsia="仿宋_GB2312" w:cs="Times New Roman"/>
                <w:bCs/>
                <w:sz w:val="22"/>
              </w:rPr>
              <w:t>　</w:t>
            </w:r>
          </w:p>
        </w:tc>
        <w:tc>
          <w:tcPr>
            <w:tcW w:w="655" w:type="pct"/>
            <w:vAlign w:val="center"/>
          </w:tcPr>
          <w:p>
            <w:pPr>
              <w:rPr>
                <w:rFonts w:ascii="仿宋_GB2312" w:hAnsi="仿宋" w:eastAsia="仿宋_GB2312" w:cs="Times New Roman"/>
                <w:bCs/>
                <w:sz w:val="22"/>
              </w:rPr>
            </w:pPr>
            <w:r>
              <w:rPr>
                <w:rFonts w:hint="eastAsia" w:ascii="仿宋_GB2312" w:hAnsi="仿宋" w:eastAsia="仿宋_GB2312"/>
                <w:bCs/>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0" w:type="auto"/>
            <w:vAlign w:val="center"/>
          </w:tcPr>
          <w:p>
            <w:pPr>
              <w:pStyle w:val="4"/>
              <w:jc w:val="center"/>
              <w:rPr>
                <w:rFonts w:ascii="仿宋_GB2312" w:hAnsi="仿宋" w:eastAsia="仿宋_GB2312" w:cs="Times New Roman"/>
                <w:bCs/>
                <w:sz w:val="22"/>
              </w:rPr>
            </w:pPr>
            <w:r>
              <w:rPr>
                <w:rFonts w:hint="eastAsia" w:ascii="仿宋_GB2312" w:hAnsi="仿宋" w:eastAsia="仿宋_GB2312" w:cs="Times New Roman"/>
                <w:bCs/>
                <w:sz w:val="22"/>
              </w:rPr>
              <w:t>资金</w:t>
            </w:r>
          </w:p>
          <w:p>
            <w:pPr>
              <w:pStyle w:val="4"/>
              <w:jc w:val="center"/>
              <w:rPr>
                <w:rFonts w:ascii="仿宋_GB2312" w:hAnsi="仿宋" w:eastAsia="仿宋_GB2312" w:cs="Times New Roman"/>
                <w:bCs/>
                <w:sz w:val="22"/>
              </w:rPr>
            </w:pPr>
            <w:r>
              <w:rPr>
                <w:rFonts w:hint="eastAsia" w:ascii="仿宋_GB2312" w:hAnsi="仿宋" w:eastAsia="仿宋_GB2312" w:cs="Times New Roman"/>
                <w:bCs/>
                <w:sz w:val="22"/>
              </w:rPr>
              <w:t>托管</w:t>
            </w:r>
          </w:p>
        </w:tc>
        <w:tc>
          <w:tcPr>
            <w:tcW w:w="3201" w:type="pct"/>
            <w:vAlign w:val="center"/>
          </w:tcPr>
          <w:p>
            <w:pPr>
              <w:pStyle w:val="4"/>
              <w:rPr>
                <w:rFonts w:ascii="仿宋_GB2312" w:hAnsi="仿宋" w:eastAsia="仿宋_GB2312" w:cs="Times New Roman"/>
                <w:bCs/>
                <w:sz w:val="22"/>
              </w:rPr>
            </w:pPr>
            <w:r>
              <w:rPr>
                <w:rFonts w:hint="eastAsia" w:ascii="仿宋_GB2312" w:hAnsi="仿宋" w:eastAsia="仿宋_GB2312" w:cs="Times New Roman"/>
                <w:bCs/>
                <w:sz w:val="22"/>
              </w:rPr>
              <w:t>原则上托管户一般应在工商和税收关系位于成都高新区的各商业银行中择优确定开立</w:t>
            </w:r>
          </w:p>
        </w:tc>
        <w:tc>
          <w:tcPr>
            <w:tcW w:w="388" w:type="pct"/>
            <w:vAlign w:val="center"/>
          </w:tcPr>
          <w:p>
            <w:pPr>
              <w:pStyle w:val="4"/>
              <w:jc w:val="center"/>
              <w:rPr>
                <w:rFonts w:ascii="仿宋_GB2312" w:hAnsi="仿宋" w:eastAsia="仿宋_GB2312" w:cs="Times New Roman"/>
                <w:bCs/>
                <w:sz w:val="22"/>
              </w:rPr>
            </w:pPr>
          </w:p>
        </w:tc>
        <w:tc>
          <w:tcPr>
            <w:tcW w:w="655" w:type="pct"/>
            <w:vAlign w:val="center"/>
          </w:tcPr>
          <w:p>
            <w:pPr>
              <w:rPr>
                <w:rFonts w:ascii="仿宋_GB2312" w:hAnsi="仿宋" w:eastAsia="仿宋_GB2312" w:cs="Times New Roman"/>
                <w:bCs/>
                <w:sz w:val="22"/>
              </w:rPr>
            </w:pPr>
          </w:p>
        </w:tc>
      </w:tr>
    </w:tbl>
    <w:p>
      <w:pPr>
        <w:spacing w:line="400" w:lineRule="auto"/>
        <w:rPr>
          <w:rFonts w:ascii="仿宋_GB2312" w:hAnsi="仿宋" w:eastAsia="仿宋_GB2312"/>
          <w:sz w:val="22"/>
          <w:u w:val="single" w:color="218FC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YWYzNDZlYjlhODliN2QyNGFiYTBmMTkzMDEyZGMifQ=="/>
    <w:docVar w:name="KSO_WPS_MARK_KEY" w:val="67866900-369e-4989-a00c-4d0cd157730a"/>
  </w:docVars>
  <w:rsids>
    <w:rsidRoot w:val="003B2F66"/>
    <w:rsid w:val="003B2F66"/>
    <w:rsid w:val="003E5EC5"/>
    <w:rsid w:val="00A92244"/>
    <w:rsid w:val="232C6BEC"/>
    <w:rsid w:val="266356F0"/>
    <w:rsid w:val="3C1A101E"/>
    <w:rsid w:val="532836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table_tr_td &gt; any"/>
    <w:basedOn w:val="1"/>
    <w:qFormat/>
    <w:uiPriority w:val="0"/>
    <w:rPr>
      <w:rFonts w:ascii="宋体" w:hAnsi="宋体" w:eastAsia="宋体" w:cs="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2</Pages>
  <Words>1139</Words>
  <Characters>1171</Characters>
  <Lines>9</Lines>
  <Paragraphs>2</Paragraphs>
  <TotalTime>3</TotalTime>
  <ScaleCrop>false</ScaleCrop>
  <LinksUpToDate>false</LinksUpToDate>
  <CharactersWithSpaces>1194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2024-06-07T07:28:00Z</dcterms:created>
  <dc:creator>Windows User</dc:creator>
  <cp:lastModifiedBy>Xiaohong WEI</cp:lastModifiedBy>
  <dcterms:modified xsi:type="dcterms:W3CDTF">2025-05-21T02:14:40Z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2DF775A0DEBA413691D2B1D4C01DE946</vt:lpwstr>
  </property>
</Properties>
</file>