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CAE5E">
      <w:pPr>
        <w:spacing w:line="480" w:lineRule="auto"/>
        <w:jc w:val="center"/>
        <w:rPr>
          <w:b/>
          <w:bCs/>
          <w:sz w:val="36"/>
          <w:szCs w:val="44"/>
          <w:highlight w:val="none"/>
          <w:lang w:eastAsia="zh-Hans"/>
        </w:rPr>
      </w:pPr>
      <w:bookmarkStart w:id="1" w:name="_GoBack"/>
      <w:r>
        <w:rPr>
          <w:rFonts w:hint="eastAsia"/>
          <w:b/>
          <w:bCs/>
          <w:sz w:val="36"/>
          <w:szCs w:val="44"/>
          <w:highlight w:val="none"/>
        </w:rPr>
        <w:t>【  】</w:t>
      </w:r>
      <w:r>
        <w:rPr>
          <w:rFonts w:hint="eastAsia"/>
          <w:b/>
          <w:bCs/>
          <w:sz w:val="36"/>
          <w:szCs w:val="44"/>
          <w:highlight w:val="none"/>
          <w:lang w:eastAsia="zh-Hans"/>
        </w:rPr>
        <w:t>基金</w:t>
      </w:r>
      <w:r>
        <w:rPr>
          <w:rFonts w:hint="eastAsia"/>
          <w:b/>
          <w:bCs/>
          <w:sz w:val="36"/>
          <w:szCs w:val="44"/>
          <w:highlight w:val="none"/>
        </w:rPr>
        <w:t>关键条款/</w:t>
      </w:r>
      <w:r>
        <w:rPr>
          <w:rFonts w:hint="eastAsia"/>
          <w:b/>
          <w:bCs/>
          <w:sz w:val="36"/>
          <w:szCs w:val="44"/>
          <w:highlight w:val="none"/>
          <w:lang w:eastAsia="zh-Hans"/>
        </w:rPr>
        <w:t>要素表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8161"/>
      </w:tblGrid>
      <w:tr w14:paraId="4EBC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trPr>
        <w:tc>
          <w:tcPr>
            <w:tcW w:w="904" w:type="pct"/>
            <w:tcBorders>
              <w:top w:val="double" w:color="auto" w:sz="4" w:space="0"/>
            </w:tcBorders>
            <w:vAlign w:val="center"/>
          </w:tcPr>
          <w:p w14:paraId="7DBA62F8">
            <w:pPr>
              <w:spacing w:line="360" w:lineRule="auto"/>
              <w:jc w:val="center"/>
              <w:rPr>
                <w:b/>
                <w:bCs/>
                <w:szCs w:val="21"/>
                <w:highlight w:val="none"/>
                <w:lang w:eastAsia="zh-Hans"/>
              </w:rPr>
            </w:pPr>
            <w:r>
              <w:rPr>
                <w:rFonts w:hint="eastAsia"/>
                <w:b/>
                <w:bCs/>
                <w:szCs w:val="21"/>
                <w:highlight w:val="none"/>
              </w:rPr>
              <w:t>关键条款/</w:t>
            </w:r>
            <w:r>
              <w:rPr>
                <w:rFonts w:hint="eastAsia"/>
                <w:b/>
                <w:bCs/>
                <w:szCs w:val="21"/>
                <w:highlight w:val="none"/>
                <w:lang w:eastAsia="zh-Hans"/>
              </w:rPr>
              <w:t>要素</w:t>
            </w:r>
          </w:p>
        </w:tc>
        <w:tc>
          <w:tcPr>
            <w:tcW w:w="4096" w:type="pct"/>
            <w:tcBorders>
              <w:top w:val="double" w:color="auto" w:sz="4" w:space="0"/>
            </w:tcBorders>
            <w:vAlign w:val="center"/>
          </w:tcPr>
          <w:p w14:paraId="025B5951">
            <w:pPr>
              <w:spacing w:line="360" w:lineRule="auto"/>
              <w:jc w:val="center"/>
              <w:rPr>
                <w:b/>
                <w:bCs/>
                <w:szCs w:val="21"/>
                <w:highlight w:val="none"/>
              </w:rPr>
            </w:pPr>
            <w:r>
              <w:rPr>
                <w:rFonts w:hint="eastAsia"/>
                <w:b/>
                <w:bCs/>
                <w:szCs w:val="21"/>
                <w:highlight w:val="none"/>
              </w:rPr>
              <w:t>主要内容</w:t>
            </w:r>
          </w:p>
        </w:tc>
      </w:tr>
      <w:tr w14:paraId="40F5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4" w:type="pct"/>
            <w:vAlign w:val="center"/>
          </w:tcPr>
          <w:p w14:paraId="33A255B3">
            <w:pPr>
              <w:spacing w:line="360" w:lineRule="exact"/>
              <w:jc w:val="center"/>
              <w:rPr>
                <w:b/>
                <w:bCs/>
                <w:szCs w:val="21"/>
                <w:highlight w:val="none"/>
              </w:rPr>
            </w:pPr>
            <w:r>
              <w:rPr>
                <w:rFonts w:hint="eastAsia"/>
                <w:b/>
                <w:bCs/>
                <w:szCs w:val="21"/>
                <w:highlight w:val="none"/>
              </w:rPr>
              <w:t>基金名称</w:t>
            </w:r>
          </w:p>
        </w:tc>
        <w:tc>
          <w:tcPr>
            <w:tcW w:w="4096" w:type="pct"/>
            <w:vAlign w:val="center"/>
          </w:tcPr>
          <w:p w14:paraId="3F0BDFC4">
            <w:pPr>
              <w:spacing w:line="360" w:lineRule="exact"/>
              <w:jc w:val="center"/>
              <w:rPr>
                <w:szCs w:val="21"/>
                <w:highlight w:val="none"/>
                <w:lang w:eastAsia="zh-Hans"/>
              </w:rPr>
            </w:pPr>
          </w:p>
        </w:tc>
      </w:tr>
      <w:tr w14:paraId="2670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4" w:type="pct"/>
            <w:vAlign w:val="center"/>
          </w:tcPr>
          <w:p w14:paraId="124F5171">
            <w:pPr>
              <w:spacing w:line="360" w:lineRule="exact"/>
              <w:jc w:val="center"/>
              <w:rPr>
                <w:b/>
                <w:bCs/>
                <w:szCs w:val="21"/>
                <w:highlight w:val="none"/>
              </w:rPr>
            </w:pPr>
            <w:r>
              <w:rPr>
                <w:rFonts w:hint="eastAsia"/>
                <w:b/>
                <w:bCs/>
                <w:szCs w:val="21"/>
                <w:highlight w:val="none"/>
              </w:rPr>
              <w:t>基金管理人</w:t>
            </w:r>
          </w:p>
        </w:tc>
        <w:tc>
          <w:tcPr>
            <w:tcW w:w="4096" w:type="pct"/>
            <w:vAlign w:val="center"/>
          </w:tcPr>
          <w:p w14:paraId="17AA4563">
            <w:pPr>
              <w:spacing w:line="360" w:lineRule="exact"/>
              <w:jc w:val="center"/>
              <w:rPr>
                <w:szCs w:val="21"/>
                <w:highlight w:val="none"/>
                <w:lang w:eastAsia="zh-Hans"/>
              </w:rPr>
            </w:pPr>
          </w:p>
        </w:tc>
      </w:tr>
      <w:tr w14:paraId="4BF8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4" w:type="pct"/>
            <w:vAlign w:val="center"/>
          </w:tcPr>
          <w:p w14:paraId="5B4B2711">
            <w:pPr>
              <w:spacing w:line="360" w:lineRule="exact"/>
              <w:jc w:val="center"/>
              <w:rPr>
                <w:szCs w:val="21"/>
                <w:highlight w:val="none"/>
              </w:rPr>
            </w:pPr>
            <w:r>
              <w:rPr>
                <w:rFonts w:hint="eastAsia"/>
                <w:b/>
                <w:bCs/>
                <w:szCs w:val="21"/>
                <w:highlight w:val="none"/>
              </w:rPr>
              <w:t>基金规模</w:t>
            </w:r>
          </w:p>
        </w:tc>
        <w:tc>
          <w:tcPr>
            <w:tcW w:w="4096" w:type="pct"/>
            <w:vAlign w:val="center"/>
          </w:tcPr>
          <w:p w14:paraId="0FD73304">
            <w:pPr>
              <w:spacing w:line="360" w:lineRule="exact"/>
              <w:jc w:val="center"/>
              <w:rPr>
                <w:szCs w:val="21"/>
                <w:highlight w:val="none"/>
              </w:rPr>
            </w:pPr>
          </w:p>
        </w:tc>
      </w:tr>
      <w:tr w14:paraId="6C67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4" w:type="pct"/>
            <w:vAlign w:val="center"/>
          </w:tcPr>
          <w:p w14:paraId="56074FDD">
            <w:pPr>
              <w:spacing w:line="360" w:lineRule="exact"/>
              <w:jc w:val="center"/>
              <w:rPr>
                <w:b/>
                <w:bCs/>
                <w:szCs w:val="21"/>
                <w:highlight w:val="none"/>
              </w:rPr>
            </w:pPr>
            <w:r>
              <w:rPr>
                <w:rFonts w:hint="eastAsia"/>
                <w:b/>
                <w:bCs/>
                <w:szCs w:val="21"/>
                <w:highlight w:val="none"/>
              </w:rPr>
              <w:t>基金类型</w:t>
            </w:r>
          </w:p>
        </w:tc>
        <w:tc>
          <w:tcPr>
            <w:tcW w:w="4096" w:type="pct"/>
            <w:vAlign w:val="center"/>
          </w:tcPr>
          <w:p w14:paraId="4B1AFEE5">
            <w:pPr>
              <w:spacing w:line="276" w:lineRule="auto"/>
              <w:jc w:val="center"/>
              <w:rPr>
                <w:szCs w:val="21"/>
                <w:highlight w:val="none"/>
              </w:rPr>
            </w:pPr>
            <w:r>
              <w:rPr>
                <w:rFonts w:hint="eastAsia"/>
                <w:sz w:val="22"/>
                <w:szCs w:val="22"/>
                <w:highlight w:val="none"/>
                <w:lang w:eastAsia="zh-Hans"/>
              </w:rPr>
              <w:sym w:font="Wingdings" w:char="F06F"/>
            </w:r>
            <w:r>
              <w:rPr>
                <w:sz w:val="22"/>
                <w:szCs w:val="22"/>
                <w:highlight w:val="none"/>
                <w:lang w:eastAsia="zh-Hans"/>
              </w:rPr>
              <w:t xml:space="preserve"> </w:t>
            </w:r>
            <w:r>
              <w:rPr>
                <w:rFonts w:hint="eastAsia"/>
                <w:szCs w:val="21"/>
                <w:highlight w:val="none"/>
              </w:rPr>
              <w:t>产业</w:t>
            </w:r>
            <w:r>
              <w:rPr>
                <w:rFonts w:hint="eastAsia"/>
                <w:szCs w:val="21"/>
                <w:highlight w:val="none"/>
                <w:lang w:val="en-US" w:eastAsia="zh-CN"/>
              </w:rPr>
              <w:t>类子</w:t>
            </w:r>
            <w:r>
              <w:rPr>
                <w:rFonts w:hint="eastAsia"/>
                <w:szCs w:val="21"/>
                <w:highlight w:val="none"/>
                <w:lang w:eastAsia="zh-Hans"/>
              </w:rPr>
              <w:t>基金</w:t>
            </w:r>
            <w:r>
              <w:rPr>
                <w:szCs w:val="21"/>
                <w:highlight w:val="none"/>
              </w:rPr>
              <w:t xml:space="preserve"> </w:t>
            </w:r>
            <w:r>
              <w:rPr>
                <w:rFonts w:hint="eastAsia"/>
                <w:sz w:val="22"/>
                <w:szCs w:val="22"/>
                <w:highlight w:val="none"/>
                <w:lang w:eastAsia="zh-Hans"/>
              </w:rPr>
              <w:sym w:font="Wingdings" w:char="F06F"/>
            </w:r>
            <w:r>
              <w:rPr>
                <w:sz w:val="22"/>
                <w:szCs w:val="22"/>
                <w:highlight w:val="none"/>
                <w:lang w:eastAsia="zh-Hans"/>
              </w:rPr>
              <w:t xml:space="preserve"> </w:t>
            </w:r>
            <w:r>
              <w:rPr>
                <w:rFonts w:hint="eastAsia"/>
                <w:sz w:val="22"/>
                <w:szCs w:val="22"/>
                <w:highlight w:val="none"/>
              </w:rPr>
              <w:t>科创</w:t>
            </w:r>
            <w:r>
              <w:rPr>
                <w:rFonts w:hint="eastAsia"/>
                <w:szCs w:val="21"/>
                <w:highlight w:val="none"/>
                <w:lang w:val="en-US" w:eastAsia="zh-CN"/>
              </w:rPr>
              <w:t>类子</w:t>
            </w:r>
            <w:r>
              <w:rPr>
                <w:rFonts w:hint="eastAsia"/>
                <w:sz w:val="22"/>
                <w:szCs w:val="22"/>
                <w:highlight w:val="none"/>
              </w:rPr>
              <w:t>基金</w:t>
            </w:r>
            <w:bookmarkStart w:id="0" w:name="_Hlk176945465"/>
            <w:r>
              <w:rPr>
                <w:szCs w:val="21"/>
                <w:highlight w:val="none"/>
              </w:rPr>
              <w:t xml:space="preserve"> </w:t>
            </w:r>
            <w:r>
              <w:rPr>
                <w:rFonts w:hint="eastAsia"/>
                <w:sz w:val="22"/>
                <w:szCs w:val="22"/>
                <w:highlight w:val="none"/>
                <w:lang w:eastAsia="zh-Hans"/>
              </w:rPr>
              <w:sym w:font="Wingdings" w:char="F06F"/>
            </w:r>
            <w:r>
              <w:rPr>
                <w:rFonts w:hint="eastAsia"/>
                <w:highlight w:val="none"/>
                <w:lang w:eastAsia="zh-Hans"/>
              </w:rPr>
              <w:t>并购</w:t>
            </w:r>
            <w:r>
              <w:rPr>
                <w:rFonts w:hint="eastAsia"/>
                <w:szCs w:val="21"/>
                <w:highlight w:val="none"/>
                <w:lang w:val="en-US" w:eastAsia="zh-CN"/>
              </w:rPr>
              <w:t>类子</w:t>
            </w:r>
            <w:r>
              <w:rPr>
                <w:rFonts w:hint="eastAsia"/>
                <w:highlight w:val="none"/>
                <w:lang w:eastAsia="zh-Hans"/>
              </w:rPr>
              <w:t>基金</w:t>
            </w:r>
            <w:bookmarkEnd w:id="0"/>
          </w:p>
        </w:tc>
      </w:tr>
      <w:tr w14:paraId="11E2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4" w:type="pct"/>
            <w:vAlign w:val="center"/>
          </w:tcPr>
          <w:p w14:paraId="57F74F17">
            <w:pPr>
              <w:spacing w:line="360" w:lineRule="exact"/>
              <w:jc w:val="center"/>
              <w:rPr>
                <w:b/>
                <w:bCs/>
                <w:szCs w:val="21"/>
                <w:highlight w:val="none"/>
                <w:lang w:eastAsia="zh-Hans"/>
              </w:rPr>
            </w:pPr>
            <w:r>
              <w:rPr>
                <w:rFonts w:hint="eastAsia"/>
                <w:b/>
                <w:bCs/>
                <w:szCs w:val="21"/>
                <w:highlight w:val="none"/>
              </w:rPr>
              <w:t>组织</w:t>
            </w:r>
            <w:r>
              <w:rPr>
                <w:rFonts w:hint="eastAsia"/>
                <w:b/>
                <w:bCs/>
                <w:szCs w:val="21"/>
                <w:highlight w:val="none"/>
                <w:lang w:eastAsia="zh-Hans"/>
              </w:rPr>
              <w:t>形式</w:t>
            </w:r>
          </w:p>
        </w:tc>
        <w:tc>
          <w:tcPr>
            <w:tcW w:w="4096" w:type="pct"/>
            <w:vAlign w:val="center"/>
          </w:tcPr>
          <w:p w14:paraId="0C4F78C6">
            <w:pPr>
              <w:spacing w:line="360" w:lineRule="exact"/>
              <w:jc w:val="center"/>
              <w:rPr>
                <w:szCs w:val="21"/>
                <w:highlight w:val="none"/>
                <w:lang w:eastAsia="zh-Hans"/>
              </w:rPr>
            </w:pPr>
          </w:p>
        </w:tc>
      </w:tr>
      <w:tr w14:paraId="6DC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4" w:type="pct"/>
            <w:vAlign w:val="center"/>
          </w:tcPr>
          <w:p w14:paraId="7BCDF1FE">
            <w:pPr>
              <w:spacing w:line="360" w:lineRule="exact"/>
              <w:jc w:val="center"/>
              <w:rPr>
                <w:b/>
                <w:bCs/>
                <w:szCs w:val="21"/>
                <w:highlight w:val="none"/>
                <w:lang w:eastAsia="zh-Hans"/>
              </w:rPr>
            </w:pPr>
            <w:r>
              <w:rPr>
                <w:rFonts w:hint="eastAsia"/>
                <w:b/>
                <w:bCs/>
                <w:szCs w:val="21"/>
                <w:highlight w:val="none"/>
                <w:lang w:eastAsia="zh-Hans"/>
              </w:rPr>
              <w:t>注册地</w:t>
            </w:r>
          </w:p>
        </w:tc>
        <w:tc>
          <w:tcPr>
            <w:tcW w:w="4096" w:type="pct"/>
            <w:vAlign w:val="center"/>
          </w:tcPr>
          <w:p w14:paraId="057F5B8F">
            <w:pPr>
              <w:spacing w:line="360" w:lineRule="exact"/>
              <w:jc w:val="center"/>
              <w:rPr>
                <w:szCs w:val="21"/>
                <w:highlight w:val="none"/>
                <w:lang w:eastAsia="zh-Hans"/>
              </w:rPr>
            </w:pPr>
          </w:p>
        </w:tc>
      </w:tr>
      <w:tr w14:paraId="6636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04" w:type="pct"/>
            <w:vAlign w:val="center"/>
          </w:tcPr>
          <w:p w14:paraId="4D079AC1">
            <w:pPr>
              <w:spacing w:line="360" w:lineRule="exact"/>
              <w:jc w:val="center"/>
              <w:rPr>
                <w:b/>
                <w:bCs/>
                <w:szCs w:val="21"/>
                <w:highlight w:val="none"/>
                <w:lang w:eastAsia="zh-Hans"/>
              </w:rPr>
            </w:pPr>
            <w:r>
              <w:rPr>
                <w:rFonts w:hint="eastAsia"/>
                <w:b/>
                <w:bCs/>
                <w:szCs w:val="21"/>
                <w:highlight w:val="none"/>
                <w:lang w:eastAsia="zh-Hans"/>
              </w:rPr>
              <w:t>存续期限</w:t>
            </w:r>
          </w:p>
        </w:tc>
        <w:tc>
          <w:tcPr>
            <w:tcW w:w="4096" w:type="pct"/>
            <w:vAlign w:val="center"/>
          </w:tcPr>
          <w:p w14:paraId="61F7F286">
            <w:pPr>
              <w:spacing w:line="360" w:lineRule="exact"/>
              <w:jc w:val="center"/>
              <w:rPr>
                <w:szCs w:val="21"/>
                <w:highlight w:val="none"/>
                <w:lang w:eastAsia="zh-Hans"/>
              </w:rPr>
            </w:pPr>
            <w:r>
              <w:rPr>
                <w:rFonts w:hint="eastAsia"/>
                <w:szCs w:val="21"/>
                <w:highlight w:val="none"/>
                <w:lang w:eastAsia="zh-Hans"/>
              </w:rPr>
              <w:t>存续期</w:t>
            </w:r>
            <w:r>
              <w:rPr>
                <w:rFonts w:hint="eastAsia"/>
                <w:szCs w:val="21"/>
                <w:highlight w:val="none"/>
                <w:u w:val="single"/>
                <w:lang w:eastAsia="zh-Hans"/>
              </w:rPr>
              <w:t xml:space="preserve">  </w:t>
            </w:r>
            <w:r>
              <w:rPr>
                <w:rFonts w:hint="eastAsia"/>
                <w:szCs w:val="21"/>
                <w:highlight w:val="none"/>
                <w:lang w:eastAsia="zh-Hans"/>
              </w:rPr>
              <w:t>年，其中：投资期</w:t>
            </w:r>
            <w:r>
              <w:rPr>
                <w:rFonts w:hint="eastAsia"/>
                <w:szCs w:val="21"/>
                <w:highlight w:val="none"/>
                <w:u w:val="single"/>
                <w:lang w:eastAsia="zh-Hans"/>
              </w:rPr>
              <w:t xml:space="preserve">   </w:t>
            </w:r>
            <w:r>
              <w:rPr>
                <w:rFonts w:hint="eastAsia"/>
                <w:szCs w:val="21"/>
                <w:highlight w:val="none"/>
                <w:lang w:eastAsia="zh-Hans"/>
              </w:rPr>
              <w:t>年，退出期</w:t>
            </w:r>
            <w:r>
              <w:rPr>
                <w:rFonts w:hint="eastAsia"/>
                <w:szCs w:val="21"/>
                <w:highlight w:val="none"/>
                <w:u w:val="single"/>
                <w:lang w:eastAsia="zh-Hans"/>
              </w:rPr>
              <w:t xml:space="preserve">  </w:t>
            </w:r>
            <w:r>
              <w:rPr>
                <w:rFonts w:hint="eastAsia"/>
                <w:szCs w:val="21"/>
                <w:highlight w:val="none"/>
                <w:lang w:eastAsia="zh-Hans"/>
              </w:rPr>
              <w:t>年。</w:t>
            </w:r>
          </w:p>
        </w:tc>
      </w:tr>
      <w:tr w14:paraId="251D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4" w:type="pct"/>
            <w:vAlign w:val="center"/>
          </w:tcPr>
          <w:p w14:paraId="7C30DD13">
            <w:pPr>
              <w:spacing w:line="360" w:lineRule="exact"/>
              <w:jc w:val="center"/>
              <w:rPr>
                <w:b/>
                <w:bCs/>
                <w:szCs w:val="21"/>
                <w:highlight w:val="none"/>
              </w:rPr>
            </w:pPr>
            <w:r>
              <w:rPr>
                <w:rFonts w:hint="eastAsia"/>
                <w:b/>
                <w:bCs/>
                <w:szCs w:val="21"/>
                <w:highlight w:val="none"/>
              </w:rPr>
              <w:t>托管要求</w:t>
            </w:r>
          </w:p>
        </w:tc>
        <w:tc>
          <w:tcPr>
            <w:tcW w:w="4096" w:type="pct"/>
            <w:vAlign w:val="center"/>
          </w:tcPr>
          <w:p w14:paraId="2186A6DE">
            <w:pPr>
              <w:spacing w:line="360" w:lineRule="exact"/>
              <w:jc w:val="center"/>
              <w:rPr>
                <w:szCs w:val="21"/>
                <w:highlight w:val="none"/>
                <w:lang w:eastAsia="zh-Hans"/>
              </w:rPr>
            </w:pPr>
            <w:r>
              <w:rPr>
                <w:rFonts w:hint="eastAsia"/>
                <w:szCs w:val="21"/>
                <w:highlight w:val="none"/>
                <w:lang w:eastAsia="zh-Hans"/>
              </w:rPr>
              <w:t>委托有托管资质的商业银行进行托管。</w:t>
            </w:r>
          </w:p>
        </w:tc>
      </w:tr>
      <w:tr w14:paraId="4416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04" w:type="pct"/>
            <w:vAlign w:val="center"/>
          </w:tcPr>
          <w:p w14:paraId="459308C2">
            <w:pPr>
              <w:spacing w:line="360" w:lineRule="exact"/>
              <w:jc w:val="center"/>
              <w:rPr>
                <w:b/>
                <w:bCs/>
                <w:szCs w:val="21"/>
                <w:highlight w:val="none"/>
              </w:rPr>
            </w:pPr>
            <w:r>
              <w:rPr>
                <w:rFonts w:hint="eastAsia"/>
                <w:b/>
                <w:bCs/>
                <w:szCs w:val="21"/>
                <w:highlight w:val="none"/>
              </w:rPr>
              <w:t>出资结构</w:t>
            </w:r>
          </w:p>
          <w:p w14:paraId="63496500">
            <w:pPr>
              <w:spacing w:line="360" w:lineRule="exact"/>
              <w:jc w:val="center"/>
              <w:rPr>
                <w:szCs w:val="21"/>
                <w:highlight w:val="none"/>
                <w:lang w:eastAsia="zh-Hans"/>
              </w:rPr>
            </w:pPr>
            <w:r>
              <w:rPr>
                <w:rFonts w:hint="eastAsia"/>
                <w:szCs w:val="21"/>
                <w:highlight w:val="none"/>
              </w:rPr>
              <w:t>（包含各出资人名称、合伙人类型、认缴出资额及认缴出资比例）</w:t>
            </w:r>
          </w:p>
        </w:tc>
        <w:tc>
          <w:tcPr>
            <w:tcW w:w="4096" w:type="pct"/>
            <w:vAlign w:val="center"/>
          </w:tcPr>
          <w:tbl>
            <w:tblPr>
              <w:tblStyle w:val="10"/>
              <w:tblW w:w="7749" w:type="dxa"/>
              <w:tblInd w:w="0" w:type="dxa"/>
              <w:tblLayout w:type="autofit"/>
              <w:tblCellMar>
                <w:top w:w="0" w:type="dxa"/>
                <w:left w:w="108" w:type="dxa"/>
                <w:bottom w:w="0" w:type="dxa"/>
                <w:right w:w="108" w:type="dxa"/>
              </w:tblCellMar>
            </w:tblPr>
            <w:tblGrid>
              <w:gridCol w:w="426"/>
              <w:gridCol w:w="2171"/>
              <w:gridCol w:w="1764"/>
              <w:gridCol w:w="1702"/>
              <w:gridCol w:w="1686"/>
            </w:tblGrid>
            <w:tr w14:paraId="5E9DA675">
              <w:tblPrEx>
                <w:tblCellMar>
                  <w:top w:w="0" w:type="dxa"/>
                  <w:left w:w="108" w:type="dxa"/>
                  <w:bottom w:w="0" w:type="dxa"/>
                  <w:right w:w="108" w:type="dxa"/>
                </w:tblCellMar>
              </w:tblPrEx>
              <w:trPr>
                <w:trHeight w:val="604"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99798C2">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401" w:type="pct"/>
                  <w:tcBorders>
                    <w:top w:val="single" w:color="auto" w:sz="4" w:space="0"/>
                    <w:left w:val="single" w:color="auto" w:sz="4" w:space="0"/>
                    <w:bottom w:val="single" w:color="auto" w:sz="4" w:space="0"/>
                    <w:right w:val="single" w:color="auto" w:sz="4" w:space="0"/>
                  </w:tcBorders>
                  <w:shd w:val="clear" w:color="auto" w:fill="auto"/>
                  <w:vAlign w:val="center"/>
                </w:tcPr>
                <w:p w14:paraId="4EC9A240">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出资人名称</w:t>
                  </w:r>
                </w:p>
              </w:tc>
              <w:tc>
                <w:tcPr>
                  <w:tcW w:w="1138" w:type="pct"/>
                  <w:tcBorders>
                    <w:top w:val="single" w:color="auto" w:sz="4" w:space="0"/>
                    <w:left w:val="single" w:color="auto" w:sz="4" w:space="0"/>
                    <w:bottom w:val="single" w:color="auto" w:sz="4" w:space="0"/>
                    <w:right w:val="single" w:color="auto" w:sz="4" w:space="0"/>
                  </w:tcBorders>
                  <w:shd w:val="clear" w:color="auto" w:fill="auto"/>
                  <w:vAlign w:val="center"/>
                </w:tcPr>
                <w:p w14:paraId="5203881A">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合伙人类型（</w:t>
                  </w:r>
                  <w:r>
                    <w:rPr>
                      <w:rFonts w:ascii="宋体" w:hAnsi="宋体" w:eastAsia="宋体" w:cs="宋体"/>
                      <w:color w:val="000000"/>
                      <w:kern w:val="0"/>
                      <w:szCs w:val="21"/>
                      <w:highlight w:val="none"/>
                    </w:rPr>
                    <w:t>GP/LP/SLP</w:t>
                  </w:r>
                  <w:r>
                    <w:rPr>
                      <w:rFonts w:hint="eastAsia" w:ascii="宋体" w:hAnsi="宋体" w:eastAsia="宋体" w:cs="宋体"/>
                      <w:color w:val="000000"/>
                      <w:kern w:val="0"/>
                      <w:szCs w:val="21"/>
                      <w:highlight w:val="none"/>
                    </w:rPr>
                    <w:t>）</w:t>
                  </w: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14:paraId="5EF90EC5">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认缴出资额</w:t>
                  </w:r>
                </w:p>
                <w:p w14:paraId="1B862E55">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（万元）</w:t>
                  </w:r>
                </w:p>
              </w:tc>
              <w:tc>
                <w:tcPr>
                  <w:tcW w:w="1089" w:type="pct"/>
                  <w:tcBorders>
                    <w:top w:val="single" w:color="auto" w:sz="4" w:space="0"/>
                    <w:left w:val="single" w:color="auto" w:sz="4" w:space="0"/>
                    <w:bottom w:val="single" w:color="000000" w:sz="4" w:space="0"/>
                    <w:right w:val="single" w:color="000000" w:sz="4" w:space="0"/>
                  </w:tcBorders>
                  <w:shd w:val="clear" w:color="auto" w:fill="auto"/>
                  <w:vAlign w:val="center"/>
                </w:tcPr>
                <w:p w14:paraId="3F52B008">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认缴出资</w:t>
                  </w:r>
                </w:p>
                <w:p w14:paraId="5D3F1984">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比例</w:t>
                  </w:r>
                </w:p>
              </w:tc>
            </w:tr>
            <w:tr w14:paraId="0F459110">
              <w:tblPrEx>
                <w:tblCellMar>
                  <w:top w:w="0" w:type="dxa"/>
                  <w:left w:w="108" w:type="dxa"/>
                  <w:bottom w:w="0" w:type="dxa"/>
                  <w:right w:w="108" w:type="dxa"/>
                </w:tblCellMar>
              </w:tblPrEx>
              <w:trPr>
                <w:trHeight w:val="591"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4F60FF85">
                  <w:pPr>
                    <w:widowControl/>
                    <w:jc w:val="center"/>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1</w:t>
                  </w:r>
                </w:p>
              </w:tc>
              <w:tc>
                <w:tcPr>
                  <w:tcW w:w="1401" w:type="pct"/>
                  <w:tcBorders>
                    <w:top w:val="nil"/>
                    <w:left w:val="nil"/>
                    <w:bottom w:val="single" w:color="auto" w:sz="4" w:space="0"/>
                    <w:right w:val="single" w:color="auto" w:sz="4" w:space="0"/>
                  </w:tcBorders>
                  <w:shd w:val="clear" w:color="auto" w:fill="auto"/>
                  <w:vAlign w:val="center"/>
                </w:tcPr>
                <w:p w14:paraId="5CB20A02">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06F806E3">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23617D6C">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548A689A">
                  <w:pPr>
                    <w:widowControl/>
                    <w:jc w:val="center"/>
                    <w:rPr>
                      <w:rFonts w:hint="eastAsia" w:ascii="宋体" w:hAnsi="宋体" w:eastAsia="宋体" w:cs="宋体"/>
                      <w:color w:val="000000"/>
                      <w:kern w:val="0"/>
                      <w:szCs w:val="21"/>
                      <w:highlight w:val="none"/>
                    </w:rPr>
                  </w:pPr>
                </w:p>
              </w:tc>
            </w:tr>
            <w:tr w14:paraId="40B88167">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7A9E66AD">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1401" w:type="pct"/>
                  <w:tcBorders>
                    <w:top w:val="nil"/>
                    <w:left w:val="nil"/>
                    <w:bottom w:val="single" w:color="auto" w:sz="4" w:space="0"/>
                    <w:right w:val="single" w:color="auto" w:sz="4" w:space="0"/>
                  </w:tcBorders>
                  <w:shd w:val="clear" w:color="auto" w:fill="auto"/>
                  <w:vAlign w:val="center"/>
                </w:tcPr>
                <w:p w14:paraId="2C2A0638">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7DD441AB">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6D210EBD">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573FCD17">
                  <w:pPr>
                    <w:widowControl/>
                    <w:jc w:val="center"/>
                    <w:rPr>
                      <w:rFonts w:hint="eastAsia" w:ascii="宋体" w:hAnsi="宋体" w:eastAsia="宋体" w:cs="宋体"/>
                      <w:color w:val="000000"/>
                      <w:kern w:val="0"/>
                      <w:szCs w:val="21"/>
                      <w:highlight w:val="none"/>
                    </w:rPr>
                  </w:pPr>
                </w:p>
              </w:tc>
            </w:tr>
            <w:tr w14:paraId="00714FFD">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77EACBA6">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p>
              </w:tc>
              <w:tc>
                <w:tcPr>
                  <w:tcW w:w="1401" w:type="pct"/>
                  <w:tcBorders>
                    <w:top w:val="nil"/>
                    <w:left w:val="nil"/>
                    <w:bottom w:val="single" w:color="auto" w:sz="4" w:space="0"/>
                    <w:right w:val="single" w:color="auto" w:sz="4" w:space="0"/>
                  </w:tcBorders>
                  <w:shd w:val="clear" w:color="auto" w:fill="auto"/>
                  <w:vAlign w:val="center"/>
                </w:tcPr>
                <w:p w14:paraId="7CF09DC8">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61FAEEE4">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21F44156">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58BF67F6">
                  <w:pPr>
                    <w:widowControl/>
                    <w:jc w:val="center"/>
                    <w:rPr>
                      <w:rFonts w:hint="eastAsia" w:ascii="宋体" w:hAnsi="宋体" w:eastAsia="宋体" w:cs="宋体"/>
                      <w:color w:val="000000"/>
                      <w:kern w:val="0"/>
                      <w:szCs w:val="21"/>
                      <w:highlight w:val="none"/>
                    </w:rPr>
                  </w:pPr>
                </w:p>
              </w:tc>
            </w:tr>
            <w:tr w14:paraId="48E2B671">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69D866A4">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1401" w:type="pct"/>
                  <w:tcBorders>
                    <w:top w:val="nil"/>
                    <w:left w:val="nil"/>
                    <w:bottom w:val="single" w:color="auto" w:sz="4" w:space="0"/>
                    <w:right w:val="single" w:color="auto" w:sz="4" w:space="0"/>
                  </w:tcBorders>
                  <w:shd w:val="clear" w:color="auto" w:fill="auto"/>
                  <w:vAlign w:val="center"/>
                </w:tcPr>
                <w:p w14:paraId="235654D1">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0F6A28AF">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290C328A">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45276732">
                  <w:pPr>
                    <w:widowControl/>
                    <w:jc w:val="center"/>
                    <w:rPr>
                      <w:rFonts w:hint="eastAsia" w:ascii="宋体" w:hAnsi="宋体" w:eastAsia="宋体" w:cs="宋体"/>
                      <w:color w:val="000000"/>
                      <w:kern w:val="0"/>
                      <w:szCs w:val="21"/>
                      <w:highlight w:val="none"/>
                    </w:rPr>
                  </w:pPr>
                </w:p>
              </w:tc>
            </w:tr>
            <w:tr w14:paraId="761F5388">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1AA3694A">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p>
              </w:tc>
              <w:tc>
                <w:tcPr>
                  <w:tcW w:w="1401" w:type="pct"/>
                  <w:tcBorders>
                    <w:top w:val="nil"/>
                    <w:left w:val="nil"/>
                    <w:bottom w:val="single" w:color="auto" w:sz="4" w:space="0"/>
                    <w:right w:val="single" w:color="auto" w:sz="4" w:space="0"/>
                  </w:tcBorders>
                  <w:shd w:val="clear" w:color="auto" w:fill="auto"/>
                  <w:vAlign w:val="center"/>
                </w:tcPr>
                <w:p w14:paraId="3ABAC66A">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7D55571F">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0530F439">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48F1134F">
                  <w:pPr>
                    <w:widowControl/>
                    <w:jc w:val="center"/>
                    <w:rPr>
                      <w:rFonts w:hint="eastAsia" w:ascii="宋体" w:hAnsi="宋体" w:eastAsia="宋体" w:cs="宋体"/>
                      <w:color w:val="000000"/>
                      <w:kern w:val="0"/>
                      <w:szCs w:val="21"/>
                      <w:highlight w:val="none"/>
                    </w:rPr>
                  </w:pPr>
                </w:p>
              </w:tc>
            </w:tr>
            <w:tr w14:paraId="7C34C56B">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2FF10A45">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1401" w:type="pct"/>
                  <w:tcBorders>
                    <w:top w:val="nil"/>
                    <w:left w:val="nil"/>
                    <w:bottom w:val="single" w:color="auto" w:sz="4" w:space="0"/>
                    <w:right w:val="single" w:color="auto" w:sz="4" w:space="0"/>
                  </w:tcBorders>
                  <w:shd w:val="clear" w:color="auto" w:fill="auto"/>
                  <w:vAlign w:val="center"/>
                </w:tcPr>
                <w:p w14:paraId="0B91F92B">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2EA595E4">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673E436E">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0A881CAE">
                  <w:pPr>
                    <w:widowControl/>
                    <w:jc w:val="center"/>
                    <w:rPr>
                      <w:rFonts w:hint="eastAsia" w:ascii="宋体" w:hAnsi="宋体" w:eastAsia="宋体" w:cs="宋体"/>
                      <w:color w:val="000000"/>
                      <w:kern w:val="0"/>
                      <w:szCs w:val="21"/>
                      <w:highlight w:val="none"/>
                    </w:rPr>
                  </w:pPr>
                </w:p>
              </w:tc>
            </w:tr>
            <w:tr w14:paraId="721CEBA1">
              <w:tblPrEx>
                <w:tblCellMar>
                  <w:top w:w="0" w:type="dxa"/>
                  <w:left w:w="108" w:type="dxa"/>
                  <w:bottom w:w="0" w:type="dxa"/>
                  <w:right w:w="108" w:type="dxa"/>
                </w:tblCellMar>
              </w:tblPrEx>
              <w:trPr>
                <w:trHeight w:val="567" w:hRule="atLeast"/>
              </w:trPr>
              <w:tc>
                <w:tcPr>
                  <w:tcW w:w="275" w:type="pct"/>
                  <w:tcBorders>
                    <w:top w:val="nil"/>
                    <w:left w:val="single" w:color="auto" w:sz="4" w:space="0"/>
                    <w:bottom w:val="single" w:color="auto" w:sz="4" w:space="0"/>
                    <w:right w:val="single" w:color="auto" w:sz="4" w:space="0"/>
                  </w:tcBorders>
                  <w:shd w:val="clear" w:color="auto" w:fill="auto"/>
                  <w:vAlign w:val="center"/>
                </w:tcPr>
                <w:p w14:paraId="21F16937">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w:t>
                  </w:r>
                </w:p>
              </w:tc>
              <w:tc>
                <w:tcPr>
                  <w:tcW w:w="1401" w:type="pct"/>
                  <w:tcBorders>
                    <w:top w:val="nil"/>
                    <w:left w:val="nil"/>
                    <w:bottom w:val="single" w:color="auto" w:sz="4" w:space="0"/>
                    <w:right w:val="single" w:color="auto" w:sz="4" w:space="0"/>
                  </w:tcBorders>
                  <w:shd w:val="clear" w:color="auto" w:fill="auto"/>
                  <w:vAlign w:val="center"/>
                </w:tcPr>
                <w:p w14:paraId="4105245F">
                  <w:pPr>
                    <w:widowControl/>
                    <w:jc w:val="left"/>
                    <w:rPr>
                      <w:rFonts w:hint="eastAsia" w:ascii="宋体" w:hAnsi="宋体" w:eastAsia="宋体" w:cs="宋体"/>
                      <w:color w:val="000000"/>
                      <w:kern w:val="0"/>
                      <w:szCs w:val="21"/>
                      <w:highlight w:val="none"/>
                    </w:rPr>
                  </w:pPr>
                </w:p>
              </w:tc>
              <w:tc>
                <w:tcPr>
                  <w:tcW w:w="1138" w:type="pct"/>
                  <w:tcBorders>
                    <w:top w:val="single" w:color="auto" w:sz="4" w:space="0"/>
                    <w:left w:val="nil"/>
                    <w:bottom w:val="single" w:color="auto" w:sz="4" w:space="0"/>
                    <w:right w:val="single" w:color="auto" w:sz="4" w:space="0"/>
                  </w:tcBorders>
                  <w:shd w:val="clear" w:color="auto" w:fill="auto"/>
                  <w:vAlign w:val="center"/>
                </w:tcPr>
                <w:p w14:paraId="0885EE79">
                  <w:pPr>
                    <w:widowControl/>
                    <w:jc w:val="center"/>
                    <w:rPr>
                      <w:rFonts w:hint="eastAsia" w:ascii="宋体" w:hAnsi="宋体" w:eastAsia="宋体" w:cs="宋体"/>
                      <w:color w:val="000000"/>
                      <w:kern w:val="0"/>
                      <w:szCs w:val="21"/>
                      <w:highlight w:val="none"/>
                    </w:rPr>
                  </w:pPr>
                </w:p>
              </w:tc>
              <w:tc>
                <w:tcPr>
                  <w:tcW w:w="1098" w:type="pct"/>
                  <w:tcBorders>
                    <w:top w:val="single" w:color="auto" w:sz="4" w:space="0"/>
                    <w:left w:val="nil"/>
                    <w:bottom w:val="single" w:color="auto" w:sz="4" w:space="0"/>
                    <w:right w:val="single" w:color="auto" w:sz="4" w:space="0"/>
                  </w:tcBorders>
                  <w:shd w:val="clear" w:color="auto" w:fill="auto"/>
                  <w:vAlign w:val="center"/>
                </w:tcPr>
                <w:p w14:paraId="071D1581">
                  <w:pPr>
                    <w:widowControl/>
                    <w:jc w:val="center"/>
                    <w:rPr>
                      <w:rFonts w:hint="eastAsia" w:ascii="宋体" w:hAnsi="宋体" w:eastAsia="宋体" w:cs="宋体"/>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308B385D">
                  <w:pPr>
                    <w:widowControl/>
                    <w:jc w:val="center"/>
                    <w:rPr>
                      <w:rFonts w:hint="eastAsia" w:ascii="宋体" w:hAnsi="宋体" w:eastAsia="宋体" w:cs="宋体"/>
                      <w:color w:val="000000"/>
                      <w:kern w:val="0"/>
                      <w:szCs w:val="21"/>
                      <w:highlight w:val="none"/>
                    </w:rPr>
                  </w:pPr>
                </w:p>
              </w:tc>
            </w:tr>
            <w:tr w14:paraId="3A2BD1BA">
              <w:tblPrEx>
                <w:tblCellMar>
                  <w:top w:w="0" w:type="dxa"/>
                  <w:left w:w="108" w:type="dxa"/>
                  <w:bottom w:w="0" w:type="dxa"/>
                  <w:right w:w="108" w:type="dxa"/>
                </w:tblCellMar>
              </w:tblPrEx>
              <w:trPr>
                <w:trHeight w:val="576" w:hRule="atLeast"/>
              </w:trPr>
              <w:tc>
                <w:tcPr>
                  <w:tcW w:w="28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795AB7">
                  <w:pPr>
                    <w:widowControl/>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合计</w:t>
                  </w:r>
                </w:p>
              </w:tc>
              <w:tc>
                <w:tcPr>
                  <w:tcW w:w="1098" w:type="pct"/>
                  <w:tcBorders>
                    <w:top w:val="single" w:color="auto" w:sz="4" w:space="0"/>
                    <w:left w:val="nil"/>
                    <w:bottom w:val="single" w:color="auto" w:sz="4" w:space="0"/>
                    <w:right w:val="single" w:color="auto" w:sz="4" w:space="0"/>
                  </w:tcBorders>
                  <w:shd w:val="clear" w:color="auto" w:fill="auto"/>
                  <w:vAlign w:val="center"/>
                </w:tcPr>
                <w:p w14:paraId="620EC4BF">
                  <w:pPr>
                    <w:widowControl/>
                    <w:jc w:val="center"/>
                    <w:rPr>
                      <w:rFonts w:hint="eastAsia" w:ascii="宋体" w:hAnsi="宋体" w:eastAsia="宋体" w:cs="Times New Roman"/>
                      <w:b/>
                      <w:bCs/>
                      <w:color w:val="000000"/>
                      <w:kern w:val="0"/>
                      <w:szCs w:val="21"/>
                      <w:highlight w:val="none"/>
                    </w:rPr>
                  </w:pPr>
                </w:p>
              </w:tc>
              <w:tc>
                <w:tcPr>
                  <w:tcW w:w="1089" w:type="pct"/>
                  <w:tcBorders>
                    <w:top w:val="single" w:color="auto" w:sz="4" w:space="0"/>
                    <w:left w:val="nil"/>
                    <w:bottom w:val="single" w:color="auto" w:sz="4" w:space="0"/>
                    <w:right w:val="single" w:color="auto" w:sz="4" w:space="0"/>
                  </w:tcBorders>
                  <w:shd w:val="clear" w:color="auto" w:fill="auto"/>
                  <w:vAlign w:val="center"/>
                </w:tcPr>
                <w:p w14:paraId="49323414">
                  <w:pPr>
                    <w:widowControl/>
                    <w:jc w:val="center"/>
                    <w:rPr>
                      <w:rFonts w:hint="eastAsia" w:ascii="宋体" w:hAnsi="宋体" w:eastAsia="宋体" w:cs="Times New Roman"/>
                      <w:b/>
                      <w:bCs/>
                      <w:color w:val="000000"/>
                      <w:kern w:val="0"/>
                      <w:szCs w:val="21"/>
                      <w:highlight w:val="none"/>
                    </w:rPr>
                  </w:pPr>
                </w:p>
              </w:tc>
            </w:tr>
          </w:tbl>
          <w:p w14:paraId="03DEF89A">
            <w:pPr>
              <w:widowControl/>
              <w:jc w:val="left"/>
              <w:rPr>
                <w:rFonts w:hint="eastAsia"/>
                <w:szCs w:val="21"/>
                <w:highlight w:val="none"/>
              </w:rPr>
            </w:pPr>
            <w:r>
              <w:rPr>
                <w:rFonts w:hint="eastAsia"/>
                <w:szCs w:val="21"/>
                <w:highlight w:val="none"/>
              </w:rPr>
              <w:t>注：</w:t>
            </w:r>
          </w:p>
          <w:p w14:paraId="5BB880DA">
            <w:pPr>
              <w:widowControl/>
              <w:numPr>
                <w:ilvl w:val="0"/>
                <w:numId w:val="1"/>
              </w:numPr>
              <w:jc w:val="left"/>
              <w:rPr>
                <w:rFonts w:hint="eastAsia"/>
                <w:szCs w:val="21"/>
                <w:highlight w:val="none"/>
              </w:rPr>
            </w:pPr>
            <w:r>
              <w:rPr>
                <w:rFonts w:hint="eastAsia"/>
                <w:szCs w:val="21"/>
                <w:highlight w:val="none"/>
                <w:lang w:val="en-US" w:eastAsia="zh-CN"/>
              </w:rPr>
              <w:t>无为福城股权投资</w:t>
            </w:r>
            <w:r>
              <w:rPr>
                <w:rFonts w:hint="eastAsia"/>
                <w:szCs w:val="21"/>
                <w:highlight w:val="none"/>
              </w:rPr>
              <w:t>母基金出资金额及出资比例不变的情况下，管理人可调整基金出资结构，合伙人仍应符合穿透核查相关规定。</w:t>
            </w:r>
          </w:p>
          <w:p w14:paraId="376C5030">
            <w:pPr>
              <w:widowControl/>
              <w:numPr>
                <w:ilvl w:val="0"/>
                <w:numId w:val="1"/>
              </w:numPr>
              <w:ind w:left="0" w:leftChars="0" w:firstLine="0" w:firstLineChars="0"/>
              <w:jc w:val="left"/>
              <w:rPr>
                <w:highlight w:val="none"/>
              </w:rPr>
            </w:pPr>
            <w:r>
              <w:rPr>
                <w:rFonts w:hint="eastAsia"/>
                <w:szCs w:val="21"/>
                <w:highlight w:val="none"/>
              </w:rPr>
              <w:t>若无为福城股权投资母基金因其出资人出资延迟、出资人受相应主管部门文件约束或受法律法规、国家相关政策规定的限制导致无为福城股权投资母基金不能及时足额履行其对子基金出资义务的，子基金管理人应与无为福城股权投资母基金友好协商解决机制，并确认不会因此将无为福城股权投资母基金认定为违约合伙人且同意豁免无为福城股权投资母基金的违约责任（包括但不限于支付违约金、赔偿金等），除上述情形外，在子基金、其他出资人未违约的情况下，无为福城股权投资母基金不得以其他理由拒绝履行出资义务。</w:t>
            </w:r>
          </w:p>
        </w:tc>
      </w:tr>
      <w:tr w14:paraId="28C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4" w:type="pct"/>
            <w:vAlign w:val="center"/>
          </w:tcPr>
          <w:p w14:paraId="68BCB110">
            <w:pPr>
              <w:spacing w:line="360" w:lineRule="exact"/>
              <w:jc w:val="center"/>
              <w:rPr>
                <w:b/>
                <w:bCs/>
                <w:szCs w:val="21"/>
                <w:highlight w:val="none"/>
                <w:lang w:eastAsia="zh-Hans"/>
              </w:rPr>
            </w:pPr>
            <w:r>
              <w:rPr>
                <w:rFonts w:hint="eastAsia"/>
                <w:b/>
                <w:bCs/>
                <w:szCs w:val="21"/>
                <w:highlight w:val="none"/>
                <w:lang w:eastAsia="zh-Hans"/>
              </w:rPr>
              <w:t>出资进度安排</w:t>
            </w:r>
          </w:p>
        </w:tc>
        <w:tc>
          <w:tcPr>
            <w:tcW w:w="4096" w:type="pct"/>
            <w:vAlign w:val="center"/>
          </w:tcPr>
          <w:p w14:paraId="6413E2E7">
            <w:pPr>
              <w:spacing w:line="360" w:lineRule="exact"/>
              <w:jc w:val="left"/>
              <w:rPr>
                <w:szCs w:val="21"/>
                <w:highlight w:val="none"/>
                <w:lang w:eastAsia="zh-Hans"/>
              </w:rPr>
            </w:pPr>
          </w:p>
        </w:tc>
      </w:tr>
      <w:tr w14:paraId="3F81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4" w:type="pct"/>
            <w:vAlign w:val="center"/>
          </w:tcPr>
          <w:p w14:paraId="68F35AB6">
            <w:pPr>
              <w:spacing w:line="360" w:lineRule="exact"/>
              <w:jc w:val="center"/>
              <w:rPr>
                <w:b/>
                <w:bCs/>
                <w:szCs w:val="21"/>
                <w:highlight w:val="none"/>
                <w:lang w:eastAsia="zh-Hans"/>
              </w:rPr>
            </w:pPr>
            <w:r>
              <w:rPr>
                <w:rFonts w:hint="eastAsia"/>
                <w:b/>
                <w:bCs/>
                <w:szCs w:val="21"/>
                <w:highlight w:val="none"/>
              </w:rPr>
              <w:t>投资领域</w:t>
            </w:r>
          </w:p>
        </w:tc>
        <w:tc>
          <w:tcPr>
            <w:tcW w:w="4096" w:type="pct"/>
            <w:vAlign w:val="center"/>
          </w:tcPr>
          <w:p w14:paraId="45C9F492">
            <w:pPr>
              <w:pStyle w:val="22"/>
              <w:tabs>
                <w:tab w:val="left" w:pos="-45"/>
                <w:tab w:val="left" w:pos="0"/>
              </w:tabs>
              <w:adjustRightInd w:val="0"/>
              <w:snapToGrid w:val="0"/>
              <w:spacing w:line="276" w:lineRule="auto"/>
              <w:ind w:firstLine="0" w:firstLineChars="0"/>
              <w:outlineLvl w:val="4"/>
              <w:rPr>
                <w:rFonts w:hint="eastAsia" w:ascii="宋体" w:hAnsi="宋体" w:eastAsia="宋体" w:cstheme="minorEastAsia"/>
                <w:szCs w:val="21"/>
                <w:highlight w:val="none"/>
                <w:lang w:val="en-US" w:eastAsia="zh-CN"/>
              </w:rPr>
            </w:pPr>
            <w:r>
              <w:rPr>
                <w:rFonts w:hint="eastAsia"/>
                <w:sz w:val="22"/>
                <w:szCs w:val="22"/>
                <w:highlight w:val="none"/>
                <w:lang w:eastAsia="zh-Hans"/>
              </w:rPr>
              <w:sym w:font="Wingdings" w:char="F06F"/>
            </w:r>
            <w:r>
              <w:rPr>
                <w:sz w:val="22"/>
                <w:szCs w:val="22"/>
                <w:highlight w:val="none"/>
                <w:lang w:eastAsia="zh-Hans"/>
              </w:rPr>
              <w:t xml:space="preserve"> </w:t>
            </w:r>
            <w:r>
              <w:rPr>
                <w:rFonts w:hint="eastAsia" w:ascii="宋体" w:hAnsi="宋体" w:eastAsia="宋体" w:cstheme="minorEastAsia"/>
                <w:szCs w:val="21"/>
                <w:highlight w:val="none"/>
                <w:lang w:val="en-US" w:eastAsia="zh-CN"/>
              </w:rPr>
              <w:t>子基金为科创类子基金的，支持科技创新，投早投小投长期投硬科技，重点支持高新技术企业、科技型企业，支持中小企业、“专精特新”企业。科创类子基金投资于初创期企业的金额不低于子基金投资额的70%；</w:t>
            </w:r>
          </w:p>
          <w:p w14:paraId="72618EEC">
            <w:pPr>
              <w:pStyle w:val="22"/>
              <w:tabs>
                <w:tab w:val="left" w:pos="-45"/>
                <w:tab w:val="left" w:pos="0"/>
              </w:tabs>
              <w:adjustRightInd w:val="0"/>
              <w:snapToGrid w:val="0"/>
              <w:spacing w:line="276" w:lineRule="auto"/>
              <w:ind w:firstLine="0" w:firstLineChars="0"/>
              <w:outlineLvl w:val="4"/>
              <w:rPr>
                <w:highlight w:val="none"/>
              </w:rPr>
            </w:pPr>
            <w:r>
              <w:rPr>
                <w:rFonts w:hint="eastAsia"/>
                <w:sz w:val="22"/>
                <w:szCs w:val="22"/>
                <w:highlight w:val="none"/>
                <w:lang w:eastAsia="zh-Hans"/>
              </w:rPr>
              <w:sym w:font="Wingdings" w:char="F06F"/>
            </w:r>
            <w:r>
              <w:rPr>
                <w:sz w:val="22"/>
                <w:szCs w:val="22"/>
                <w:highlight w:val="none"/>
                <w:lang w:eastAsia="zh-Hans"/>
              </w:rPr>
              <w:t xml:space="preserve"> </w:t>
            </w:r>
            <w:r>
              <w:rPr>
                <w:rFonts w:hint="eastAsia" w:ascii="宋体" w:hAnsi="宋体" w:eastAsia="宋体" w:cstheme="minorEastAsia"/>
                <w:szCs w:val="21"/>
                <w:highlight w:val="none"/>
                <w:lang w:val="en-US" w:eastAsia="zh-CN"/>
              </w:rPr>
              <w:t>子基金为其他类型子基金，支持新能源汽车零部件、绿色食品、高端装备制造、新一代信息技术等行业及其他未来发展产业。投资于上述行业的金额不低于子基金投资额的70%。</w:t>
            </w:r>
          </w:p>
        </w:tc>
      </w:tr>
      <w:tr w14:paraId="03F9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904" w:type="pct"/>
            <w:vAlign w:val="center"/>
          </w:tcPr>
          <w:p w14:paraId="1E159BF6">
            <w:pPr>
              <w:spacing w:line="360" w:lineRule="exact"/>
              <w:jc w:val="center"/>
              <w:rPr>
                <w:b/>
                <w:bCs/>
                <w:szCs w:val="21"/>
                <w:highlight w:val="none"/>
                <w:lang w:eastAsia="zh-Hans"/>
              </w:rPr>
            </w:pPr>
            <w:r>
              <w:rPr>
                <w:rFonts w:hint="eastAsia"/>
                <w:b/>
                <w:bCs/>
                <w:szCs w:val="21"/>
                <w:highlight w:val="none"/>
              </w:rPr>
              <w:t>投资禁止</w:t>
            </w:r>
          </w:p>
        </w:tc>
        <w:tc>
          <w:tcPr>
            <w:tcW w:w="4096" w:type="pct"/>
            <w:vAlign w:val="center"/>
          </w:tcPr>
          <w:p w14:paraId="17B4FAAE">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从事担保、抵押、委托贷款等业务；</w:t>
            </w:r>
          </w:p>
          <w:p w14:paraId="12D10E96">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投资二级市场股票</w:t>
            </w:r>
            <w:r>
              <w:rPr>
                <w:rFonts w:hint="eastAsia" w:ascii="宋体" w:hAnsi="宋体" w:eastAsia="宋体" w:cstheme="minorEastAsia"/>
                <w:i/>
                <w:iCs/>
                <w:color w:val="FF0000"/>
                <w:szCs w:val="21"/>
                <w:highlight w:val="none"/>
              </w:rPr>
              <w:t>（以并购重组为目的，或参与定向增发募投用于省内投资项目除外）（注：备案为创投类基金删除括号内内容）</w:t>
            </w:r>
            <w:r>
              <w:rPr>
                <w:rFonts w:hint="eastAsia" w:ascii="宋体" w:hAnsi="宋体" w:eastAsia="宋体" w:cstheme="minorEastAsia"/>
                <w:szCs w:val="21"/>
                <w:highlight w:val="none"/>
              </w:rPr>
              <w:t>、期货、房地产、证券投资基金、评级AAA以下的企业债、信托产品、非保本型理财产品、保险计划及其他金融衍生品；</w:t>
            </w:r>
          </w:p>
          <w:p w14:paraId="0BA08A1F">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向任何第三方提供赞助、捐赠（经批准的公益性捐赠除外）；</w:t>
            </w:r>
          </w:p>
          <w:p w14:paraId="59C72AD9">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吸收或变相吸收存款，或向第三方提供贷款、资金拆借；</w:t>
            </w:r>
          </w:p>
          <w:p w14:paraId="7CCA27D4">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进行承担无限连带责任的对外投资；</w:t>
            </w:r>
          </w:p>
          <w:p w14:paraId="3987D978">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发行信托或集合理财产品募集资金；</w:t>
            </w:r>
          </w:p>
          <w:p w14:paraId="4362C12D">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投资国家禁止或者限制投资的项目，以及不符合国家产业政策、环境保护政策、土地管理政策的项目；</w:t>
            </w:r>
          </w:p>
          <w:p w14:paraId="645BCD4F">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投资产能严重过剩领域的新增产能项目，投资严重失信企业、僵尸企业；</w:t>
            </w:r>
          </w:p>
          <w:p w14:paraId="4026A702">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开展借（存）贷、担保、明股实债等非私募基金投资活动；</w:t>
            </w:r>
          </w:p>
          <w:p w14:paraId="498F7901">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投资保理资产、融资租赁资产、典当资产等类信贷资产、股权或其收（受）益权；</w:t>
            </w:r>
          </w:p>
          <w:p w14:paraId="6AFD9836">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投资金融资产交易中心发行的产品；</w:t>
            </w:r>
          </w:p>
          <w:p w14:paraId="18CEDC6E">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投资首发企业股票</w:t>
            </w:r>
            <w:r>
              <w:rPr>
                <w:rFonts w:hint="eastAsia" w:ascii="宋体" w:hAnsi="宋体" w:eastAsia="宋体" w:cstheme="minorEastAsia"/>
                <w:i/>
                <w:iCs/>
                <w:color w:val="FF0000"/>
                <w:szCs w:val="21"/>
                <w:highlight w:val="none"/>
              </w:rPr>
              <w:t>（战略配售和港股基石投资除外）（注：备案为创投类基金删除括号内内容）</w:t>
            </w:r>
            <w:r>
              <w:rPr>
                <w:rFonts w:hint="eastAsia" w:ascii="宋体" w:hAnsi="宋体" w:eastAsia="宋体" w:cstheme="minorEastAsia"/>
                <w:szCs w:val="21"/>
                <w:highlight w:val="none"/>
              </w:rPr>
              <w:t>；</w:t>
            </w:r>
          </w:p>
          <w:p w14:paraId="77660169">
            <w:pPr>
              <w:pStyle w:val="22"/>
              <w:numPr>
                <w:ilvl w:val="0"/>
                <w:numId w:val="2"/>
              </w:numPr>
              <w:tabs>
                <w:tab w:val="left" w:pos="-45"/>
                <w:tab w:val="left" w:pos="0"/>
              </w:tabs>
              <w:adjustRightInd w:val="0"/>
              <w:snapToGrid w:val="0"/>
              <w:spacing w:line="276" w:lineRule="auto"/>
              <w:ind w:firstLineChars="0"/>
              <w:outlineLvl w:val="4"/>
              <w:rPr>
                <w:rFonts w:hint="eastAsia" w:ascii="宋体" w:hAnsi="宋体" w:eastAsia="宋体" w:cstheme="minorEastAsia"/>
                <w:szCs w:val="21"/>
                <w:highlight w:val="none"/>
              </w:rPr>
            </w:pPr>
            <w:r>
              <w:rPr>
                <w:rFonts w:hint="eastAsia" w:ascii="宋体" w:hAnsi="宋体" w:eastAsia="宋体" w:cstheme="minorEastAsia"/>
                <w:szCs w:val="21"/>
                <w:highlight w:val="none"/>
              </w:rPr>
              <w:t>从事国家法律法规和中国证监会禁止的其他活动。</w:t>
            </w:r>
          </w:p>
        </w:tc>
      </w:tr>
      <w:tr w14:paraId="52F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04" w:type="pct"/>
            <w:vAlign w:val="center"/>
          </w:tcPr>
          <w:p w14:paraId="780B54A1">
            <w:pPr>
              <w:spacing w:line="360" w:lineRule="exact"/>
              <w:jc w:val="center"/>
              <w:rPr>
                <w:b/>
                <w:bCs/>
                <w:szCs w:val="21"/>
                <w:highlight w:val="none"/>
              </w:rPr>
            </w:pPr>
            <w:r>
              <w:rPr>
                <w:rFonts w:hint="eastAsia"/>
                <w:b/>
                <w:bCs/>
                <w:szCs w:val="21"/>
                <w:highlight w:val="none"/>
              </w:rPr>
              <w:t>规定投向的</w:t>
            </w:r>
          </w:p>
          <w:p w14:paraId="375ABC98">
            <w:pPr>
              <w:spacing w:line="360" w:lineRule="exact"/>
              <w:jc w:val="center"/>
              <w:rPr>
                <w:b/>
                <w:bCs/>
                <w:szCs w:val="21"/>
                <w:highlight w:val="none"/>
                <w:lang w:eastAsia="zh-Hans"/>
              </w:rPr>
            </w:pPr>
            <w:r>
              <w:rPr>
                <w:rFonts w:hint="eastAsia"/>
                <w:b/>
                <w:bCs/>
                <w:szCs w:val="21"/>
                <w:highlight w:val="none"/>
                <w:lang w:eastAsia="zh-Hans"/>
              </w:rPr>
              <w:t>投资额</w:t>
            </w:r>
          </w:p>
        </w:tc>
        <w:tc>
          <w:tcPr>
            <w:tcW w:w="4096" w:type="pct"/>
            <w:vAlign w:val="center"/>
          </w:tcPr>
          <w:p w14:paraId="3F34A69E">
            <w:pPr>
              <w:spacing w:line="360" w:lineRule="exact"/>
              <w:jc w:val="left"/>
              <w:rPr>
                <w:szCs w:val="21"/>
                <w:highlight w:val="none"/>
                <w:lang w:eastAsia="zh-Hans"/>
              </w:rPr>
            </w:pPr>
            <w:r>
              <w:rPr>
                <w:rFonts w:hint="eastAsia"/>
                <w:szCs w:val="21"/>
                <w:highlight w:val="none"/>
                <w:lang w:eastAsia="zh-Hans"/>
              </w:rPr>
              <w:t>子基金对规定投向的投资额不得低于子基金投资额的</w:t>
            </w:r>
            <w:r>
              <w:rPr>
                <w:rFonts w:hint="eastAsia"/>
                <w:szCs w:val="21"/>
                <w:highlight w:val="none"/>
                <w:lang w:val="en-US" w:eastAsia="zh-CN"/>
              </w:rPr>
              <w:t>7</w:t>
            </w:r>
            <w:r>
              <w:rPr>
                <w:rFonts w:hint="eastAsia"/>
                <w:szCs w:val="21"/>
                <w:highlight w:val="none"/>
                <w:lang w:eastAsia="zh-Hans"/>
              </w:rPr>
              <w:t>0%。</w:t>
            </w:r>
          </w:p>
        </w:tc>
      </w:tr>
      <w:tr w14:paraId="3BC8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04" w:type="pct"/>
            <w:vAlign w:val="center"/>
          </w:tcPr>
          <w:p w14:paraId="5ADD445B">
            <w:pPr>
              <w:spacing w:line="360" w:lineRule="exact"/>
              <w:jc w:val="center"/>
              <w:rPr>
                <w:b/>
                <w:bCs/>
                <w:szCs w:val="21"/>
                <w:highlight w:val="none"/>
                <w:lang w:eastAsia="zh-Hans"/>
              </w:rPr>
            </w:pPr>
            <w:r>
              <w:rPr>
                <w:rFonts w:hint="eastAsia"/>
                <w:b/>
                <w:bCs/>
                <w:szCs w:val="21"/>
                <w:highlight w:val="none"/>
              </w:rPr>
              <w:t>投资项目</w:t>
            </w:r>
            <w:r>
              <w:rPr>
                <w:rFonts w:hint="eastAsia"/>
                <w:b/>
                <w:bCs/>
                <w:szCs w:val="21"/>
                <w:highlight w:val="none"/>
                <w:lang w:eastAsia="zh-Hans"/>
              </w:rPr>
              <w:t>股权</w:t>
            </w:r>
          </w:p>
          <w:p w14:paraId="27298F7D">
            <w:pPr>
              <w:spacing w:line="360" w:lineRule="exact"/>
              <w:jc w:val="center"/>
              <w:rPr>
                <w:b/>
                <w:bCs/>
                <w:szCs w:val="21"/>
                <w:highlight w:val="none"/>
                <w:lang w:eastAsia="zh-Hans"/>
              </w:rPr>
            </w:pPr>
            <w:r>
              <w:rPr>
                <w:rFonts w:hint="eastAsia"/>
                <w:b/>
                <w:bCs/>
                <w:szCs w:val="21"/>
                <w:highlight w:val="none"/>
                <w:lang w:eastAsia="zh-Hans"/>
              </w:rPr>
              <w:t>比例限制</w:t>
            </w:r>
          </w:p>
        </w:tc>
        <w:tc>
          <w:tcPr>
            <w:tcW w:w="4096" w:type="pct"/>
            <w:vAlign w:val="center"/>
          </w:tcPr>
          <w:p w14:paraId="34F48022">
            <w:pPr>
              <w:spacing w:line="360" w:lineRule="exact"/>
              <w:jc w:val="left"/>
              <w:rPr>
                <w:szCs w:val="21"/>
                <w:highlight w:val="none"/>
                <w:lang w:eastAsia="zh-Hans"/>
              </w:rPr>
            </w:pPr>
            <w:r>
              <w:rPr>
                <w:rFonts w:hint="eastAsia"/>
                <w:szCs w:val="21"/>
                <w:highlight w:val="none"/>
                <w:lang w:eastAsia="zh-Hans"/>
              </w:rPr>
              <w:t>除并购外，子基金投资项目原则上不得成为被投资企业单一第一大股东。</w:t>
            </w:r>
          </w:p>
        </w:tc>
      </w:tr>
      <w:tr w14:paraId="65DD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04" w:type="pct"/>
            <w:vAlign w:val="center"/>
          </w:tcPr>
          <w:p w14:paraId="2FF586CA">
            <w:pPr>
              <w:spacing w:line="360" w:lineRule="exact"/>
              <w:jc w:val="center"/>
              <w:rPr>
                <w:b/>
                <w:bCs/>
                <w:szCs w:val="21"/>
                <w:highlight w:val="none"/>
                <w:lang w:eastAsia="zh-Hans"/>
              </w:rPr>
            </w:pPr>
            <w:r>
              <w:rPr>
                <w:rFonts w:hint="eastAsia"/>
                <w:b/>
                <w:bCs/>
                <w:szCs w:val="21"/>
                <w:highlight w:val="none"/>
                <w:lang w:eastAsia="zh-Hans"/>
              </w:rPr>
              <w:t>返投要求</w:t>
            </w:r>
          </w:p>
          <w:p w14:paraId="528B8299">
            <w:pPr>
              <w:spacing w:line="360" w:lineRule="exact"/>
              <w:jc w:val="center"/>
              <w:rPr>
                <w:b/>
                <w:bCs/>
                <w:szCs w:val="21"/>
                <w:highlight w:val="none"/>
              </w:rPr>
            </w:pPr>
            <w:r>
              <w:rPr>
                <w:rFonts w:hint="eastAsia"/>
                <w:szCs w:val="21"/>
                <w:highlight w:val="none"/>
              </w:rPr>
              <w:t>（所有的返投要求均须列明）</w:t>
            </w:r>
          </w:p>
        </w:tc>
        <w:tc>
          <w:tcPr>
            <w:tcW w:w="4096" w:type="pct"/>
            <w:vAlign w:val="center"/>
          </w:tcPr>
          <w:p w14:paraId="323400A3">
            <w:pPr>
              <w:pStyle w:val="22"/>
              <w:tabs>
                <w:tab w:val="left" w:pos="314"/>
              </w:tabs>
              <w:spacing w:line="360" w:lineRule="exact"/>
              <w:ind w:firstLine="0" w:firstLineChars="0"/>
              <w:jc w:val="left"/>
              <w:rPr>
                <w:rFonts w:hint="eastAsia" w:ascii="Times New Roman" w:hAnsi="Times New Roman" w:cs="Times New Roman"/>
                <w:i/>
                <w:iCs/>
                <w:color w:val="FF0000"/>
                <w:szCs w:val="21"/>
                <w:highlight w:val="none"/>
                <w:lang w:eastAsia="zh-Hans"/>
              </w:rPr>
            </w:pPr>
            <w:r>
              <w:rPr>
                <w:rFonts w:hint="eastAsia" w:ascii="Times New Roman" w:hAnsi="Times New Roman" w:cs="Times New Roman"/>
                <w:szCs w:val="21"/>
                <w:highlight w:val="none"/>
                <w:lang w:eastAsia="zh-Hans"/>
              </w:rPr>
              <w:t>子基金投资于无为市注册企业的资金不低于母基金出资额的1.0-1.5倍。其中，注册地位于无为市的子基金，返投比例不低于1.0-1.2倍，其中科创子基金返投比例不低于1倍。产业子基金返投比例不低于1.2倍；注册地位于无为市以外的子基金，返投比例不低于1.5倍。</w:t>
            </w:r>
            <w:r>
              <w:rPr>
                <w:rFonts w:hint="eastAsia" w:ascii="Times New Roman" w:hAnsi="Times New Roman" w:cs="Times New Roman"/>
                <w:i/>
                <w:iCs/>
                <w:color w:val="FF0000"/>
                <w:szCs w:val="21"/>
                <w:highlight w:val="none"/>
                <w:lang w:eastAsia="zh-Hans"/>
              </w:rPr>
              <w:t>（根据子基金注册地进行上述选择）</w:t>
            </w:r>
          </w:p>
          <w:p w14:paraId="366E2A4C">
            <w:pPr>
              <w:pStyle w:val="22"/>
              <w:tabs>
                <w:tab w:val="left" w:pos="314"/>
              </w:tabs>
              <w:spacing w:line="360" w:lineRule="exact"/>
              <w:ind w:firstLine="0" w:firstLineChars="0"/>
              <w:jc w:val="left"/>
              <w:rPr>
                <w:rFonts w:ascii="Times New Roman" w:hAnsi="Times New Roman" w:cs="Times New Roman"/>
                <w:szCs w:val="21"/>
                <w:highlight w:val="none"/>
                <w:lang w:eastAsia="zh-Hans"/>
              </w:rPr>
            </w:pPr>
            <w:r>
              <w:rPr>
                <w:rFonts w:hint="eastAsia" w:ascii="Times New Roman" w:hAnsi="Times New Roman" w:cs="Times New Roman"/>
                <w:szCs w:val="21"/>
                <w:highlight w:val="none"/>
                <w:lang w:eastAsia="zh-Hans"/>
              </w:rPr>
              <w:t>以下情形的可认定为子基金投资于无为市企业的投资额：</w:t>
            </w:r>
          </w:p>
          <w:p w14:paraId="4D093A6B">
            <w:pPr>
              <w:pStyle w:val="22"/>
              <w:tabs>
                <w:tab w:val="left" w:pos="314"/>
              </w:tabs>
              <w:spacing w:line="360" w:lineRule="exact"/>
              <w:ind w:firstLine="0" w:firstLineChars="0"/>
              <w:jc w:val="left"/>
              <w:rPr>
                <w:rFonts w:ascii="Times New Roman" w:hAnsi="Times New Roman" w:cs="Times New Roman"/>
                <w:szCs w:val="21"/>
                <w:highlight w:val="none"/>
                <w:lang w:eastAsia="zh-Hans"/>
              </w:rPr>
            </w:pPr>
            <w:r>
              <w:rPr>
                <w:rFonts w:hint="eastAsia" w:ascii="Times New Roman" w:hAnsi="Times New Roman" w:cs="Times New Roman"/>
                <w:szCs w:val="21"/>
                <w:highlight w:val="none"/>
                <w:lang w:eastAsia="zh-Hans"/>
              </w:rPr>
              <w:t>1. 在子基金存续期内，无为市以外的被投企业注册地迁往无为市内（5年内迁出的除外），或被无为市注册企业收购（仅限于控股型收购或收购并表），完成迁移或收购后，子基金对该被投资企业的投资额计入返投认定金额；</w:t>
            </w:r>
          </w:p>
          <w:p w14:paraId="51720D58">
            <w:pPr>
              <w:pStyle w:val="22"/>
              <w:tabs>
                <w:tab w:val="left" w:pos="314"/>
              </w:tabs>
              <w:spacing w:line="360" w:lineRule="exact"/>
              <w:ind w:firstLine="0" w:firstLineChars="0"/>
              <w:jc w:val="left"/>
              <w:rPr>
                <w:rFonts w:ascii="Times New Roman" w:hAnsi="Times New Roman" w:cs="Times New Roman"/>
                <w:szCs w:val="21"/>
                <w:highlight w:val="none"/>
                <w:lang w:eastAsia="zh-Hans"/>
              </w:rPr>
            </w:pPr>
            <w:r>
              <w:rPr>
                <w:rFonts w:hint="eastAsia" w:ascii="Times New Roman" w:hAnsi="Times New Roman" w:cs="Times New Roman"/>
                <w:szCs w:val="21"/>
                <w:highlight w:val="none"/>
                <w:lang w:eastAsia="zh-Hans"/>
              </w:rPr>
              <w:t>2. 被投资企业注册在无为市以外，通过对该项目投资，将其企业总部、区域总部、纳税主体、生产基地、研发基地落户无为市内，或在无为市内成立子公司，子公司的实缴资本金额或被投企业通过上述方式在无为市的实际投资金额（取二者孰高金额）；</w:t>
            </w:r>
          </w:p>
          <w:p w14:paraId="7D1693FB">
            <w:pPr>
              <w:pStyle w:val="22"/>
              <w:tabs>
                <w:tab w:val="left" w:pos="314"/>
              </w:tabs>
              <w:spacing w:line="360" w:lineRule="exact"/>
              <w:ind w:firstLine="0" w:firstLineChars="0"/>
              <w:jc w:val="left"/>
              <w:rPr>
                <w:rFonts w:ascii="Times New Roman" w:hAnsi="Times New Roman" w:cs="Times New Roman"/>
                <w:szCs w:val="21"/>
                <w:highlight w:val="none"/>
                <w:lang w:eastAsia="zh-Hans"/>
              </w:rPr>
            </w:pPr>
            <w:r>
              <w:rPr>
                <w:rFonts w:hint="eastAsia" w:ascii="Times New Roman" w:hAnsi="Times New Roman" w:cs="Times New Roman"/>
                <w:szCs w:val="21"/>
                <w:highlight w:val="none"/>
                <w:lang w:eastAsia="zh-Hans"/>
              </w:rPr>
              <w:t>3. 基金管理公司或属于同一实际控制人的管理公司在管的不属于无为市母子基金体系内的其他基金，新增投资无为市内注册企业或投资无为市外注册企业且符合前述情形的，其他基金对该投资企业的投资额计入返投认定金额；</w:t>
            </w:r>
          </w:p>
          <w:p w14:paraId="5544EAB3">
            <w:pPr>
              <w:pStyle w:val="22"/>
              <w:tabs>
                <w:tab w:val="left" w:pos="314"/>
              </w:tabs>
              <w:spacing w:line="360" w:lineRule="exact"/>
              <w:ind w:firstLine="0" w:firstLineChars="0"/>
              <w:jc w:val="left"/>
              <w:rPr>
                <w:rFonts w:ascii="Times New Roman" w:hAnsi="Times New Roman" w:cs="Times New Roman"/>
                <w:szCs w:val="21"/>
                <w:highlight w:val="none"/>
                <w:lang w:eastAsia="zh-Hans"/>
              </w:rPr>
            </w:pPr>
            <w:r>
              <w:rPr>
                <w:rFonts w:hint="eastAsia" w:ascii="Times New Roman" w:hAnsi="Times New Roman" w:cs="Times New Roman"/>
                <w:szCs w:val="21"/>
                <w:highlight w:val="none"/>
                <w:lang w:eastAsia="zh-Hans"/>
              </w:rPr>
              <w:t>4.经无为市认可的其他情形。</w:t>
            </w:r>
          </w:p>
          <w:p w14:paraId="20147F57">
            <w:pPr>
              <w:pStyle w:val="22"/>
              <w:tabs>
                <w:tab w:val="left" w:pos="314"/>
              </w:tabs>
              <w:spacing w:line="360" w:lineRule="exact"/>
              <w:ind w:firstLine="0" w:firstLineChars="0"/>
              <w:jc w:val="left"/>
              <w:rPr>
                <w:rFonts w:ascii="Times New Roman" w:hAnsi="Times New Roman" w:cs="Times New Roman"/>
                <w:i/>
                <w:iCs/>
                <w:color w:val="FF0000"/>
                <w:szCs w:val="21"/>
                <w:highlight w:val="none"/>
              </w:rPr>
            </w:pPr>
            <w:r>
              <w:rPr>
                <w:rFonts w:hint="eastAsia" w:ascii="Times New Roman" w:hAnsi="Times New Roman" w:cs="Times New Roman"/>
                <w:i/>
                <w:iCs/>
                <w:color w:val="FF0000"/>
                <w:szCs w:val="21"/>
                <w:highlight w:val="none"/>
              </w:rPr>
              <w:t>其他区域返投约定（若有）：</w:t>
            </w:r>
          </w:p>
          <w:p w14:paraId="6B5C4A40">
            <w:pPr>
              <w:pStyle w:val="22"/>
              <w:tabs>
                <w:tab w:val="left" w:pos="314"/>
              </w:tabs>
              <w:spacing w:line="360" w:lineRule="exact"/>
              <w:ind w:firstLine="0" w:firstLineChars="0"/>
              <w:jc w:val="left"/>
              <w:rPr>
                <w:rFonts w:ascii="Times New Roman" w:hAnsi="Times New Roman" w:cs="Times New Roman"/>
                <w:szCs w:val="21"/>
                <w:highlight w:val="none"/>
              </w:rPr>
            </w:pPr>
          </w:p>
          <w:p w14:paraId="094A4227">
            <w:pPr>
              <w:pStyle w:val="22"/>
              <w:tabs>
                <w:tab w:val="left" w:pos="314"/>
              </w:tabs>
              <w:spacing w:line="360" w:lineRule="exact"/>
              <w:ind w:firstLine="0" w:firstLineChars="0"/>
              <w:jc w:val="left"/>
              <w:rPr>
                <w:rFonts w:ascii="Times New Roman" w:hAnsi="Times New Roman" w:cs="Times New Roman"/>
                <w:szCs w:val="21"/>
                <w:highlight w:val="none"/>
              </w:rPr>
            </w:pPr>
          </w:p>
        </w:tc>
      </w:tr>
      <w:tr w14:paraId="3D86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pct"/>
            <w:vAlign w:val="center"/>
          </w:tcPr>
          <w:p w14:paraId="70DAC612">
            <w:pPr>
              <w:spacing w:line="360" w:lineRule="exact"/>
              <w:jc w:val="center"/>
              <w:rPr>
                <w:b/>
                <w:bCs/>
                <w:szCs w:val="21"/>
                <w:highlight w:val="none"/>
              </w:rPr>
            </w:pPr>
            <w:r>
              <w:rPr>
                <w:rFonts w:hint="eastAsia"/>
                <w:b/>
                <w:bCs/>
                <w:szCs w:val="21"/>
                <w:highlight w:val="none"/>
                <w:lang w:eastAsia="zh-Hans"/>
              </w:rPr>
              <w:t>管理费</w:t>
            </w:r>
            <w:r>
              <w:rPr>
                <w:rFonts w:hint="eastAsia"/>
                <w:b/>
                <w:bCs/>
                <w:szCs w:val="21"/>
                <w:highlight w:val="none"/>
              </w:rPr>
              <w:t>及</w:t>
            </w:r>
          </w:p>
          <w:p w14:paraId="64238946">
            <w:pPr>
              <w:spacing w:line="360" w:lineRule="exact"/>
              <w:jc w:val="center"/>
              <w:rPr>
                <w:b/>
                <w:bCs/>
                <w:szCs w:val="21"/>
                <w:highlight w:val="none"/>
                <w:lang w:eastAsia="zh-Hans"/>
              </w:rPr>
            </w:pPr>
            <w:r>
              <w:rPr>
                <w:rFonts w:hint="eastAsia"/>
                <w:b/>
                <w:bCs/>
                <w:szCs w:val="21"/>
                <w:highlight w:val="none"/>
              </w:rPr>
              <w:t>支付方式</w:t>
            </w:r>
          </w:p>
          <w:p w14:paraId="140E36A6">
            <w:pPr>
              <w:spacing w:line="360" w:lineRule="exact"/>
              <w:jc w:val="center"/>
              <w:rPr>
                <w:szCs w:val="21"/>
                <w:highlight w:val="none"/>
                <w:lang w:eastAsia="zh-Hans"/>
              </w:rPr>
            </w:pPr>
            <w:r>
              <w:rPr>
                <w:rFonts w:hint="eastAsia"/>
                <w:szCs w:val="21"/>
                <w:highlight w:val="none"/>
                <w:lang w:eastAsia="zh-Hans"/>
              </w:rPr>
              <w:t>（</w:t>
            </w:r>
            <w:r>
              <w:rPr>
                <w:rFonts w:hint="eastAsia"/>
                <w:szCs w:val="21"/>
                <w:highlight w:val="none"/>
              </w:rPr>
              <w:t>包含投资期、退出期、延长期</w:t>
            </w:r>
            <w:r>
              <w:rPr>
                <w:rFonts w:hint="eastAsia"/>
                <w:szCs w:val="21"/>
                <w:highlight w:val="none"/>
                <w:lang w:eastAsia="zh-Hans"/>
              </w:rPr>
              <w:t>）</w:t>
            </w:r>
          </w:p>
        </w:tc>
        <w:tc>
          <w:tcPr>
            <w:tcW w:w="4096" w:type="pct"/>
            <w:vAlign w:val="center"/>
          </w:tcPr>
          <w:p w14:paraId="70FC8717">
            <w:pPr>
              <w:spacing w:line="360" w:lineRule="exact"/>
              <w:jc w:val="left"/>
              <w:rPr>
                <w:szCs w:val="21"/>
                <w:highlight w:val="none"/>
                <w:lang w:eastAsia="zh-Hans"/>
              </w:rPr>
            </w:pPr>
            <w:r>
              <w:rPr>
                <w:rFonts w:hint="eastAsia"/>
                <w:szCs w:val="21"/>
                <w:highlight w:val="none"/>
                <w:lang w:eastAsia="zh-Hans"/>
              </w:rPr>
              <w:t>管理费计算：</w:t>
            </w:r>
          </w:p>
          <w:p w14:paraId="24C2DD54">
            <w:pPr>
              <w:spacing w:line="360" w:lineRule="exact"/>
              <w:jc w:val="left"/>
              <w:rPr>
                <w:szCs w:val="21"/>
                <w:highlight w:val="none"/>
                <w:lang w:eastAsia="zh-Hans"/>
              </w:rPr>
            </w:pPr>
            <w:r>
              <w:rPr>
                <w:rFonts w:hint="eastAsia"/>
                <w:szCs w:val="21"/>
                <w:highlight w:val="none"/>
                <w:lang w:eastAsia="zh-Hans"/>
              </w:rPr>
              <w:t>投资期：</w:t>
            </w:r>
            <w:r>
              <w:rPr>
                <w:szCs w:val="21"/>
                <w:highlight w:val="none"/>
                <w:lang w:eastAsia="zh-Hans"/>
              </w:rPr>
              <w:t xml:space="preserve"> </w:t>
            </w:r>
          </w:p>
          <w:p w14:paraId="2A42B367">
            <w:pPr>
              <w:spacing w:line="360" w:lineRule="exact"/>
              <w:jc w:val="left"/>
              <w:rPr>
                <w:szCs w:val="21"/>
                <w:highlight w:val="none"/>
                <w:lang w:eastAsia="zh-Hans"/>
              </w:rPr>
            </w:pPr>
            <w:r>
              <w:rPr>
                <w:rFonts w:hint="eastAsia"/>
                <w:szCs w:val="21"/>
                <w:highlight w:val="none"/>
                <w:lang w:eastAsia="zh-Hans"/>
              </w:rPr>
              <w:t>退出期：</w:t>
            </w:r>
            <w:r>
              <w:rPr>
                <w:szCs w:val="21"/>
                <w:highlight w:val="none"/>
                <w:lang w:eastAsia="zh-Hans"/>
              </w:rPr>
              <w:t xml:space="preserve"> </w:t>
            </w:r>
          </w:p>
          <w:p w14:paraId="0BBBB8F0">
            <w:pPr>
              <w:spacing w:line="360" w:lineRule="exact"/>
              <w:jc w:val="left"/>
              <w:rPr>
                <w:szCs w:val="21"/>
                <w:highlight w:val="none"/>
                <w:lang w:eastAsia="zh-Hans"/>
              </w:rPr>
            </w:pPr>
            <w:r>
              <w:rPr>
                <w:rFonts w:hint="eastAsia"/>
                <w:szCs w:val="21"/>
                <w:highlight w:val="none"/>
                <w:lang w:eastAsia="zh-Hans"/>
              </w:rPr>
              <w:t>延长期：</w:t>
            </w:r>
            <w:r>
              <w:rPr>
                <w:szCs w:val="21"/>
                <w:highlight w:val="none"/>
                <w:lang w:eastAsia="zh-Hans"/>
              </w:rPr>
              <w:t xml:space="preserve"> </w:t>
            </w:r>
          </w:p>
          <w:p w14:paraId="21A1754D">
            <w:pPr>
              <w:pStyle w:val="4"/>
              <w:spacing w:line="360" w:lineRule="exact"/>
              <w:ind w:left="0" w:leftChars="0"/>
              <w:jc w:val="left"/>
              <w:rPr>
                <w:rFonts w:hint="eastAsia"/>
                <w:highlight w:val="none"/>
              </w:rPr>
            </w:pPr>
            <w:r>
              <w:rPr>
                <w:rFonts w:hint="eastAsia"/>
                <w:szCs w:val="21"/>
                <w:highlight w:val="none"/>
                <w:lang w:val="en-US" w:eastAsia="zh-CN"/>
              </w:rPr>
              <w:t>无为福城股权投资母基金</w:t>
            </w:r>
            <w:r>
              <w:rPr>
                <w:rFonts w:hint="eastAsia"/>
                <w:szCs w:val="21"/>
                <w:highlight w:val="none"/>
                <w:lang w:eastAsia="zh-Hans"/>
              </w:rPr>
              <w:t>依据《</w:t>
            </w:r>
            <w:r>
              <w:rPr>
                <w:rFonts w:hint="eastAsia"/>
                <w:szCs w:val="21"/>
                <w:highlight w:val="none"/>
              </w:rPr>
              <w:t>无为经济开发区母基金组建方案</w:t>
            </w:r>
            <w:r>
              <w:rPr>
                <w:rFonts w:hint="eastAsia"/>
                <w:szCs w:val="21"/>
                <w:highlight w:val="none"/>
                <w:lang w:eastAsia="zh-Hans"/>
              </w:rPr>
              <w:t>》</w:t>
            </w:r>
            <w:r>
              <w:rPr>
                <w:rFonts w:hint="eastAsia"/>
                <w:szCs w:val="21"/>
                <w:highlight w:val="none"/>
                <w:lang w:eastAsia="zh-Hans"/>
              </w:rPr>
              <w:t>《关于修改&lt;无为经济开发区母基金组建方案&gt;的通知》</w:t>
            </w:r>
            <w:r>
              <w:rPr>
                <w:rFonts w:hint="eastAsia"/>
                <w:szCs w:val="21"/>
                <w:highlight w:val="none"/>
                <w:lang w:eastAsia="zh-Hans"/>
              </w:rPr>
              <w:t>及其配套文件对基金管理人设定年度考核指标，并进行考核；母基金出资部分对应的管理费，根据基准管理费和考核结果确定考核管理费，最终兑现以考核管理费为准。</w:t>
            </w:r>
          </w:p>
          <w:p w14:paraId="1C2EBC1C">
            <w:pPr>
              <w:pStyle w:val="4"/>
              <w:spacing w:line="360" w:lineRule="exact"/>
              <w:ind w:left="0" w:leftChars="0"/>
              <w:jc w:val="left"/>
              <w:rPr>
                <w:highlight w:val="none"/>
              </w:rPr>
            </w:pPr>
            <w:r>
              <w:rPr>
                <w:rFonts w:hint="eastAsia"/>
                <w:highlight w:val="none"/>
              </w:rPr>
              <w:t>管理费支付方式：</w:t>
            </w:r>
          </w:p>
          <w:p w14:paraId="228DC18B">
            <w:pPr>
              <w:spacing w:line="360" w:lineRule="exact"/>
              <w:jc w:val="left"/>
              <w:rPr>
                <w:i/>
                <w:iCs/>
                <w:color w:val="FF0000"/>
                <w:highlight w:val="none"/>
              </w:rPr>
            </w:pPr>
            <w:r>
              <w:rPr>
                <w:rFonts w:hint="eastAsia"/>
                <w:i/>
                <w:iCs/>
                <w:color w:val="FF0000"/>
                <w:highlight w:val="none"/>
              </w:rPr>
              <w:t>（可参考）</w:t>
            </w:r>
          </w:p>
          <w:p w14:paraId="072B6307">
            <w:pPr>
              <w:spacing w:line="360" w:lineRule="exact"/>
              <w:jc w:val="left"/>
              <w:rPr>
                <w:rFonts w:hint="eastAsia"/>
                <w:i/>
                <w:iCs/>
                <w:color w:val="FF0000"/>
                <w:highlight w:val="none"/>
              </w:rPr>
            </w:pPr>
            <w:r>
              <w:rPr>
                <w:rFonts w:hint="eastAsia"/>
                <w:i/>
                <w:iCs/>
                <w:color w:val="FF0000"/>
                <w:highlight w:val="none"/>
              </w:rPr>
              <w:t>首个年度，合伙企业在基金成立日后10日内，以基金成立日合伙企业实缴出资额暂定计算基数，向基金管理人支付首年预提</w:t>
            </w:r>
            <w:r>
              <w:rPr>
                <w:rFonts w:hint="eastAsia"/>
                <w:i/>
                <w:iCs/>
                <w:color w:val="FF0000"/>
                <w:highlight w:val="none"/>
                <w:lang w:val="en-US" w:eastAsia="zh-CN"/>
              </w:rPr>
              <w:t>基准</w:t>
            </w:r>
            <w:r>
              <w:rPr>
                <w:rFonts w:hint="eastAsia"/>
                <w:i/>
                <w:iCs/>
                <w:color w:val="FF0000"/>
                <w:highlight w:val="none"/>
              </w:rPr>
              <w:t>管理费。</w:t>
            </w:r>
            <w:r>
              <w:rPr>
                <w:rFonts w:hint="eastAsia"/>
                <w:i/>
                <w:iCs/>
                <w:color w:val="FF0000"/>
                <w:highlight w:val="none"/>
              </w:rPr>
              <w:cr/>
            </w:r>
            <w:r>
              <w:rPr>
                <w:rFonts w:hint="eastAsia"/>
                <w:i/>
                <w:iCs/>
                <w:color w:val="FF0000"/>
                <w:highlight w:val="none"/>
              </w:rPr>
              <w:t>其后的年度，在每年的1月10日前，投资期以上一年末合伙企业实缴出资额暂定计算基数、退出期以上一年末合伙企业尚未收回的投资本金的50%暂定计算基数，向基金管理人支付当年度预提</w:t>
            </w:r>
            <w:r>
              <w:rPr>
                <w:rFonts w:hint="eastAsia"/>
                <w:i/>
                <w:iCs/>
                <w:color w:val="FF0000"/>
                <w:highlight w:val="none"/>
                <w:lang w:val="en-US" w:eastAsia="zh-CN"/>
              </w:rPr>
              <w:t>基准</w:t>
            </w:r>
            <w:r>
              <w:rPr>
                <w:rFonts w:hint="eastAsia"/>
                <w:i/>
                <w:iCs/>
                <w:color w:val="FF0000"/>
                <w:highlight w:val="none"/>
              </w:rPr>
              <w:t xml:space="preserve">管理费。 </w:t>
            </w:r>
            <w:r>
              <w:rPr>
                <w:rFonts w:hint="eastAsia"/>
                <w:i/>
                <w:iCs/>
                <w:color w:val="FF0000"/>
                <w:highlight w:val="none"/>
              </w:rPr>
              <w:cr/>
            </w:r>
            <w:r>
              <w:rPr>
                <w:rFonts w:hint="eastAsia"/>
                <w:i/>
                <w:iCs/>
                <w:color w:val="FF0000"/>
                <w:highlight w:val="none"/>
              </w:rPr>
              <w:t>次年支付预提基准管理费时，与基金管理人结算上一年度基准管理费与预提基准管理费的差额。</w:t>
            </w:r>
          </w:p>
          <w:p w14:paraId="3FC90506">
            <w:pPr>
              <w:spacing w:line="360" w:lineRule="exact"/>
              <w:jc w:val="left"/>
              <w:rPr>
                <w:rFonts w:hint="eastAsia"/>
                <w:i/>
                <w:iCs/>
                <w:color w:val="FF0000"/>
                <w:highlight w:val="none"/>
              </w:rPr>
            </w:pPr>
            <w:r>
              <w:rPr>
                <w:rFonts w:hint="eastAsia"/>
                <w:i/>
                <w:iCs/>
                <w:color w:val="FF0000"/>
                <w:highlight w:val="none"/>
              </w:rPr>
              <w:t>在年度考核结果确定后15个工作日内，或次年支付预提基准管理费时，与基金管理人结算考核年度考核管理费与基准管理费的差额。</w:t>
            </w:r>
          </w:p>
          <w:p w14:paraId="2FF1A6DE">
            <w:pPr>
              <w:spacing w:line="360" w:lineRule="exact"/>
              <w:jc w:val="left"/>
              <w:rPr>
                <w:szCs w:val="21"/>
                <w:highlight w:val="none"/>
                <w:lang w:eastAsia="zh-Hans"/>
              </w:rPr>
            </w:pPr>
            <w:r>
              <w:rPr>
                <w:rFonts w:hint="eastAsia"/>
                <w:i/>
                <w:iCs/>
                <w:color w:val="FF0000"/>
                <w:highlight w:val="none"/>
              </w:rPr>
              <w:t>基金进入延长期或清算时，与基金管理人结算最后一个年度（及其他尚未结算的年度）的考核管理费与预提基准管理费的差额。</w:t>
            </w:r>
          </w:p>
        </w:tc>
      </w:tr>
      <w:tr w14:paraId="5344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4" w:type="pct"/>
            <w:vAlign w:val="center"/>
          </w:tcPr>
          <w:p w14:paraId="037B5920">
            <w:pPr>
              <w:spacing w:line="360" w:lineRule="exact"/>
              <w:jc w:val="center"/>
              <w:rPr>
                <w:b/>
                <w:bCs/>
                <w:szCs w:val="21"/>
                <w:highlight w:val="none"/>
                <w:lang w:eastAsia="zh-Hans"/>
              </w:rPr>
            </w:pPr>
            <w:r>
              <w:rPr>
                <w:rFonts w:hint="eastAsia"/>
                <w:b/>
                <w:bCs/>
                <w:szCs w:val="21"/>
                <w:highlight w:val="none"/>
              </w:rPr>
              <w:t>子基金考核机制</w:t>
            </w:r>
          </w:p>
        </w:tc>
        <w:tc>
          <w:tcPr>
            <w:tcW w:w="4096" w:type="pct"/>
            <w:vAlign w:val="center"/>
          </w:tcPr>
          <w:p w14:paraId="0FE8BEA2">
            <w:pPr>
              <w:spacing w:line="360" w:lineRule="exact"/>
              <w:jc w:val="left"/>
              <w:rPr>
                <w:szCs w:val="21"/>
                <w:highlight w:val="none"/>
                <w:lang w:eastAsia="zh-Hans"/>
              </w:rPr>
            </w:pPr>
            <w:r>
              <w:rPr>
                <w:rFonts w:hint="eastAsia"/>
                <w:szCs w:val="21"/>
                <w:highlight w:val="none"/>
                <w:lang w:eastAsia="zh-Hans"/>
              </w:rPr>
              <w:t>重点考核子基金杠杆撬动、扶持产业发展等内容，基金管理人应予以配合。</w:t>
            </w:r>
          </w:p>
        </w:tc>
      </w:tr>
      <w:tr w14:paraId="3009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04" w:type="pct"/>
            <w:vAlign w:val="center"/>
          </w:tcPr>
          <w:p w14:paraId="30E9B210">
            <w:pPr>
              <w:spacing w:line="360" w:lineRule="exact"/>
              <w:jc w:val="center"/>
              <w:rPr>
                <w:b/>
                <w:bCs/>
                <w:szCs w:val="21"/>
                <w:highlight w:val="none"/>
                <w:lang w:eastAsia="zh-Hans"/>
              </w:rPr>
            </w:pPr>
            <w:r>
              <w:rPr>
                <w:rFonts w:hint="eastAsia"/>
                <w:b/>
                <w:bCs/>
                <w:szCs w:val="21"/>
                <w:highlight w:val="none"/>
                <w:lang w:eastAsia="zh-Hans"/>
              </w:rPr>
              <w:t>投资损失容忍率</w:t>
            </w:r>
          </w:p>
        </w:tc>
        <w:tc>
          <w:tcPr>
            <w:tcW w:w="4096" w:type="pct"/>
            <w:vAlign w:val="center"/>
          </w:tcPr>
          <w:p w14:paraId="5E9D2A1E">
            <w:pPr>
              <w:spacing w:line="360" w:lineRule="exact"/>
              <w:jc w:val="left"/>
              <w:rPr>
                <w:rFonts w:hint="default" w:eastAsiaTheme="minorEastAsia"/>
                <w:szCs w:val="21"/>
                <w:highlight w:val="none"/>
                <w:lang w:val="en-US" w:eastAsia="zh-CN"/>
              </w:rPr>
            </w:pPr>
            <w:r>
              <w:rPr>
                <w:rFonts w:hint="eastAsia"/>
                <w:szCs w:val="21"/>
                <w:highlight w:val="none"/>
                <w:lang w:val="en-US" w:eastAsia="zh-CN"/>
              </w:rPr>
              <w:t>科创</w:t>
            </w:r>
            <w:r>
              <w:rPr>
                <w:rFonts w:hint="eastAsia"/>
                <w:szCs w:val="21"/>
                <w:highlight w:val="none"/>
              </w:rPr>
              <w:t>类</w:t>
            </w:r>
            <w:r>
              <w:rPr>
                <w:rFonts w:hint="eastAsia"/>
                <w:szCs w:val="21"/>
                <w:highlight w:val="none"/>
                <w:lang w:val="en-US" w:eastAsia="zh-CN"/>
              </w:rPr>
              <w:t>子基金不超过80</w:t>
            </w:r>
            <w:r>
              <w:rPr>
                <w:rFonts w:hint="eastAsia"/>
                <w:szCs w:val="21"/>
                <w:highlight w:val="none"/>
              </w:rPr>
              <w:t>%</w:t>
            </w:r>
            <w:r>
              <w:rPr>
                <w:rFonts w:hint="eastAsia"/>
                <w:szCs w:val="21"/>
                <w:highlight w:val="none"/>
                <w:lang w:eastAsia="zh-CN"/>
              </w:rPr>
              <w:t>，</w:t>
            </w:r>
            <w:r>
              <w:rPr>
                <w:rFonts w:hint="eastAsia"/>
                <w:szCs w:val="21"/>
                <w:highlight w:val="none"/>
              </w:rPr>
              <w:t>产业类</w:t>
            </w:r>
            <w:r>
              <w:rPr>
                <w:rFonts w:hint="eastAsia"/>
                <w:szCs w:val="21"/>
                <w:highlight w:val="none"/>
                <w:lang w:eastAsia="zh-CN"/>
              </w:rPr>
              <w:t>、</w:t>
            </w:r>
            <w:r>
              <w:rPr>
                <w:rFonts w:hint="eastAsia"/>
                <w:szCs w:val="21"/>
                <w:highlight w:val="none"/>
                <w:lang w:val="en-US" w:eastAsia="zh-CN"/>
              </w:rPr>
              <w:t>并购类子基金不超过4</w:t>
            </w:r>
            <w:r>
              <w:rPr>
                <w:rFonts w:hint="eastAsia"/>
                <w:szCs w:val="21"/>
                <w:highlight w:val="none"/>
              </w:rPr>
              <w:t>0%</w:t>
            </w:r>
            <w:r>
              <w:rPr>
                <w:rFonts w:hint="eastAsia"/>
                <w:szCs w:val="21"/>
                <w:highlight w:val="none"/>
                <w:lang w:eastAsia="zh-CN"/>
              </w:rPr>
              <w:t>。</w:t>
            </w:r>
            <w:r>
              <w:rPr>
                <w:rFonts w:hint="eastAsia" w:ascii="Times New Roman" w:hAnsi="Times New Roman" w:cs="Times New Roman"/>
                <w:i/>
                <w:iCs/>
                <w:color w:val="FF0000"/>
                <w:szCs w:val="21"/>
                <w:highlight w:val="none"/>
                <w:lang w:eastAsia="zh-Hans"/>
              </w:rPr>
              <w:t>（根据子基金</w:t>
            </w:r>
            <w:r>
              <w:rPr>
                <w:rFonts w:hint="eastAsia" w:ascii="Times New Roman" w:hAnsi="Times New Roman" w:cs="Times New Roman"/>
                <w:i/>
                <w:iCs/>
                <w:color w:val="FF0000"/>
                <w:szCs w:val="21"/>
                <w:highlight w:val="none"/>
                <w:lang w:val="en-US" w:eastAsia="zh-CN"/>
              </w:rPr>
              <w:t>类型</w:t>
            </w:r>
            <w:r>
              <w:rPr>
                <w:rFonts w:hint="eastAsia" w:ascii="Times New Roman" w:hAnsi="Times New Roman" w:cs="Times New Roman"/>
                <w:i/>
                <w:iCs/>
                <w:color w:val="FF0000"/>
                <w:szCs w:val="21"/>
                <w:highlight w:val="none"/>
                <w:lang w:eastAsia="zh-Hans"/>
              </w:rPr>
              <w:t>选择</w:t>
            </w:r>
            <w:r>
              <w:rPr>
                <w:rFonts w:hint="eastAsia" w:ascii="Times New Roman" w:hAnsi="Times New Roman" w:cs="Times New Roman"/>
                <w:i/>
                <w:iCs/>
                <w:color w:val="FF0000"/>
                <w:szCs w:val="21"/>
                <w:highlight w:val="none"/>
                <w:lang w:eastAsia="zh-CN"/>
              </w:rPr>
              <w:t>，</w:t>
            </w:r>
            <w:r>
              <w:rPr>
                <w:rFonts w:hint="eastAsia" w:ascii="Times New Roman" w:hAnsi="Times New Roman" w:cs="Times New Roman"/>
                <w:i/>
                <w:iCs/>
                <w:color w:val="FF0000"/>
                <w:szCs w:val="21"/>
                <w:highlight w:val="none"/>
                <w:lang w:val="en-US" w:eastAsia="zh-CN"/>
              </w:rPr>
              <w:t>以无为市及上级政府最新政策为准）</w:t>
            </w:r>
          </w:p>
        </w:tc>
      </w:tr>
      <w:tr w14:paraId="4653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904" w:type="pct"/>
            <w:vAlign w:val="center"/>
          </w:tcPr>
          <w:p w14:paraId="0FF5D3D6">
            <w:pPr>
              <w:spacing w:line="360" w:lineRule="exact"/>
              <w:jc w:val="center"/>
              <w:rPr>
                <w:b/>
                <w:bCs/>
                <w:szCs w:val="21"/>
                <w:highlight w:val="none"/>
              </w:rPr>
            </w:pPr>
            <w:r>
              <w:rPr>
                <w:rFonts w:hint="eastAsia"/>
                <w:b/>
                <w:bCs/>
                <w:szCs w:val="21"/>
                <w:highlight w:val="none"/>
              </w:rPr>
              <w:t>投资决策机制</w:t>
            </w:r>
          </w:p>
          <w:p w14:paraId="28859CEB">
            <w:pPr>
              <w:spacing w:line="360" w:lineRule="exact"/>
              <w:jc w:val="left"/>
              <w:rPr>
                <w:szCs w:val="21"/>
                <w:highlight w:val="none"/>
              </w:rPr>
            </w:pPr>
            <w:r>
              <w:rPr>
                <w:rFonts w:hint="eastAsia"/>
                <w:szCs w:val="21"/>
                <w:highlight w:val="none"/>
                <w:lang w:eastAsia="zh-Hans"/>
              </w:rPr>
              <w:t>（包含投资决策委员会及咨询委员会/顾问委员会等具有有审议、决策权限的议事机构的组成及决策机制）</w:t>
            </w:r>
          </w:p>
        </w:tc>
        <w:tc>
          <w:tcPr>
            <w:tcW w:w="4096" w:type="pct"/>
            <w:vAlign w:val="center"/>
          </w:tcPr>
          <w:p w14:paraId="08EBA6A7">
            <w:pPr>
              <w:spacing w:line="360" w:lineRule="exact"/>
              <w:jc w:val="left"/>
              <w:rPr>
                <w:szCs w:val="21"/>
                <w:highlight w:val="none"/>
                <w:lang w:eastAsia="zh-Hans"/>
              </w:rPr>
            </w:pPr>
            <w:r>
              <w:rPr>
                <w:rFonts w:hint="eastAsia"/>
                <w:szCs w:val="21"/>
                <w:highlight w:val="none"/>
                <w:lang w:eastAsia="zh-Hans"/>
              </w:rPr>
              <w:t>投委安排及表决机制：</w:t>
            </w:r>
          </w:p>
          <w:p w14:paraId="259F578F">
            <w:pPr>
              <w:spacing w:line="360" w:lineRule="exact"/>
              <w:jc w:val="left"/>
              <w:rPr>
                <w:i/>
                <w:iCs/>
                <w:color w:val="FF0000"/>
                <w:szCs w:val="21"/>
                <w:highlight w:val="none"/>
              </w:rPr>
            </w:pPr>
            <w:r>
              <w:rPr>
                <w:rFonts w:hint="eastAsia"/>
                <w:i/>
                <w:iCs/>
                <w:color w:val="FF0000"/>
                <w:szCs w:val="21"/>
                <w:highlight w:val="none"/>
                <w:lang w:eastAsia="zh-Hans"/>
              </w:rPr>
              <w:t>明确投委人员安排及表决机制。</w:t>
            </w:r>
          </w:p>
          <w:p w14:paraId="064BABC2">
            <w:pPr>
              <w:pStyle w:val="4"/>
              <w:ind w:left="0" w:leftChars="0"/>
              <w:rPr>
                <w:highlight w:val="none"/>
              </w:rPr>
            </w:pPr>
          </w:p>
          <w:p w14:paraId="7CD57533">
            <w:pPr>
              <w:spacing w:line="360" w:lineRule="exact"/>
              <w:jc w:val="left"/>
              <w:rPr>
                <w:color w:val="FF0000"/>
                <w:szCs w:val="21"/>
                <w:highlight w:val="none"/>
                <w:lang w:eastAsia="zh-Hans"/>
              </w:rPr>
            </w:pPr>
            <w:r>
              <w:rPr>
                <w:rFonts w:hint="eastAsia"/>
                <w:color w:val="FF0000"/>
                <w:szCs w:val="21"/>
                <w:highlight w:val="none"/>
              </w:rPr>
              <w:t>1）无为福城股权投资</w:t>
            </w:r>
            <w:r>
              <w:rPr>
                <w:rFonts w:hint="eastAsia"/>
                <w:color w:val="FF0000"/>
                <w:szCs w:val="21"/>
                <w:highlight w:val="none"/>
                <w:lang w:eastAsia="zh-Hans"/>
              </w:rPr>
              <w:t>母基金需委派1名投委会委员；</w:t>
            </w:r>
          </w:p>
          <w:p w14:paraId="53399924">
            <w:pPr>
              <w:spacing w:line="360" w:lineRule="exact"/>
              <w:jc w:val="left"/>
              <w:rPr>
                <w:szCs w:val="21"/>
                <w:highlight w:val="none"/>
                <w:lang w:eastAsia="zh-Hans"/>
              </w:rPr>
            </w:pPr>
            <w:r>
              <w:rPr>
                <w:rFonts w:hint="eastAsia"/>
                <w:color w:val="FF0000"/>
                <w:szCs w:val="21"/>
                <w:highlight w:val="none"/>
              </w:rPr>
              <w:t>2）无为福城股权投资</w:t>
            </w:r>
            <w:r>
              <w:rPr>
                <w:rFonts w:hint="eastAsia"/>
                <w:color w:val="FF0000"/>
                <w:szCs w:val="21"/>
                <w:highlight w:val="none"/>
                <w:lang w:eastAsia="zh-Hans"/>
              </w:rPr>
              <w:t>母基金委派人员对基金投资决策事项是否违反相关法律法规、《</w:t>
            </w:r>
            <w:r>
              <w:rPr>
                <w:rFonts w:hint="eastAsia"/>
                <w:color w:val="FF0000"/>
                <w:szCs w:val="21"/>
                <w:highlight w:val="none"/>
              </w:rPr>
              <w:t>无为</w:t>
            </w:r>
            <w:r>
              <w:rPr>
                <w:rFonts w:hint="eastAsia"/>
                <w:color w:val="FF0000"/>
                <w:szCs w:val="21"/>
                <w:highlight w:val="none"/>
                <w:lang w:val="en-US" w:eastAsia="zh-CN"/>
              </w:rPr>
              <w:t>经济开发区</w:t>
            </w:r>
            <w:r>
              <w:rPr>
                <w:rFonts w:hint="eastAsia"/>
                <w:color w:val="FF0000"/>
                <w:szCs w:val="21"/>
                <w:highlight w:val="none"/>
              </w:rPr>
              <w:t>母基金组建方案</w:t>
            </w:r>
            <w:r>
              <w:rPr>
                <w:rFonts w:hint="eastAsia"/>
                <w:color w:val="FF0000"/>
                <w:szCs w:val="21"/>
                <w:highlight w:val="none"/>
                <w:lang w:eastAsia="zh-Hans"/>
              </w:rPr>
              <w:t>》</w:t>
            </w:r>
            <w:r>
              <w:rPr>
                <w:rFonts w:hint="eastAsia"/>
                <w:color w:val="FF0000"/>
                <w:szCs w:val="21"/>
                <w:highlight w:val="none"/>
                <w:lang w:eastAsia="zh-Hans"/>
              </w:rPr>
              <w:t>《关于修改&lt;无为经济开发区母基金组建方案&gt;的通知》</w:t>
            </w:r>
            <w:r>
              <w:rPr>
                <w:rFonts w:hint="eastAsia"/>
                <w:color w:val="FF0000"/>
                <w:szCs w:val="21"/>
                <w:highlight w:val="none"/>
                <w:lang w:eastAsia="zh-Hans"/>
              </w:rPr>
              <w:t>及其配套文件及合伙协议进行合规审查，并对上述事项具有一票否决权。</w:t>
            </w:r>
          </w:p>
        </w:tc>
      </w:tr>
      <w:tr w14:paraId="7720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4" w:hRule="atLeast"/>
        </w:trPr>
        <w:tc>
          <w:tcPr>
            <w:tcW w:w="904" w:type="pct"/>
            <w:vAlign w:val="center"/>
          </w:tcPr>
          <w:p w14:paraId="66155F5D">
            <w:pPr>
              <w:spacing w:line="360" w:lineRule="exact"/>
              <w:jc w:val="center"/>
              <w:rPr>
                <w:b/>
                <w:bCs/>
                <w:szCs w:val="21"/>
                <w:highlight w:val="none"/>
                <w:lang w:eastAsia="zh-Hans"/>
              </w:rPr>
            </w:pPr>
            <w:r>
              <w:rPr>
                <w:rFonts w:hint="eastAsia"/>
                <w:b/>
                <w:bCs/>
                <w:szCs w:val="21"/>
                <w:highlight w:val="none"/>
                <w:lang w:eastAsia="zh-Hans"/>
              </w:rPr>
              <w:t>基金</w:t>
            </w:r>
            <w:r>
              <w:rPr>
                <w:rFonts w:hint="eastAsia"/>
                <w:b/>
                <w:bCs/>
                <w:szCs w:val="21"/>
                <w:highlight w:val="none"/>
              </w:rPr>
              <w:t>提前</w:t>
            </w:r>
            <w:r>
              <w:rPr>
                <w:rFonts w:hint="eastAsia"/>
                <w:b/>
                <w:bCs/>
                <w:szCs w:val="21"/>
                <w:highlight w:val="none"/>
                <w:lang w:eastAsia="zh-Hans"/>
              </w:rPr>
              <w:t>退出</w:t>
            </w:r>
          </w:p>
          <w:p w14:paraId="7E051765">
            <w:pPr>
              <w:spacing w:line="360" w:lineRule="exact"/>
              <w:jc w:val="center"/>
              <w:rPr>
                <w:b/>
                <w:bCs/>
                <w:szCs w:val="21"/>
                <w:highlight w:val="none"/>
              </w:rPr>
            </w:pPr>
            <w:r>
              <w:rPr>
                <w:rFonts w:hint="eastAsia"/>
                <w:b/>
                <w:bCs/>
                <w:szCs w:val="21"/>
                <w:highlight w:val="none"/>
              </w:rPr>
              <w:t>情形</w:t>
            </w:r>
          </w:p>
        </w:tc>
        <w:tc>
          <w:tcPr>
            <w:tcW w:w="4096" w:type="pct"/>
            <w:vAlign w:val="center"/>
          </w:tcPr>
          <w:p w14:paraId="2E78094C">
            <w:pPr>
              <w:spacing w:line="360" w:lineRule="exact"/>
              <w:jc w:val="left"/>
              <w:rPr>
                <w:szCs w:val="21"/>
                <w:highlight w:val="none"/>
                <w:lang w:eastAsia="zh-Hans"/>
              </w:rPr>
            </w:pPr>
            <w:r>
              <w:rPr>
                <w:rFonts w:hint="eastAsia"/>
                <w:szCs w:val="21"/>
                <w:highlight w:val="none"/>
                <w:lang w:eastAsia="zh-Hans"/>
              </w:rPr>
              <w:t>有下述情况之一时，无为</w:t>
            </w:r>
            <w:r>
              <w:rPr>
                <w:rFonts w:hint="eastAsia"/>
                <w:szCs w:val="21"/>
                <w:highlight w:val="none"/>
                <w:lang w:val="en-US" w:eastAsia="zh-CN"/>
              </w:rPr>
              <w:t>福城股权投资</w:t>
            </w:r>
            <w:r>
              <w:rPr>
                <w:rFonts w:hint="eastAsia"/>
                <w:szCs w:val="21"/>
                <w:highlight w:val="none"/>
                <w:lang w:eastAsia="zh-Hans"/>
              </w:rPr>
              <w:t>母基金可选择提前退出：</w:t>
            </w:r>
          </w:p>
          <w:p w14:paraId="4C379A88">
            <w:pPr>
              <w:spacing w:line="360" w:lineRule="exact"/>
              <w:jc w:val="left"/>
              <w:rPr>
                <w:szCs w:val="21"/>
                <w:highlight w:val="none"/>
                <w:lang w:eastAsia="zh-Hans"/>
              </w:rPr>
            </w:pPr>
            <w:r>
              <w:rPr>
                <w:rFonts w:hint="eastAsia"/>
                <w:szCs w:val="21"/>
                <w:highlight w:val="none"/>
                <w:lang w:eastAsia="zh-Hans"/>
              </w:rPr>
              <w:t>1</w:t>
            </w:r>
            <w:r>
              <w:rPr>
                <w:szCs w:val="21"/>
                <w:highlight w:val="none"/>
                <w:lang w:eastAsia="zh-Hans"/>
              </w:rPr>
              <w:t xml:space="preserve">. </w:t>
            </w:r>
            <w:r>
              <w:rPr>
                <w:rFonts w:hint="eastAsia"/>
                <w:szCs w:val="21"/>
                <w:highlight w:val="none"/>
                <w:lang w:eastAsia="zh-Hans"/>
              </w:rPr>
              <w:t>合伙协议或公司章程签署后超过</w:t>
            </w:r>
            <w:r>
              <w:rPr>
                <w:rFonts w:hint="eastAsia"/>
                <w:szCs w:val="21"/>
                <w:highlight w:val="none"/>
              </w:rPr>
              <w:t>3</w:t>
            </w:r>
            <w:r>
              <w:rPr>
                <w:rFonts w:hint="eastAsia"/>
                <w:szCs w:val="21"/>
                <w:highlight w:val="none"/>
                <w:lang w:eastAsia="zh-Hans"/>
              </w:rPr>
              <w:t>个月，未按规定程序和时间要求完成设立或增资手续的；</w:t>
            </w:r>
          </w:p>
          <w:p w14:paraId="4B7F6302">
            <w:pPr>
              <w:spacing w:line="360" w:lineRule="exact"/>
              <w:jc w:val="left"/>
              <w:rPr>
                <w:szCs w:val="21"/>
                <w:highlight w:val="none"/>
                <w:lang w:eastAsia="zh-Hans"/>
              </w:rPr>
            </w:pPr>
            <w:r>
              <w:rPr>
                <w:rFonts w:hint="eastAsia"/>
                <w:szCs w:val="21"/>
                <w:highlight w:val="none"/>
                <w:lang w:eastAsia="zh-Hans"/>
              </w:rPr>
              <w:t>2. 出资拨付子基金账户6个月以上，参股子基金未开展投资的（以交割为准）或出资拨付子基金账户12个月以上，参股子基金未在无为市返投项目的；</w:t>
            </w:r>
          </w:p>
          <w:p w14:paraId="51AF6902">
            <w:pPr>
              <w:spacing w:line="360" w:lineRule="exact"/>
              <w:jc w:val="left"/>
              <w:rPr>
                <w:szCs w:val="21"/>
                <w:highlight w:val="none"/>
                <w:lang w:eastAsia="zh-Hans"/>
              </w:rPr>
            </w:pPr>
            <w:r>
              <w:rPr>
                <w:rFonts w:hint="eastAsia"/>
                <w:szCs w:val="21"/>
                <w:highlight w:val="none"/>
                <w:lang w:eastAsia="zh-Hans"/>
              </w:rPr>
              <w:t>3. 子基金投资项目不符合政策导向的；</w:t>
            </w:r>
          </w:p>
          <w:p w14:paraId="49C42002">
            <w:pPr>
              <w:spacing w:line="360" w:lineRule="exact"/>
              <w:jc w:val="left"/>
              <w:rPr>
                <w:szCs w:val="21"/>
                <w:highlight w:val="none"/>
                <w:lang w:eastAsia="zh-Hans"/>
              </w:rPr>
            </w:pPr>
            <w:r>
              <w:rPr>
                <w:rFonts w:hint="eastAsia"/>
                <w:szCs w:val="21"/>
                <w:highlight w:val="none"/>
                <w:lang w:eastAsia="zh-Hans"/>
              </w:rPr>
              <w:t>4. 子基金管理机构发生实质性变化且未经相关基金权利机构审议通过的，包括控股股东、实际控制人、管理该基金的关键人士发生变化；</w:t>
            </w:r>
          </w:p>
          <w:p w14:paraId="1A042275">
            <w:pPr>
              <w:spacing w:line="360" w:lineRule="exact"/>
              <w:jc w:val="left"/>
              <w:rPr>
                <w:szCs w:val="21"/>
                <w:highlight w:val="none"/>
                <w:lang w:eastAsia="zh-Hans"/>
              </w:rPr>
            </w:pPr>
            <w:r>
              <w:rPr>
                <w:rFonts w:hint="eastAsia"/>
                <w:szCs w:val="21"/>
                <w:highlight w:val="none"/>
                <w:lang w:eastAsia="zh-Hans"/>
              </w:rPr>
              <w:t>5. 发现其他危害基金安全或违背政策目标等事前约定退出情形的；</w:t>
            </w:r>
          </w:p>
          <w:p w14:paraId="6637864F">
            <w:pPr>
              <w:spacing w:line="360" w:lineRule="exact"/>
              <w:jc w:val="left"/>
              <w:rPr>
                <w:szCs w:val="21"/>
                <w:highlight w:val="none"/>
                <w:lang w:eastAsia="zh-Hans"/>
              </w:rPr>
            </w:pPr>
            <w:r>
              <w:rPr>
                <w:rFonts w:hint="eastAsia"/>
                <w:szCs w:val="21"/>
                <w:highlight w:val="none"/>
                <w:lang w:eastAsia="zh-Hans"/>
              </w:rPr>
              <w:t>6. 子基金管理机构、其他出资人发生重大违法违规行为，受到监管部门处罚的；</w:t>
            </w:r>
          </w:p>
          <w:p w14:paraId="47250428">
            <w:pPr>
              <w:spacing w:line="360" w:lineRule="exact"/>
              <w:jc w:val="left"/>
              <w:rPr>
                <w:szCs w:val="21"/>
                <w:highlight w:val="none"/>
                <w:lang w:eastAsia="zh-Hans"/>
              </w:rPr>
            </w:pPr>
            <w:r>
              <w:rPr>
                <w:rFonts w:hint="eastAsia"/>
                <w:szCs w:val="21"/>
                <w:highlight w:val="none"/>
                <w:lang w:eastAsia="zh-Hans"/>
              </w:rPr>
              <w:t>7. 未按合伙协议或公司章程约定投资；</w:t>
            </w:r>
          </w:p>
          <w:p w14:paraId="5CA2238B">
            <w:pPr>
              <w:spacing w:line="360" w:lineRule="exact"/>
              <w:jc w:val="left"/>
              <w:rPr>
                <w:szCs w:val="21"/>
                <w:highlight w:val="none"/>
                <w:lang w:eastAsia="zh-Hans"/>
              </w:rPr>
            </w:pPr>
            <w:r>
              <w:rPr>
                <w:rFonts w:hint="eastAsia"/>
                <w:szCs w:val="21"/>
                <w:highlight w:val="none"/>
                <w:lang w:eastAsia="zh-Hans"/>
              </w:rPr>
              <w:t>8. 其他不符合合伙协议或公司章程约定情形的。</w:t>
            </w:r>
          </w:p>
        </w:tc>
      </w:tr>
      <w:tr w14:paraId="5299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04" w:type="pct"/>
            <w:vAlign w:val="center"/>
          </w:tcPr>
          <w:p w14:paraId="7E602E63">
            <w:pPr>
              <w:spacing w:line="360" w:lineRule="exact"/>
              <w:jc w:val="center"/>
              <w:rPr>
                <w:b/>
                <w:bCs/>
                <w:szCs w:val="21"/>
                <w:highlight w:val="none"/>
                <w:lang w:eastAsia="zh-Hans"/>
              </w:rPr>
            </w:pPr>
            <w:r>
              <w:rPr>
                <w:rFonts w:hint="eastAsia"/>
                <w:b/>
                <w:bCs/>
                <w:szCs w:val="21"/>
                <w:highlight w:val="none"/>
              </w:rPr>
              <w:t>收益分配机制</w:t>
            </w:r>
          </w:p>
        </w:tc>
        <w:tc>
          <w:tcPr>
            <w:tcW w:w="4096" w:type="pct"/>
            <w:vAlign w:val="center"/>
          </w:tcPr>
          <w:p w14:paraId="35851838">
            <w:pPr>
              <w:spacing w:line="360" w:lineRule="exact"/>
              <w:rPr>
                <w:szCs w:val="21"/>
                <w:highlight w:val="none"/>
              </w:rPr>
            </w:pPr>
            <w:r>
              <w:rPr>
                <w:rFonts w:hint="eastAsia"/>
                <w:szCs w:val="21"/>
                <w:highlight w:val="none"/>
                <w:lang w:eastAsia="zh-Hans"/>
              </w:rPr>
              <w:t>门槛收益率：</w:t>
            </w:r>
            <w:r>
              <w:rPr>
                <w:rFonts w:hint="eastAsia"/>
                <w:szCs w:val="21"/>
                <w:highlight w:val="none"/>
              </w:rPr>
              <w:t xml:space="preserve"> </w:t>
            </w:r>
          </w:p>
          <w:p w14:paraId="51DBBBA5">
            <w:pPr>
              <w:spacing w:line="360" w:lineRule="exact"/>
              <w:jc w:val="left"/>
              <w:rPr>
                <w:szCs w:val="21"/>
                <w:highlight w:val="none"/>
                <w:lang w:eastAsia="zh-Hans"/>
              </w:rPr>
            </w:pPr>
            <w:r>
              <w:rPr>
                <w:rFonts w:hint="eastAsia"/>
                <w:szCs w:val="21"/>
                <w:highlight w:val="none"/>
                <w:lang w:eastAsia="zh-Hans"/>
              </w:rPr>
              <w:t>子基金原则上即退即分，收益分配按照整体“先回本后分利”方式。子基金投资收益先按照子基金各出资人实缴出资比例分配给各出资人，直至各出资人收回全部实缴出资，剩余的投资收益再按照合伙协议或公司章程等约定的方式予以分配。</w:t>
            </w:r>
            <w:r>
              <w:rPr>
                <w:rFonts w:hint="eastAsia" w:ascii="Times New Roman" w:hAnsi="Times New Roman" w:cs="Times New Roman"/>
                <w:i/>
                <w:iCs/>
                <w:color w:val="FF0000"/>
                <w:szCs w:val="21"/>
                <w:highlight w:val="none"/>
                <w:lang w:eastAsia="zh-Hans"/>
              </w:rPr>
              <w:t>（</w:t>
            </w:r>
            <w:r>
              <w:rPr>
                <w:rFonts w:hint="eastAsia" w:ascii="Times New Roman" w:hAnsi="Times New Roman" w:cs="Times New Roman"/>
                <w:i/>
                <w:iCs/>
                <w:color w:val="FF0000"/>
                <w:szCs w:val="21"/>
                <w:highlight w:val="none"/>
                <w:lang w:val="en-US" w:eastAsia="zh-CN"/>
              </w:rPr>
              <w:t>请具体表述</w:t>
            </w:r>
            <w:r>
              <w:rPr>
                <w:rFonts w:hint="eastAsia" w:ascii="Times New Roman" w:hAnsi="Times New Roman" w:cs="Times New Roman"/>
                <w:i/>
                <w:iCs/>
                <w:color w:val="FF0000"/>
                <w:szCs w:val="21"/>
                <w:highlight w:val="none"/>
                <w:lang w:eastAsia="zh-Hans"/>
              </w:rPr>
              <w:t>）</w:t>
            </w:r>
          </w:p>
          <w:p w14:paraId="11767DBE">
            <w:pPr>
              <w:rPr>
                <w:highlight w:val="none"/>
              </w:rPr>
            </w:pPr>
          </w:p>
        </w:tc>
      </w:tr>
    </w:tbl>
    <w:p w14:paraId="16AD17F5">
      <w:pPr>
        <w:rPr>
          <w:color w:val="000000" w:themeColor="text1"/>
          <w:sz w:val="18"/>
          <w:szCs w:val="18"/>
          <w:highlight w:val="none"/>
          <w14:textFill>
            <w14:solidFill>
              <w14:schemeClr w14:val="tx1"/>
            </w14:solidFill>
          </w14:textFill>
        </w:rPr>
      </w:pPr>
    </w:p>
    <w:p w14:paraId="65BC90C1">
      <w:pPr>
        <w:pStyle w:val="4"/>
        <w:rPr>
          <w:sz w:val="18"/>
          <w:szCs w:val="18"/>
          <w:highlight w:val="none"/>
        </w:rPr>
      </w:pPr>
      <w:r>
        <w:rPr>
          <w:sz w:val="18"/>
          <w:szCs w:val="18"/>
          <w:highlight w:val="none"/>
        </w:rPr>
        <w:br w:type="page"/>
      </w:r>
    </w:p>
    <w:tbl>
      <w:tblPr>
        <w:tblStyle w:val="10"/>
        <w:tblW w:w="5000"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327"/>
        <w:gridCol w:w="1803"/>
        <w:gridCol w:w="693"/>
        <w:gridCol w:w="1359"/>
        <w:gridCol w:w="795"/>
        <w:gridCol w:w="863"/>
        <w:gridCol w:w="1677"/>
      </w:tblGrid>
      <w:tr w14:paraId="503B127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5" w:type="pct"/>
            <w:vAlign w:val="center"/>
          </w:tcPr>
          <w:p w14:paraId="53054499">
            <w:pPr>
              <w:spacing w:line="360" w:lineRule="exact"/>
              <w:jc w:val="center"/>
              <w:rPr>
                <w:rFonts w:ascii="Times New Roman" w:hAnsi="Times New Roman" w:eastAsia="仿宋" w:cs="Times New Roman"/>
                <w:b/>
                <w:szCs w:val="21"/>
                <w:highlight w:val="none"/>
              </w:rPr>
            </w:pPr>
            <w:r>
              <w:rPr>
                <w:rFonts w:hint="eastAsia"/>
                <w:b/>
                <w:bCs/>
                <w:szCs w:val="21"/>
                <w:highlight w:val="none"/>
              </w:rPr>
              <w:t>管理人</w:t>
            </w:r>
            <w:r>
              <w:rPr>
                <w:b/>
                <w:bCs/>
                <w:szCs w:val="21"/>
                <w:highlight w:val="none"/>
              </w:rPr>
              <w:t>名称</w:t>
            </w:r>
          </w:p>
        </w:tc>
        <w:tc>
          <w:tcPr>
            <w:tcW w:w="1919" w:type="pct"/>
            <w:gridSpan w:val="3"/>
            <w:vAlign w:val="center"/>
          </w:tcPr>
          <w:p w14:paraId="59B053E9">
            <w:pPr>
              <w:spacing w:line="360" w:lineRule="auto"/>
              <w:jc w:val="center"/>
              <w:rPr>
                <w:szCs w:val="21"/>
                <w:highlight w:val="none"/>
              </w:rPr>
            </w:pPr>
          </w:p>
        </w:tc>
        <w:tc>
          <w:tcPr>
            <w:tcW w:w="1081" w:type="pct"/>
            <w:gridSpan w:val="2"/>
            <w:vAlign w:val="center"/>
          </w:tcPr>
          <w:p w14:paraId="14DC9829">
            <w:pPr>
              <w:spacing w:line="360" w:lineRule="exact"/>
              <w:jc w:val="center"/>
              <w:rPr>
                <w:b/>
                <w:bCs/>
                <w:szCs w:val="21"/>
                <w:highlight w:val="none"/>
              </w:rPr>
            </w:pPr>
            <w:r>
              <w:rPr>
                <w:rFonts w:hint="eastAsia"/>
                <w:b/>
                <w:bCs/>
                <w:szCs w:val="21"/>
                <w:highlight w:val="none"/>
              </w:rPr>
              <w:t>备案</w:t>
            </w:r>
            <w:r>
              <w:rPr>
                <w:b/>
                <w:bCs/>
                <w:szCs w:val="21"/>
                <w:highlight w:val="none"/>
              </w:rPr>
              <w:t>登记编码</w:t>
            </w:r>
          </w:p>
        </w:tc>
        <w:tc>
          <w:tcPr>
            <w:tcW w:w="1273" w:type="pct"/>
            <w:gridSpan w:val="2"/>
            <w:vAlign w:val="center"/>
          </w:tcPr>
          <w:p w14:paraId="67A77B90">
            <w:pPr>
              <w:spacing w:line="360" w:lineRule="exact"/>
              <w:jc w:val="center"/>
              <w:rPr>
                <w:szCs w:val="21"/>
                <w:highlight w:val="none"/>
              </w:rPr>
            </w:pPr>
          </w:p>
        </w:tc>
      </w:tr>
      <w:tr w14:paraId="22F7EE0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5" w:type="pct"/>
            <w:vAlign w:val="center"/>
          </w:tcPr>
          <w:p w14:paraId="72E833AF">
            <w:pPr>
              <w:spacing w:line="360" w:lineRule="exact"/>
              <w:jc w:val="center"/>
              <w:rPr>
                <w:b/>
                <w:bCs/>
                <w:szCs w:val="21"/>
                <w:highlight w:val="none"/>
              </w:rPr>
            </w:pPr>
            <w:r>
              <w:rPr>
                <w:rFonts w:hint="eastAsia"/>
                <w:b/>
                <w:bCs/>
                <w:szCs w:val="21"/>
                <w:highlight w:val="none"/>
              </w:rPr>
              <w:t>注册资本</w:t>
            </w:r>
          </w:p>
        </w:tc>
        <w:tc>
          <w:tcPr>
            <w:tcW w:w="1919" w:type="pct"/>
            <w:gridSpan w:val="3"/>
            <w:vAlign w:val="center"/>
          </w:tcPr>
          <w:p w14:paraId="112BCA46">
            <w:pPr>
              <w:spacing w:line="360" w:lineRule="exact"/>
              <w:jc w:val="center"/>
              <w:rPr>
                <w:szCs w:val="21"/>
                <w:highlight w:val="none"/>
              </w:rPr>
            </w:pPr>
          </w:p>
        </w:tc>
        <w:tc>
          <w:tcPr>
            <w:tcW w:w="1081" w:type="pct"/>
            <w:gridSpan w:val="2"/>
            <w:vAlign w:val="center"/>
          </w:tcPr>
          <w:p w14:paraId="4AC71630">
            <w:pPr>
              <w:spacing w:line="360" w:lineRule="exact"/>
              <w:jc w:val="center"/>
              <w:rPr>
                <w:b/>
                <w:bCs/>
                <w:szCs w:val="21"/>
                <w:highlight w:val="none"/>
              </w:rPr>
            </w:pPr>
            <w:r>
              <w:rPr>
                <w:rFonts w:hint="eastAsia"/>
                <w:b/>
                <w:bCs/>
                <w:szCs w:val="21"/>
                <w:highlight w:val="none"/>
              </w:rPr>
              <w:t>实缴资本</w:t>
            </w:r>
          </w:p>
        </w:tc>
        <w:tc>
          <w:tcPr>
            <w:tcW w:w="1273" w:type="pct"/>
            <w:gridSpan w:val="2"/>
            <w:vAlign w:val="center"/>
          </w:tcPr>
          <w:p w14:paraId="3BD79286">
            <w:pPr>
              <w:spacing w:line="360" w:lineRule="exact"/>
              <w:jc w:val="center"/>
              <w:rPr>
                <w:szCs w:val="21"/>
                <w:highlight w:val="none"/>
              </w:rPr>
            </w:pPr>
          </w:p>
        </w:tc>
      </w:tr>
      <w:tr w14:paraId="0C57958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5" w:type="pct"/>
            <w:vAlign w:val="center"/>
          </w:tcPr>
          <w:p w14:paraId="1D13773A">
            <w:pPr>
              <w:spacing w:line="360" w:lineRule="exact"/>
              <w:jc w:val="center"/>
              <w:rPr>
                <w:b/>
                <w:bCs/>
                <w:szCs w:val="21"/>
                <w:highlight w:val="none"/>
              </w:rPr>
            </w:pPr>
            <w:r>
              <w:rPr>
                <w:rFonts w:hint="eastAsia"/>
                <w:b/>
                <w:bCs/>
                <w:szCs w:val="21"/>
                <w:highlight w:val="none"/>
              </w:rPr>
              <w:t>成立日期</w:t>
            </w:r>
          </w:p>
        </w:tc>
        <w:tc>
          <w:tcPr>
            <w:tcW w:w="1919" w:type="pct"/>
            <w:gridSpan w:val="3"/>
            <w:vAlign w:val="center"/>
          </w:tcPr>
          <w:p w14:paraId="3F370E7E">
            <w:pPr>
              <w:spacing w:line="360" w:lineRule="exact"/>
              <w:jc w:val="center"/>
              <w:rPr>
                <w:szCs w:val="21"/>
                <w:highlight w:val="none"/>
              </w:rPr>
            </w:pPr>
          </w:p>
        </w:tc>
        <w:tc>
          <w:tcPr>
            <w:tcW w:w="1081" w:type="pct"/>
            <w:gridSpan w:val="2"/>
            <w:vAlign w:val="center"/>
          </w:tcPr>
          <w:p w14:paraId="0763BBDE">
            <w:pPr>
              <w:spacing w:line="360" w:lineRule="exact"/>
              <w:jc w:val="center"/>
              <w:rPr>
                <w:b/>
                <w:bCs/>
                <w:szCs w:val="21"/>
                <w:highlight w:val="none"/>
              </w:rPr>
            </w:pPr>
            <w:r>
              <w:rPr>
                <w:rFonts w:hint="eastAsia"/>
                <w:b/>
                <w:bCs/>
                <w:szCs w:val="21"/>
                <w:highlight w:val="none"/>
              </w:rPr>
              <w:t>登记日期</w:t>
            </w:r>
          </w:p>
        </w:tc>
        <w:tc>
          <w:tcPr>
            <w:tcW w:w="1273" w:type="pct"/>
            <w:gridSpan w:val="2"/>
            <w:vAlign w:val="center"/>
          </w:tcPr>
          <w:p w14:paraId="654160B1">
            <w:pPr>
              <w:spacing w:line="360" w:lineRule="exact"/>
              <w:jc w:val="center"/>
              <w:rPr>
                <w:szCs w:val="21"/>
                <w:highlight w:val="none"/>
              </w:rPr>
            </w:pPr>
          </w:p>
        </w:tc>
      </w:tr>
      <w:tr w14:paraId="7BF392C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5" w:type="pct"/>
            <w:vAlign w:val="center"/>
          </w:tcPr>
          <w:p w14:paraId="661DE987">
            <w:pPr>
              <w:spacing w:line="360" w:lineRule="exact"/>
              <w:jc w:val="center"/>
              <w:rPr>
                <w:b/>
                <w:bCs/>
                <w:szCs w:val="21"/>
                <w:highlight w:val="none"/>
              </w:rPr>
            </w:pPr>
            <w:r>
              <w:rPr>
                <w:rFonts w:hint="eastAsia"/>
                <w:b/>
                <w:bCs/>
                <w:szCs w:val="21"/>
                <w:highlight w:val="none"/>
              </w:rPr>
              <w:t>注册</w:t>
            </w:r>
            <w:r>
              <w:rPr>
                <w:b/>
                <w:bCs/>
                <w:szCs w:val="21"/>
                <w:highlight w:val="none"/>
              </w:rPr>
              <w:t>地址</w:t>
            </w:r>
          </w:p>
        </w:tc>
        <w:tc>
          <w:tcPr>
            <w:tcW w:w="4274" w:type="pct"/>
            <w:gridSpan w:val="7"/>
            <w:vAlign w:val="center"/>
          </w:tcPr>
          <w:p w14:paraId="50977B0D">
            <w:pPr>
              <w:spacing w:line="360" w:lineRule="auto"/>
              <w:jc w:val="center"/>
              <w:rPr>
                <w:szCs w:val="21"/>
                <w:highlight w:val="none"/>
              </w:rPr>
            </w:pPr>
          </w:p>
        </w:tc>
      </w:tr>
      <w:tr w14:paraId="02238E9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5" w:type="pct"/>
            <w:vMerge w:val="restart"/>
            <w:vAlign w:val="center"/>
          </w:tcPr>
          <w:p w14:paraId="3CA63369">
            <w:pPr>
              <w:spacing w:line="360" w:lineRule="exact"/>
              <w:jc w:val="center"/>
              <w:rPr>
                <w:b/>
                <w:bCs/>
                <w:szCs w:val="21"/>
                <w:highlight w:val="none"/>
              </w:rPr>
            </w:pPr>
            <w:r>
              <w:rPr>
                <w:rFonts w:hint="eastAsia"/>
                <w:b/>
                <w:bCs/>
                <w:szCs w:val="21"/>
                <w:highlight w:val="none"/>
              </w:rPr>
              <w:t>管理</w:t>
            </w:r>
          </w:p>
          <w:p w14:paraId="7D1B59B3">
            <w:pPr>
              <w:spacing w:line="360" w:lineRule="exact"/>
              <w:jc w:val="center"/>
              <w:rPr>
                <w:b/>
                <w:bCs/>
                <w:szCs w:val="21"/>
                <w:highlight w:val="none"/>
              </w:rPr>
            </w:pPr>
            <w:r>
              <w:rPr>
                <w:rFonts w:hint="eastAsia"/>
                <w:b/>
                <w:bCs/>
                <w:szCs w:val="21"/>
                <w:highlight w:val="none"/>
              </w:rPr>
              <w:t>团队</w:t>
            </w:r>
          </w:p>
        </w:tc>
        <w:tc>
          <w:tcPr>
            <w:tcW w:w="666" w:type="pct"/>
            <w:vAlign w:val="center"/>
          </w:tcPr>
          <w:p w14:paraId="5551D787">
            <w:pPr>
              <w:spacing w:line="360" w:lineRule="exact"/>
              <w:jc w:val="center"/>
              <w:rPr>
                <w:b/>
                <w:bCs/>
                <w:szCs w:val="21"/>
                <w:highlight w:val="none"/>
              </w:rPr>
            </w:pPr>
            <w:r>
              <w:rPr>
                <w:rFonts w:hint="eastAsia"/>
                <w:b/>
                <w:bCs/>
                <w:szCs w:val="21"/>
                <w:highlight w:val="none"/>
              </w:rPr>
              <w:t>姓名</w:t>
            </w:r>
          </w:p>
        </w:tc>
        <w:tc>
          <w:tcPr>
            <w:tcW w:w="905" w:type="pct"/>
            <w:vAlign w:val="center"/>
          </w:tcPr>
          <w:p w14:paraId="183CA115">
            <w:pPr>
              <w:spacing w:line="360" w:lineRule="exact"/>
              <w:jc w:val="center"/>
              <w:rPr>
                <w:b/>
                <w:bCs/>
                <w:szCs w:val="21"/>
                <w:highlight w:val="none"/>
              </w:rPr>
            </w:pPr>
            <w:r>
              <w:rPr>
                <w:rFonts w:hint="eastAsia"/>
                <w:b/>
                <w:bCs/>
                <w:szCs w:val="21"/>
                <w:highlight w:val="none"/>
              </w:rPr>
              <w:t>职务</w:t>
            </w:r>
          </w:p>
        </w:tc>
        <w:tc>
          <w:tcPr>
            <w:tcW w:w="1030" w:type="pct"/>
            <w:gridSpan w:val="2"/>
            <w:vAlign w:val="center"/>
          </w:tcPr>
          <w:p w14:paraId="6F26CF46">
            <w:pPr>
              <w:spacing w:line="360" w:lineRule="exact"/>
              <w:jc w:val="center"/>
              <w:rPr>
                <w:b/>
                <w:bCs/>
                <w:szCs w:val="21"/>
                <w:highlight w:val="none"/>
              </w:rPr>
            </w:pPr>
            <w:r>
              <w:rPr>
                <w:rFonts w:hint="eastAsia"/>
                <w:b/>
                <w:bCs/>
                <w:szCs w:val="21"/>
                <w:highlight w:val="none"/>
              </w:rPr>
              <w:t>从事投资或</w:t>
            </w:r>
          </w:p>
          <w:p w14:paraId="3596F336">
            <w:pPr>
              <w:spacing w:line="360" w:lineRule="exact"/>
              <w:jc w:val="center"/>
              <w:rPr>
                <w:b/>
                <w:bCs/>
                <w:szCs w:val="21"/>
                <w:highlight w:val="none"/>
              </w:rPr>
            </w:pPr>
            <w:r>
              <w:rPr>
                <w:rFonts w:hint="eastAsia"/>
                <w:b/>
                <w:bCs/>
                <w:szCs w:val="21"/>
                <w:highlight w:val="none"/>
              </w:rPr>
              <w:t>相关行业年限</w:t>
            </w:r>
          </w:p>
        </w:tc>
        <w:tc>
          <w:tcPr>
            <w:tcW w:w="832" w:type="pct"/>
            <w:gridSpan w:val="2"/>
            <w:vAlign w:val="center"/>
          </w:tcPr>
          <w:p w14:paraId="3CA76F9E">
            <w:pPr>
              <w:spacing w:line="360" w:lineRule="exact"/>
              <w:jc w:val="center"/>
              <w:rPr>
                <w:b/>
                <w:bCs/>
                <w:szCs w:val="21"/>
                <w:highlight w:val="none"/>
              </w:rPr>
            </w:pPr>
            <w:r>
              <w:rPr>
                <w:rFonts w:hint="eastAsia"/>
                <w:b/>
                <w:bCs/>
                <w:szCs w:val="21"/>
                <w:highlight w:val="none"/>
              </w:rPr>
              <w:t>是否为关键人士</w:t>
            </w:r>
          </w:p>
        </w:tc>
        <w:tc>
          <w:tcPr>
            <w:tcW w:w="839" w:type="pct"/>
            <w:vAlign w:val="center"/>
          </w:tcPr>
          <w:p w14:paraId="7E1604C9">
            <w:pPr>
              <w:spacing w:line="360" w:lineRule="exact"/>
              <w:jc w:val="center"/>
              <w:rPr>
                <w:b/>
                <w:bCs/>
                <w:szCs w:val="21"/>
                <w:highlight w:val="none"/>
              </w:rPr>
            </w:pPr>
            <w:r>
              <w:rPr>
                <w:rFonts w:hint="eastAsia"/>
                <w:b/>
                <w:bCs/>
                <w:szCs w:val="21"/>
                <w:highlight w:val="none"/>
              </w:rPr>
              <w:t>是否有</w:t>
            </w:r>
          </w:p>
          <w:p w14:paraId="16130DCA">
            <w:pPr>
              <w:spacing w:line="360" w:lineRule="exact"/>
              <w:jc w:val="center"/>
              <w:rPr>
                <w:b/>
                <w:bCs/>
                <w:szCs w:val="21"/>
                <w:highlight w:val="none"/>
              </w:rPr>
            </w:pPr>
            <w:r>
              <w:rPr>
                <w:rFonts w:hint="eastAsia"/>
                <w:b/>
                <w:bCs/>
                <w:szCs w:val="21"/>
                <w:highlight w:val="none"/>
              </w:rPr>
              <w:t>处罚记录</w:t>
            </w:r>
          </w:p>
        </w:tc>
      </w:tr>
      <w:tr w14:paraId="52406EF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5" w:type="pct"/>
            <w:vMerge w:val="continue"/>
            <w:vAlign w:val="center"/>
          </w:tcPr>
          <w:p w14:paraId="6C7276F8">
            <w:pPr>
              <w:spacing w:line="360" w:lineRule="exact"/>
              <w:jc w:val="center"/>
              <w:rPr>
                <w:b/>
                <w:bCs/>
                <w:szCs w:val="21"/>
                <w:highlight w:val="none"/>
              </w:rPr>
            </w:pPr>
          </w:p>
        </w:tc>
        <w:tc>
          <w:tcPr>
            <w:tcW w:w="666" w:type="pct"/>
            <w:vAlign w:val="center"/>
          </w:tcPr>
          <w:p w14:paraId="16BFBCC3">
            <w:pPr>
              <w:spacing w:line="360" w:lineRule="exact"/>
              <w:jc w:val="center"/>
              <w:rPr>
                <w:highlight w:val="none"/>
              </w:rPr>
            </w:pPr>
          </w:p>
        </w:tc>
        <w:tc>
          <w:tcPr>
            <w:tcW w:w="905" w:type="pct"/>
            <w:vAlign w:val="center"/>
          </w:tcPr>
          <w:p w14:paraId="668A993B">
            <w:pPr>
              <w:spacing w:line="360" w:lineRule="exact"/>
              <w:jc w:val="center"/>
              <w:rPr>
                <w:highlight w:val="none"/>
              </w:rPr>
            </w:pPr>
          </w:p>
        </w:tc>
        <w:tc>
          <w:tcPr>
            <w:tcW w:w="1030" w:type="pct"/>
            <w:gridSpan w:val="2"/>
            <w:vAlign w:val="center"/>
          </w:tcPr>
          <w:p w14:paraId="38DD44B2">
            <w:pPr>
              <w:spacing w:line="360" w:lineRule="exact"/>
              <w:jc w:val="center"/>
              <w:rPr>
                <w:highlight w:val="none"/>
              </w:rPr>
            </w:pPr>
          </w:p>
        </w:tc>
        <w:tc>
          <w:tcPr>
            <w:tcW w:w="832" w:type="pct"/>
            <w:gridSpan w:val="2"/>
            <w:vAlign w:val="center"/>
          </w:tcPr>
          <w:p w14:paraId="7738E070">
            <w:pPr>
              <w:spacing w:line="360" w:lineRule="exact"/>
              <w:jc w:val="center"/>
              <w:rPr>
                <w:szCs w:val="21"/>
                <w:highlight w:val="none"/>
              </w:rPr>
            </w:pPr>
          </w:p>
        </w:tc>
        <w:tc>
          <w:tcPr>
            <w:tcW w:w="839" w:type="pct"/>
            <w:vAlign w:val="center"/>
          </w:tcPr>
          <w:p w14:paraId="5F3CFD21">
            <w:pPr>
              <w:spacing w:line="360" w:lineRule="exact"/>
              <w:jc w:val="center"/>
              <w:rPr>
                <w:szCs w:val="21"/>
                <w:highlight w:val="none"/>
              </w:rPr>
            </w:pPr>
          </w:p>
        </w:tc>
      </w:tr>
      <w:tr w14:paraId="0CB4393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5" w:type="pct"/>
            <w:vMerge w:val="continue"/>
            <w:vAlign w:val="center"/>
          </w:tcPr>
          <w:p w14:paraId="579B3C5D">
            <w:pPr>
              <w:spacing w:line="360" w:lineRule="exact"/>
              <w:jc w:val="center"/>
              <w:rPr>
                <w:b/>
                <w:bCs/>
                <w:szCs w:val="21"/>
                <w:highlight w:val="none"/>
              </w:rPr>
            </w:pPr>
          </w:p>
        </w:tc>
        <w:tc>
          <w:tcPr>
            <w:tcW w:w="666" w:type="pct"/>
            <w:vAlign w:val="center"/>
          </w:tcPr>
          <w:p w14:paraId="118F7E2C">
            <w:pPr>
              <w:spacing w:line="360" w:lineRule="exact"/>
              <w:jc w:val="center"/>
              <w:rPr>
                <w:szCs w:val="21"/>
                <w:highlight w:val="none"/>
              </w:rPr>
            </w:pPr>
          </w:p>
        </w:tc>
        <w:tc>
          <w:tcPr>
            <w:tcW w:w="905" w:type="pct"/>
            <w:vAlign w:val="center"/>
          </w:tcPr>
          <w:p w14:paraId="1DFE6AA1">
            <w:pPr>
              <w:spacing w:line="360" w:lineRule="exact"/>
              <w:jc w:val="center"/>
              <w:rPr>
                <w:szCs w:val="21"/>
                <w:highlight w:val="none"/>
              </w:rPr>
            </w:pPr>
          </w:p>
        </w:tc>
        <w:tc>
          <w:tcPr>
            <w:tcW w:w="1030" w:type="pct"/>
            <w:gridSpan w:val="2"/>
            <w:vAlign w:val="center"/>
          </w:tcPr>
          <w:p w14:paraId="1DF9249E">
            <w:pPr>
              <w:spacing w:line="360" w:lineRule="exact"/>
              <w:jc w:val="center"/>
              <w:rPr>
                <w:szCs w:val="21"/>
                <w:highlight w:val="none"/>
              </w:rPr>
            </w:pPr>
          </w:p>
        </w:tc>
        <w:tc>
          <w:tcPr>
            <w:tcW w:w="832" w:type="pct"/>
            <w:gridSpan w:val="2"/>
            <w:vAlign w:val="center"/>
          </w:tcPr>
          <w:p w14:paraId="0F9603A4">
            <w:pPr>
              <w:spacing w:line="360" w:lineRule="exact"/>
              <w:jc w:val="center"/>
              <w:rPr>
                <w:szCs w:val="21"/>
                <w:highlight w:val="none"/>
              </w:rPr>
            </w:pPr>
          </w:p>
        </w:tc>
        <w:tc>
          <w:tcPr>
            <w:tcW w:w="839" w:type="pct"/>
            <w:vAlign w:val="center"/>
          </w:tcPr>
          <w:p w14:paraId="6B20575A">
            <w:pPr>
              <w:spacing w:line="360" w:lineRule="exact"/>
              <w:jc w:val="center"/>
              <w:rPr>
                <w:szCs w:val="21"/>
                <w:highlight w:val="none"/>
              </w:rPr>
            </w:pPr>
          </w:p>
        </w:tc>
      </w:tr>
      <w:tr w14:paraId="1CC3868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5" w:type="pct"/>
            <w:vMerge w:val="continue"/>
            <w:vAlign w:val="center"/>
          </w:tcPr>
          <w:p w14:paraId="361EBA35">
            <w:pPr>
              <w:spacing w:line="360" w:lineRule="exact"/>
              <w:jc w:val="center"/>
              <w:rPr>
                <w:b/>
                <w:bCs/>
                <w:szCs w:val="21"/>
                <w:highlight w:val="none"/>
              </w:rPr>
            </w:pPr>
          </w:p>
        </w:tc>
        <w:tc>
          <w:tcPr>
            <w:tcW w:w="666" w:type="pct"/>
            <w:vAlign w:val="center"/>
          </w:tcPr>
          <w:p w14:paraId="38544647">
            <w:pPr>
              <w:spacing w:line="360" w:lineRule="exact"/>
              <w:jc w:val="center"/>
              <w:rPr>
                <w:szCs w:val="21"/>
                <w:highlight w:val="none"/>
              </w:rPr>
            </w:pPr>
          </w:p>
        </w:tc>
        <w:tc>
          <w:tcPr>
            <w:tcW w:w="905" w:type="pct"/>
            <w:vAlign w:val="center"/>
          </w:tcPr>
          <w:p w14:paraId="4FBB0DEE">
            <w:pPr>
              <w:spacing w:line="360" w:lineRule="exact"/>
              <w:jc w:val="center"/>
              <w:rPr>
                <w:szCs w:val="21"/>
                <w:highlight w:val="none"/>
              </w:rPr>
            </w:pPr>
          </w:p>
        </w:tc>
        <w:tc>
          <w:tcPr>
            <w:tcW w:w="1030" w:type="pct"/>
            <w:gridSpan w:val="2"/>
            <w:vAlign w:val="center"/>
          </w:tcPr>
          <w:p w14:paraId="18EB2050">
            <w:pPr>
              <w:spacing w:line="360" w:lineRule="exact"/>
              <w:jc w:val="center"/>
              <w:rPr>
                <w:szCs w:val="21"/>
                <w:highlight w:val="none"/>
              </w:rPr>
            </w:pPr>
          </w:p>
        </w:tc>
        <w:tc>
          <w:tcPr>
            <w:tcW w:w="832" w:type="pct"/>
            <w:gridSpan w:val="2"/>
            <w:vAlign w:val="center"/>
          </w:tcPr>
          <w:p w14:paraId="706FA88A">
            <w:pPr>
              <w:spacing w:line="360" w:lineRule="exact"/>
              <w:jc w:val="center"/>
              <w:rPr>
                <w:szCs w:val="21"/>
                <w:highlight w:val="none"/>
              </w:rPr>
            </w:pPr>
          </w:p>
        </w:tc>
        <w:tc>
          <w:tcPr>
            <w:tcW w:w="839" w:type="pct"/>
            <w:vAlign w:val="center"/>
          </w:tcPr>
          <w:p w14:paraId="431232A6">
            <w:pPr>
              <w:spacing w:line="360" w:lineRule="exact"/>
              <w:jc w:val="center"/>
              <w:rPr>
                <w:szCs w:val="21"/>
                <w:highlight w:val="none"/>
              </w:rPr>
            </w:pPr>
          </w:p>
        </w:tc>
      </w:tr>
      <w:tr w14:paraId="0293C19A">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725" w:type="pct"/>
            <w:vAlign w:val="center"/>
          </w:tcPr>
          <w:p w14:paraId="0FFF629B">
            <w:pPr>
              <w:spacing w:line="360" w:lineRule="exact"/>
              <w:jc w:val="center"/>
              <w:rPr>
                <w:b/>
                <w:bCs/>
                <w:szCs w:val="21"/>
                <w:highlight w:val="none"/>
              </w:rPr>
            </w:pPr>
            <w:r>
              <w:rPr>
                <w:rFonts w:hint="eastAsia"/>
                <w:b/>
                <w:bCs/>
                <w:szCs w:val="21"/>
                <w:highlight w:val="none"/>
              </w:rPr>
              <w:t>其他说明</w:t>
            </w:r>
          </w:p>
          <w:p w14:paraId="12FD889B">
            <w:pPr>
              <w:spacing w:line="360" w:lineRule="exact"/>
              <w:jc w:val="center"/>
              <w:rPr>
                <w:b/>
                <w:bCs/>
                <w:szCs w:val="21"/>
                <w:highlight w:val="none"/>
              </w:rPr>
            </w:pPr>
            <w:r>
              <w:rPr>
                <w:rFonts w:hint="eastAsia"/>
                <w:b/>
                <w:bCs/>
                <w:szCs w:val="21"/>
                <w:highlight w:val="none"/>
              </w:rPr>
              <w:t>事项</w:t>
            </w:r>
          </w:p>
          <w:p w14:paraId="7F2688C4">
            <w:pPr>
              <w:pStyle w:val="4"/>
              <w:jc w:val="center"/>
              <w:rPr>
                <w:szCs w:val="21"/>
                <w:highlight w:val="none"/>
              </w:rPr>
            </w:pPr>
          </w:p>
        </w:tc>
        <w:tc>
          <w:tcPr>
            <w:tcW w:w="4274" w:type="pct"/>
            <w:gridSpan w:val="7"/>
            <w:vAlign w:val="center"/>
          </w:tcPr>
          <w:p w14:paraId="0C5324C2">
            <w:pPr>
              <w:pStyle w:val="26"/>
              <w:widowControl/>
              <w:spacing w:line="360" w:lineRule="exact"/>
              <w:ind w:firstLine="0" w:firstLineChars="0"/>
              <w:jc w:val="left"/>
              <w:rPr>
                <w:rFonts w:cs="宋体"/>
                <w:szCs w:val="21"/>
                <w:highlight w:val="none"/>
              </w:rPr>
            </w:pPr>
            <w:r>
              <w:rPr>
                <w:rFonts w:hint="eastAsia" w:cs="宋体"/>
                <w:szCs w:val="21"/>
                <w:highlight w:val="none"/>
              </w:rPr>
              <w:t>1</w:t>
            </w:r>
            <w:r>
              <w:rPr>
                <w:rFonts w:cs="宋体"/>
                <w:szCs w:val="21"/>
                <w:highlight w:val="none"/>
              </w:rPr>
              <w:t xml:space="preserve">. </w:t>
            </w:r>
            <w:r>
              <w:rPr>
                <w:rFonts w:hint="eastAsia" w:cs="宋体"/>
                <w:szCs w:val="21"/>
                <w:highlight w:val="none"/>
              </w:rPr>
              <w:t>管理机构、管理团队均符合《无为</w:t>
            </w:r>
            <w:r>
              <w:rPr>
                <w:rFonts w:hint="eastAsia" w:cs="宋体"/>
                <w:szCs w:val="21"/>
                <w:highlight w:val="none"/>
                <w:lang w:val="en-US" w:eastAsia="zh-CN"/>
              </w:rPr>
              <w:t>经济开发区</w:t>
            </w:r>
            <w:r>
              <w:rPr>
                <w:rFonts w:hint="eastAsia" w:cs="宋体"/>
                <w:szCs w:val="21"/>
                <w:highlight w:val="none"/>
              </w:rPr>
              <w:t>母基金组建方案》《关于修改&lt;无为经济开发区母基金组建方案&gt;的通知》的要求。</w:t>
            </w:r>
          </w:p>
          <w:p w14:paraId="4BF57D24">
            <w:pPr>
              <w:pStyle w:val="26"/>
              <w:widowControl/>
              <w:spacing w:line="360" w:lineRule="exact"/>
              <w:ind w:firstLine="0" w:firstLineChars="0"/>
              <w:jc w:val="left"/>
              <w:rPr>
                <w:rFonts w:cs="宋体"/>
                <w:szCs w:val="21"/>
                <w:highlight w:val="none"/>
              </w:rPr>
            </w:pPr>
            <w:r>
              <w:rPr>
                <w:rFonts w:cs="宋体"/>
                <w:szCs w:val="21"/>
                <w:highlight w:val="none"/>
              </w:rPr>
              <w:t xml:space="preserve">2. </w:t>
            </w:r>
            <w:r>
              <w:rPr>
                <w:rFonts w:hint="eastAsia" w:cs="宋体"/>
                <w:szCs w:val="21"/>
                <w:highlight w:val="none"/>
              </w:rPr>
              <w:t>其他需要说明事项（如有）：</w:t>
            </w:r>
          </w:p>
          <w:p w14:paraId="74DE1632">
            <w:pPr>
              <w:pStyle w:val="26"/>
              <w:widowControl/>
              <w:spacing w:line="360" w:lineRule="exact"/>
              <w:ind w:firstLine="0" w:firstLineChars="0"/>
              <w:jc w:val="left"/>
              <w:rPr>
                <w:szCs w:val="21"/>
                <w:highlight w:val="none"/>
              </w:rPr>
            </w:pPr>
            <w:r>
              <w:rPr>
                <w:rFonts w:hint="eastAsia" w:cs="宋体"/>
                <w:szCs w:val="21"/>
                <w:highlight w:val="none"/>
              </w:rPr>
              <w:t>参与国家大基金、省市级母基金的：（1）国家大基金、省市级母基金名称、基本情况及出资；（2）国家大基金、省市级母基金不同于母基金要求的关键条款内容。以上须附证明文件。</w:t>
            </w:r>
          </w:p>
        </w:tc>
      </w:tr>
    </w:tbl>
    <w:p w14:paraId="623F58DF">
      <w:pPr>
        <w:rPr>
          <w:color w:val="000000" w:themeColor="text1"/>
          <w:highlight w:val="none"/>
          <w14:textFill>
            <w14:solidFill>
              <w14:schemeClr w14:val="tx1"/>
            </w14:solidFill>
          </w14:textFill>
        </w:rPr>
      </w:pPr>
    </w:p>
    <w:bookmarkEnd w:id="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317B2"/>
    <w:multiLevelType w:val="singleLevel"/>
    <w:tmpl w:val="962317B2"/>
    <w:lvl w:ilvl="0" w:tentative="0">
      <w:start w:val="1"/>
      <w:numFmt w:val="decimal"/>
      <w:suff w:val="space"/>
      <w:lvlText w:val="%1."/>
      <w:lvlJc w:val="left"/>
    </w:lvl>
  </w:abstractNum>
  <w:abstractNum w:abstractNumId="1">
    <w:nsid w:val="5F43578E"/>
    <w:multiLevelType w:val="multilevel"/>
    <w:tmpl w:val="5F43578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N2YwOGVjYzIyMjk5MDUyNGIzOWI1YjQwZjBiYzIifQ=="/>
  </w:docVars>
  <w:rsids>
    <w:rsidRoot w:val="FDF20FED"/>
    <w:rsid w:val="000467C2"/>
    <w:rsid w:val="0006345D"/>
    <w:rsid w:val="00065A4C"/>
    <w:rsid w:val="00070A69"/>
    <w:rsid w:val="00074DA7"/>
    <w:rsid w:val="00086390"/>
    <w:rsid w:val="000A348C"/>
    <w:rsid w:val="000A69B6"/>
    <w:rsid w:val="000C0EB7"/>
    <w:rsid w:val="000C1BFE"/>
    <w:rsid w:val="000C5B51"/>
    <w:rsid w:val="000D0635"/>
    <w:rsid w:val="000D2577"/>
    <w:rsid w:val="000F3077"/>
    <w:rsid w:val="000F6477"/>
    <w:rsid w:val="00103429"/>
    <w:rsid w:val="00105FB4"/>
    <w:rsid w:val="001107E9"/>
    <w:rsid w:val="00122193"/>
    <w:rsid w:val="00127050"/>
    <w:rsid w:val="00146E3C"/>
    <w:rsid w:val="00147A49"/>
    <w:rsid w:val="001706E2"/>
    <w:rsid w:val="00171A94"/>
    <w:rsid w:val="00173842"/>
    <w:rsid w:val="0018106B"/>
    <w:rsid w:val="001861DD"/>
    <w:rsid w:val="001A53A3"/>
    <w:rsid w:val="001A7543"/>
    <w:rsid w:val="001C717C"/>
    <w:rsid w:val="001D6245"/>
    <w:rsid w:val="001D6AEF"/>
    <w:rsid w:val="001D7F6A"/>
    <w:rsid w:val="001E4B5D"/>
    <w:rsid w:val="001F06DD"/>
    <w:rsid w:val="002007D1"/>
    <w:rsid w:val="00222D08"/>
    <w:rsid w:val="00226D51"/>
    <w:rsid w:val="00242CD3"/>
    <w:rsid w:val="002535D6"/>
    <w:rsid w:val="00262217"/>
    <w:rsid w:val="00273771"/>
    <w:rsid w:val="002848F7"/>
    <w:rsid w:val="00293754"/>
    <w:rsid w:val="00294E41"/>
    <w:rsid w:val="002A2A03"/>
    <w:rsid w:val="002B113F"/>
    <w:rsid w:val="002B37F8"/>
    <w:rsid w:val="002B7811"/>
    <w:rsid w:val="002C0CFA"/>
    <w:rsid w:val="002C7838"/>
    <w:rsid w:val="002D5F72"/>
    <w:rsid w:val="002F3BA2"/>
    <w:rsid w:val="00302BC3"/>
    <w:rsid w:val="003051C0"/>
    <w:rsid w:val="00306FE7"/>
    <w:rsid w:val="003211EF"/>
    <w:rsid w:val="00322CCA"/>
    <w:rsid w:val="00342D84"/>
    <w:rsid w:val="00343BC7"/>
    <w:rsid w:val="00344D51"/>
    <w:rsid w:val="003506FA"/>
    <w:rsid w:val="0035444E"/>
    <w:rsid w:val="00355313"/>
    <w:rsid w:val="003618E5"/>
    <w:rsid w:val="00374C45"/>
    <w:rsid w:val="0039511D"/>
    <w:rsid w:val="003B293E"/>
    <w:rsid w:val="003B6281"/>
    <w:rsid w:val="003C5A96"/>
    <w:rsid w:val="003D2A29"/>
    <w:rsid w:val="00407B7C"/>
    <w:rsid w:val="00410E5E"/>
    <w:rsid w:val="004408F5"/>
    <w:rsid w:val="00442F55"/>
    <w:rsid w:val="00446BE9"/>
    <w:rsid w:val="00454595"/>
    <w:rsid w:val="004547B4"/>
    <w:rsid w:val="00454876"/>
    <w:rsid w:val="004A412C"/>
    <w:rsid w:val="004A73AA"/>
    <w:rsid w:val="004D4C64"/>
    <w:rsid w:val="004F16B0"/>
    <w:rsid w:val="005158FD"/>
    <w:rsid w:val="00517DDB"/>
    <w:rsid w:val="0052630C"/>
    <w:rsid w:val="00527331"/>
    <w:rsid w:val="00527CBE"/>
    <w:rsid w:val="005354D9"/>
    <w:rsid w:val="005373FC"/>
    <w:rsid w:val="00537DC5"/>
    <w:rsid w:val="00554508"/>
    <w:rsid w:val="005547BC"/>
    <w:rsid w:val="00560A43"/>
    <w:rsid w:val="005628CA"/>
    <w:rsid w:val="0056461C"/>
    <w:rsid w:val="005700F0"/>
    <w:rsid w:val="00570CB6"/>
    <w:rsid w:val="00572E5B"/>
    <w:rsid w:val="005815B6"/>
    <w:rsid w:val="00591CB4"/>
    <w:rsid w:val="00593569"/>
    <w:rsid w:val="00595CBE"/>
    <w:rsid w:val="005B429E"/>
    <w:rsid w:val="005C0661"/>
    <w:rsid w:val="005C4638"/>
    <w:rsid w:val="005F5E70"/>
    <w:rsid w:val="0060686B"/>
    <w:rsid w:val="006075BF"/>
    <w:rsid w:val="00624FEB"/>
    <w:rsid w:val="00630C2C"/>
    <w:rsid w:val="006453D1"/>
    <w:rsid w:val="00645BB7"/>
    <w:rsid w:val="00654E24"/>
    <w:rsid w:val="00664F46"/>
    <w:rsid w:val="00665B0A"/>
    <w:rsid w:val="00666065"/>
    <w:rsid w:val="006672B7"/>
    <w:rsid w:val="00691020"/>
    <w:rsid w:val="0069150A"/>
    <w:rsid w:val="00693823"/>
    <w:rsid w:val="006A251D"/>
    <w:rsid w:val="006B1584"/>
    <w:rsid w:val="006E04AA"/>
    <w:rsid w:val="006E7240"/>
    <w:rsid w:val="00706C2A"/>
    <w:rsid w:val="00726033"/>
    <w:rsid w:val="00745CE3"/>
    <w:rsid w:val="0075283C"/>
    <w:rsid w:val="00760331"/>
    <w:rsid w:val="00781B29"/>
    <w:rsid w:val="00794F45"/>
    <w:rsid w:val="007A6FBB"/>
    <w:rsid w:val="007B0311"/>
    <w:rsid w:val="007B135C"/>
    <w:rsid w:val="007D5FE2"/>
    <w:rsid w:val="007F6D3A"/>
    <w:rsid w:val="008015F3"/>
    <w:rsid w:val="00807E83"/>
    <w:rsid w:val="0082028B"/>
    <w:rsid w:val="00824267"/>
    <w:rsid w:val="008259AC"/>
    <w:rsid w:val="00841830"/>
    <w:rsid w:val="0086475A"/>
    <w:rsid w:val="00875DD3"/>
    <w:rsid w:val="00877EF8"/>
    <w:rsid w:val="008920EE"/>
    <w:rsid w:val="00895C3D"/>
    <w:rsid w:val="008963B3"/>
    <w:rsid w:val="008A5D56"/>
    <w:rsid w:val="008A795E"/>
    <w:rsid w:val="008B6805"/>
    <w:rsid w:val="008C48A1"/>
    <w:rsid w:val="008C506E"/>
    <w:rsid w:val="008E0A85"/>
    <w:rsid w:val="008E1729"/>
    <w:rsid w:val="008F11D7"/>
    <w:rsid w:val="00912E08"/>
    <w:rsid w:val="00916E3D"/>
    <w:rsid w:val="0092335C"/>
    <w:rsid w:val="00933BFF"/>
    <w:rsid w:val="00935769"/>
    <w:rsid w:val="00943BE2"/>
    <w:rsid w:val="0095174D"/>
    <w:rsid w:val="009608F3"/>
    <w:rsid w:val="009733A6"/>
    <w:rsid w:val="00974D15"/>
    <w:rsid w:val="00985FE9"/>
    <w:rsid w:val="009B0C6F"/>
    <w:rsid w:val="009B7A28"/>
    <w:rsid w:val="009D5536"/>
    <w:rsid w:val="009E4B66"/>
    <w:rsid w:val="009F5BC5"/>
    <w:rsid w:val="00A04C6A"/>
    <w:rsid w:val="00A36E25"/>
    <w:rsid w:val="00A45963"/>
    <w:rsid w:val="00A46913"/>
    <w:rsid w:val="00A5558B"/>
    <w:rsid w:val="00A77D22"/>
    <w:rsid w:val="00A80452"/>
    <w:rsid w:val="00A81B68"/>
    <w:rsid w:val="00A97930"/>
    <w:rsid w:val="00AB1E7C"/>
    <w:rsid w:val="00AC0715"/>
    <w:rsid w:val="00AD146F"/>
    <w:rsid w:val="00AD2F5E"/>
    <w:rsid w:val="00AD3AB5"/>
    <w:rsid w:val="00AD5F3A"/>
    <w:rsid w:val="00AD6970"/>
    <w:rsid w:val="00AD79E6"/>
    <w:rsid w:val="00AE15C1"/>
    <w:rsid w:val="00AE1D2B"/>
    <w:rsid w:val="00AE7417"/>
    <w:rsid w:val="00AF2BF5"/>
    <w:rsid w:val="00B04396"/>
    <w:rsid w:val="00B04523"/>
    <w:rsid w:val="00B1095B"/>
    <w:rsid w:val="00B14DA0"/>
    <w:rsid w:val="00B15D39"/>
    <w:rsid w:val="00B473DB"/>
    <w:rsid w:val="00B815B6"/>
    <w:rsid w:val="00B87C61"/>
    <w:rsid w:val="00BA3E20"/>
    <w:rsid w:val="00BB6390"/>
    <w:rsid w:val="00BC1251"/>
    <w:rsid w:val="00BC67CE"/>
    <w:rsid w:val="00BD34B8"/>
    <w:rsid w:val="00BE446F"/>
    <w:rsid w:val="00BE7036"/>
    <w:rsid w:val="00C14B4E"/>
    <w:rsid w:val="00C16FC6"/>
    <w:rsid w:val="00C256CB"/>
    <w:rsid w:val="00C2610B"/>
    <w:rsid w:val="00C37558"/>
    <w:rsid w:val="00C6486C"/>
    <w:rsid w:val="00C72DD1"/>
    <w:rsid w:val="00C731B6"/>
    <w:rsid w:val="00C74891"/>
    <w:rsid w:val="00C902F5"/>
    <w:rsid w:val="00C958CA"/>
    <w:rsid w:val="00CA333D"/>
    <w:rsid w:val="00CA4908"/>
    <w:rsid w:val="00CA4D95"/>
    <w:rsid w:val="00CB238E"/>
    <w:rsid w:val="00CE0E8B"/>
    <w:rsid w:val="00CE4A55"/>
    <w:rsid w:val="00CF6B92"/>
    <w:rsid w:val="00D01BE4"/>
    <w:rsid w:val="00D0770C"/>
    <w:rsid w:val="00D27609"/>
    <w:rsid w:val="00D305A7"/>
    <w:rsid w:val="00D47A5A"/>
    <w:rsid w:val="00D51C11"/>
    <w:rsid w:val="00D628BD"/>
    <w:rsid w:val="00D735BD"/>
    <w:rsid w:val="00D82E4D"/>
    <w:rsid w:val="00D842FB"/>
    <w:rsid w:val="00D85731"/>
    <w:rsid w:val="00D90BB0"/>
    <w:rsid w:val="00DA6BB1"/>
    <w:rsid w:val="00DB3408"/>
    <w:rsid w:val="00DB6FA8"/>
    <w:rsid w:val="00DB7700"/>
    <w:rsid w:val="00DC108D"/>
    <w:rsid w:val="00DE0E39"/>
    <w:rsid w:val="00DE1AAF"/>
    <w:rsid w:val="00DF00FA"/>
    <w:rsid w:val="00E01D21"/>
    <w:rsid w:val="00E02602"/>
    <w:rsid w:val="00E144E7"/>
    <w:rsid w:val="00E26387"/>
    <w:rsid w:val="00E41965"/>
    <w:rsid w:val="00E41F18"/>
    <w:rsid w:val="00E65648"/>
    <w:rsid w:val="00E67F2B"/>
    <w:rsid w:val="00E7779C"/>
    <w:rsid w:val="00E8698A"/>
    <w:rsid w:val="00EA0CA7"/>
    <w:rsid w:val="00EA1315"/>
    <w:rsid w:val="00EB74E3"/>
    <w:rsid w:val="00EC2527"/>
    <w:rsid w:val="00EC3BA7"/>
    <w:rsid w:val="00EC7419"/>
    <w:rsid w:val="00EF2187"/>
    <w:rsid w:val="00EF6915"/>
    <w:rsid w:val="00F0077D"/>
    <w:rsid w:val="00F0220C"/>
    <w:rsid w:val="00F13DCF"/>
    <w:rsid w:val="00F14D4A"/>
    <w:rsid w:val="00F24DB0"/>
    <w:rsid w:val="00F33339"/>
    <w:rsid w:val="00F338C7"/>
    <w:rsid w:val="00F354E8"/>
    <w:rsid w:val="00F365F9"/>
    <w:rsid w:val="00F3764F"/>
    <w:rsid w:val="00F46E67"/>
    <w:rsid w:val="00F55786"/>
    <w:rsid w:val="00F60266"/>
    <w:rsid w:val="00F67D0A"/>
    <w:rsid w:val="00F71689"/>
    <w:rsid w:val="00F71F42"/>
    <w:rsid w:val="00F76DBD"/>
    <w:rsid w:val="00F77DA7"/>
    <w:rsid w:val="00F901FC"/>
    <w:rsid w:val="00FB4528"/>
    <w:rsid w:val="00FC5119"/>
    <w:rsid w:val="00FC6247"/>
    <w:rsid w:val="00FD0CD1"/>
    <w:rsid w:val="00FD25A2"/>
    <w:rsid w:val="00FE4041"/>
    <w:rsid w:val="00FE4244"/>
    <w:rsid w:val="07263FC8"/>
    <w:rsid w:val="0E585F3F"/>
    <w:rsid w:val="17FB4BCB"/>
    <w:rsid w:val="22BA4BF6"/>
    <w:rsid w:val="335E0BD5"/>
    <w:rsid w:val="33FB7B6D"/>
    <w:rsid w:val="377B287E"/>
    <w:rsid w:val="3B2FD948"/>
    <w:rsid w:val="3D4057C7"/>
    <w:rsid w:val="42BD16E4"/>
    <w:rsid w:val="4B5C6E94"/>
    <w:rsid w:val="523758ED"/>
    <w:rsid w:val="53CD71BB"/>
    <w:rsid w:val="5F71462D"/>
    <w:rsid w:val="5F7D8E82"/>
    <w:rsid w:val="699D2981"/>
    <w:rsid w:val="6BDF777A"/>
    <w:rsid w:val="6EFE6667"/>
    <w:rsid w:val="7177A2F8"/>
    <w:rsid w:val="75B81909"/>
    <w:rsid w:val="779A42B8"/>
    <w:rsid w:val="7CB9FABB"/>
    <w:rsid w:val="7CBF6510"/>
    <w:rsid w:val="7DFF78BE"/>
    <w:rsid w:val="7EA63922"/>
    <w:rsid w:val="7F3D7A9F"/>
    <w:rsid w:val="7F7B82B5"/>
    <w:rsid w:val="AFF48434"/>
    <w:rsid w:val="AFFF75EF"/>
    <w:rsid w:val="B38F8B9C"/>
    <w:rsid w:val="BA967EF7"/>
    <w:rsid w:val="BD3EBF3A"/>
    <w:rsid w:val="BEEE9922"/>
    <w:rsid w:val="C0FF9896"/>
    <w:rsid w:val="D5F6CC1E"/>
    <w:rsid w:val="D7FFA8A8"/>
    <w:rsid w:val="DBDFA4ED"/>
    <w:rsid w:val="DF6D4FB0"/>
    <w:rsid w:val="E37F3590"/>
    <w:rsid w:val="E5DBD7B8"/>
    <w:rsid w:val="F27C2B54"/>
    <w:rsid w:val="F3F36FAC"/>
    <w:rsid w:val="F5F4209E"/>
    <w:rsid w:val="FDEF9946"/>
    <w:rsid w:val="FDF20FED"/>
    <w:rsid w:val="FF1B3811"/>
    <w:rsid w:val="FFEFDE96"/>
    <w:rsid w:val="FFFE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rPr>
  </w:style>
  <w:style w:type="paragraph" w:styleId="3">
    <w:name w:val="annotation text"/>
    <w:basedOn w:val="1"/>
    <w:link w:val="16"/>
    <w:qFormat/>
    <w:uiPriority w:val="0"/>
    <w:pPr>
      <w:jc w:val="left"/>
    </w:pPr>
  </w:style>
  <w:style w:type="paragraph" w:styleId="4">
    <w:name w:val="Body Text Indent 2"/>
    <w:basedOn w:val="1"/>
    <w:next w:val="1"/>
    <w:qFormat/>
    <w:uiPriority w:val="99"/>
    <w:pPr>
      <w:spacing w:after="120" w:line="480" w:lineRule="auto"/>
      <w:ind w:left="420" w:leftChars="200"/>
    </w:p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tabs>
        <w:tab w:val="center" w:pos="4153"/>
        <w:tab w:val="right" w:pos="8306"/>
      </w:tabs>
      <w:snapToGrid w:val="0"/>
      <w:jc w:val="center"/>
    </w:pPr>
    <w:rPr>
      <w:sz w:val="18"/>
      <w:szCs w:val="18"/>
    </w:rPr>
  </w:style>
  <w:style w:type="paragraph" w:styleId="7">
    <w:name w:val="footnote text"/>
    <w:basedOn w:val="1"/>
    <w:link w:val="20"/>
    <w:qFormat/>
    <w:uiPriority w:val="99"/>
    <w:pPr>
      <w:snapToGrid w:val="0"/>
      <w:jc w:val="left"/>
    </w:pPr>
    <w:rPr>
      <w:rFonts w:ascii="Calibri" w:hAnsi="Calibri" w:eastAsia="宋体" w:cs="宋体"/>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99"/>
    <w:rPr>
      <w:sz w:val="21"/>
      <w:szCs w:val="21"/>
    </w:rPr>
  </w:style>
  <w:style w:type="character" w:styleId="14">
    <w:name w:val="footnote reference"/>
    <w:unhideWhenUsed/>
    <w:qFormat/>
    <w:uiPriority w:val="99"/>
    <w:rPr>
      <w:vertAlign w:val="superscript"/>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4"/>
    </w:rPr>
  </w:style>
  <w:style w:type="paragraph" w:customStyle="1" w:styleId="1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脚注文本 字符"/>
    <w:basedOn w:val="12"/>
    <w:link w:val="7"/>
    <w:qFormat/>
    <w:uiPriority w:val="99"/>
    <w:rPr>
      <w:rFonts w:ascii="Calibri" w:hAnsi="Calibri" w:cs="宋体"/>
      <w:sz w:val="18"/>
      <w:szCs w:val="18"/>
    </w:rPr>
  </w:style>
  <w:style w:type="paragraph" w:customStyle="1" w:styleId="21">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styleId="22">
    <w:name w:val="List Paragraph"/>
    <w:basedOn w:val="1"/>
    <w:link w:val="27"/>
    <w:qFormat/>
    <w:uiPriority w:val="99"/>
    <w:pPr>
      <w:ind w:firstLine="420" w:firstLineChars="200"/>
    </w:pPr>
  </w:style>
  <w:style w:type="character" w:customStyle="1" w:styleId="23">
    <w:name w:val="页眉 字符"/>
    <w:basedOn w:val="12"/>
    <w:link w:val="6"/>
    <w:qFormat/>
    <w:uiPriority w:val="0"/>
    <w:rPr>
      <w:rFonts w:asciiTheme="minorHAnsi" w:hAnsiTheme="minorHAnsi" w:eastAsiaTheme="minorEastAsia" w:cstheme="minorBidi"/>
      <w:kern w:val="2"/>
      <w:sz w:val="18"/>
      <w:szCs w:val="18"/>
    </w:rPr>
  </w:style>
  <w:style w:type="character" w:customStyle="1" w:styleId="24">
    <w:name w:val="页脚 字符"/>
    <w:basedOn w:val="12"/>
    <w:link w:val="5"/>
    <w:qFormat/>
    <w:uiPriority w:val="0"/>
    <w:rPr>
      <w:rFonts w:asciiTheme="minorHAnsi" w:hAnsiTheme="minorHAnsi" w:eastAsiaTheme="minorEastAsia" w:cstheme="minorBidi"/>
      <w:kern w:val="2"/>
      <w:sz w:val="18"/>
      <w:szCs w:val="18"/>
    </w:rPr>
  </w:style>
  <w:style w:type="paragraph" w:customStyle="1" w:styleId="25">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msolistparagraph"/>
    <w:basedOn w:val="1"/>
    <w:qFormat/>
    <w:uiPriority w:val="0"/>
    <w:pPr>
      <w:ind w:firstLine="420" w:firstLineChars="200"/>
    </w:pPr>
    <w:rPr>
      <w:rFonts w:ascii="Calibri" w:hAnsi="Calibri" w:eastAsia="宋体" w:cs="Times New Roman"/>
    </w:rPr>
  </w:style>
  <w:style w:type="character" w:customStyle="1" w:styleId="27">
    <w:name w:val="列表段落 字符"/>
    <w:link w:val="22"/>
    <w:qFormat/>
    <w:locked/>
    <w:uiPriority w:val="99"/>
    <w:rPr>
      <w:rFonts w:asciiTheme="minorHAnsi" w:hAnsiTheme="minorHAnsi" w:eastAsiaTheme="minorEastAsia" w:cstheme="minorBidi"/>
      <w:kern w:val="2"/>
      <w:sz w:val="21"/>
      <w:szCs w:val="24"/>
    </w:rPr>
  </w:style>
  <w:style w:type="paragraph" w:customStyle="1" w:styleId="28">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2933</Words>
  <Characters>2987</Characters>
  <Lines>20</Lines>
  <Paragraphs>5</Paragraphs>
  <TotalTime>2</TotalTime>
  <ScaleCrop>false</ScaleCrop>
  <LinksUpToDate>false</LinksUpToDate>
  <CharactersWithSpaces>3018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2024-12-26T03:45:00Z</dcterms:created>
  <dc:creator>DHwr</dc:creator>
  <cp:lastModifiedBy>Bonar</cp:lastModifiedBy>
  <cp:lastPrinted>2023-04-23T13:47:00Z</cp:lastPrinted>
  <dcterms:modified xsi:type="dcterms:W3CDTF">2025-06-13T02:32:33Z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4FB94C9CD76649C18A4106F4C0AC7582_13</vt:lpwstr>
  </property>
  <property fmtid="{D5CDD505-2E9C-101B-9397-08002B2CF9AE}" pid="4" name="KSOTemplateDocerSaveRecord">
    <vt:lpwstr>eyJoZGlkIjoiZTkzMTMzMDBmNWIxNzE4OWEzY2Q2OGU0NzA5ODMzMDMiLCJ1c2VySWQiOiIxMzMyNTU0ODEwIn0=</vt:lpwstr>
  </property>
</Properties>
</file>