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42474">
      <w:pPr>
        <w:keepNext w:val="0"/>
        <w:keepLines w:val="0"/>
        <w:widowControl w:val="0"/>
        <w:suppressLineNumbers w:val="0"/>
        <w:spacing w:before="0" w:beforeAutospacing="0" w:after="0" w:afterAutospacing="0" w:line="560" w:lineRule="exact"/>
        <w:ind w:left="0" w:leftChars="0" w:right="0" w:firstLine="0" w:firstLineChars="0"/>
        <w:jc w:val="left"/>
        <w:rPr>
          <w:rFonts w:hint="eastAsia" w:ascii="黑体" w:hAnsi="宋体" w:eastAsia="黑体" w:cs="黑体"/>
          <w:bCs/>
          <w:kern w:val="2"/>
          <w:sz w:val="32"/>
          <w:szCs w:val="32"/>
        </w:rPr>
      </w:pPr>
      <w:bookmarkStart w:id="0" w:name="_GoBack"/>
      <w:bookmarkEnd w:id="0"/>
      <w:r>
        <w:rPr>
          <w:rFonts w:hint="eastAsia" w:ascii="黑体" w:hAnsi="宋体" w:eastAsia="黑体" w:cs="黑体"/>
          <w:bCs/>
          <w:kern w:val="2"/>
          <w:sz w:val="32"/>
          <w:szCs w:val="32"/>
          <w:lang w:val="en-US" w:eastAsia="zh-CN" w:bidi="ar"/>
        </w:rPr>
        <w:t>附件</w:t>
      </w:r>
    </w:p>
    <w:p w14:paraId="1EC280BD">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仿宋_GB2312" w:eastAsia="仿宋_GB2312" w:cs="仿宋_GB2312" w:hAnsiTheme="minorHAnsi"/>
          <w:b/>
          <w:bCs w:val="0"/>
          <w:kern w:val="2"/>
          <w:sz w:val="28"/>
          <w:szCs w:val="28"/>
          <w:lang w:val="en-US" w:eastAsia="zh-CN" w:bidi="ar"/>
        </w:rPr>
      </w:pPr>
      <w:r>
        <w:rPr>
          <w:rFonts w:hint="eastAsia" w:ascii="方正小标宋_GBK" w:hAnsi="方正小标宋_GBK" w:eastAsia="方正小标宋_GBK" w:cs="方正小标宋_GBK"/>
          <w:bCs/>
          <w:kern w:val="2"/>
          <w:sz w:val="36"/>
          <w:szCs w:val="36"/>
          <w:lang w:val="en-US" w:eastAsia="zh-CN" w:bidi="ar"/>
        </w:rPr>
        <w:t>福建省文旅数创子基金管理机构资质合规自评表</w:t>
      </w:r>
      <w:r>
        <w:rPr>
          <w:rFonts w:hint="eastAsia" w:ascii="仿宋_GB2312" w:eastAsia="仿宋_GB2312" w:cs="仿宋_GB2312" w:hAnsiTheme="minorHAnsi"/>
          <w:b/>
          <w:bCs w:val="0"/>
          <w:kern w:val="2"/>
          <w:sz w:val="28"/>
          <w:szCs w:val="28"/>
          <w:lang w:val="en-US" w:eastAsia="zh-CN" w:bidi="ar"/>
        </w:rPr>
        <w:t xml:space="preserve"> </w:t>
      </w:r>
    </w:p>
    <w:p w14:paraId="44C28136">
      <w:pPr>
        <w:pStyle w:val="5"/>
        <w:rPr>
          <w:rFonts w:hint="eastAsia"/>
        </w:rPr>
      </w:pPr>
    </w:p>
    <w:p w14:paraId="4B0B3373">
      <w:pPr>
        <w:keepNext w:val="0"/>
        <w:keepLines w:val="0"/>
        <w:widowControl w:val="0"/>
        <w:suppressLineNumbers w:val="0"/>
        <w:spacing w:before="0" w:beforeAutospacing="0" w:after="0" w:afterAutospacing="0" w:line="560" w:lineRule="exact"/>
        <w:ind w:left="0" w:leftChars="0" w:right="0" w:firstLine="0" w:firstLineChars="0"/>
        <w:jc w:val="left"/>
        <w:rPr>
          <w:rFonts w:hint="eastAsia" w:ascii="仿宋_GB2312" w:eastAsia="仿宋_GB2312" w:cs="仿宋_GB2312"/>
          <w:b/>
          <w:bCs w:val="0"/>
          <w:kern w:val="2"/>
          <w:sz w:val="28"/>
          <w:szCs w:val="28"/>
        </w:rPr>
      </w:pPr>
      <w:r>
        <w:rPr>
          <w:rFonts w:hint="eastAsia" w:ascii="仿宋_GB2312" w:eastAsia="仿宋_GB2312" w:cs="仿宋_GB2312" w:hAnsiTheme="minorHAnsi"/>
          <w:b/>
          <w:bCs w:val="0"/>
          <w:kern w:val="2"/>
          <w:sz w:val="28"/>
          <w:szCs w:val="28"/>
          <w:lang w:val="en-US" w:eastAsia="zh-CN" w:bidi="ar"/>
        </w:rPr>
        <w:t>拟申报机构名称：</w:t>
      </w:r>
    </w:p>
    <w:p w14:paraId="434F0640">
      <w:pPr>
        <w:keepNext w:val="0"/>
        <w:keepLines w:val="0"/>
        <w:widowControl w:val="0"/>
        <w:suppressLineNumbers w:val="0"/>
        <w:autoSpaceDE w:val="0"/>
        <w:autoSpaceDN/>
        <w:spacing w:before="0" w:beforeAutospacing="0" w:after="0" w:afterAutospacing="0" w:line="280" w:lineRule="exact"/>
        <w:ind w:left="0" w:leftChars="0" w:right="0" w:firstLine="0" w:firstLineChars="0"/>
        <w:jc w:val="left"/>
        <w:rPr>
          <w:rFonts w:hint="eastAsia" w:ascii="仿宋_GB2312" w:eastAsia="仿宋_GB2312" w:cs="仿宋_GB2312"/>
          <w:b/>
          <w:bCs w:val="0"/>
          <w:kern w:val="2"/>
          <w:sz w:val="28"/>
          <w:szCs w:val="28"/>
        </w:rPr>
      </w:pPr>
      <w:r>
        <w:rPr>
          <w:rFonts w:hint="eastAsia" w:ascii="仿宋_GB2312" w:eastAsia="仿宋_GB2312" w:cs="仿宋_GB2312" w:hAnsiTheme="minorHAnsi"/>
          <w:b/>
          <w:bCs w:val="0"/>
          <w:kern w:val="2"/>
          <w:sz w:val="28"/>
          <w:szCs w:val="28"/>
          <w:lang w:val="en-US" w:eastAsia="zh-CN" w:bidi="ar"/>
        </w:rPr>
        <w:t xml:space="preserve"> </w:t>
      </w:r>
    </w:p>
    <w:p w14:paraId="0E3C444A">
      <w:pPr>
        <w:pStyle w:val="2"/>
        <w:keepNext w:val="0"/>
        <w:keepLines w:val="0"/>
        <w:pageBreakBefore w:val="0"/>
        <w:widowControl/>
        <w:kinsoku/>
        <w:wordWrap/>
        <w:overflowPunct/>
        <w:topLinePunct w:val="0"/>
        <w:autoSpaceDE/>
        <w:autoSpaceDN/>
        <w:bidi w:val="0"/>
        <w:adjustRightInd/>
        <w:snapToGrid w:val="0"/>
        <w:spacing w:beforeAutospacing="0" w:afterAutospacing="0"/>
        <w:ind w:firstLine="643" w:firstLineChars="200"/>
        <w:textAlignment w:val="auto"/>
        <w:rPr>
          <w:rFonts w:hint="eastAsia" w:ascii="仿宋_GB2312" w:hAnsi="仿宋_GB2312" w:eastAsia="黑体" w:cs="Times New Roman"/>
          <w:bCs/>
          <w:kern w:val="44"/>
          <w:sz w:val="32"/>
          <w:szCs w:val="32"/>
          <w:highlight w:val="none"/>
        </w:rPr>
      </w:pPr>
      <w:r>
        <w:rPr>
          <w:rFonts w:hint="eastAsia" w:ascii="黑体" w:hAnsi="宋体" w:eastAsia="黑体" w:cs="黑体"/>
          <w:bCs/>
          <w:kern w:val="44"/>
          <w:sz w:val="32"/>
          <w:szCs w:val="32"/>
          <w:highlight w:val="none"/>
        </w:rPr>
        <w:t>一、申报机构要求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28"/>
        <w:gridCol w:w="4929"/>
        <w:gridCol w:w="1310"/>
        <w:gridCol w:w="1589"/>
      </w:tblGrid>
      <w:tr w14:paraId="7C4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6" w:hRule="atLeast"/>
          <w:jc w:val="center"/>
        </w:trPr>
        <w:tc>
          <w:tcPr>
            <w:tcW w:w="33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AA6B2">
            <w:pPr>
              <w:pStyle w:val="8"/>
              <w:widowControl/>
              <w:jc w:val="center"/>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项目</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70B3A0FD">
            <w:pPr>
              <w:pStyle w:val="8"/>
              <w:widowControl/>
              <w:jc w:val="center"/>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是否符合</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0919E57">
            <w:pPr>
              <w:pStyle w:val="8"/>
              <w:widowControl/>
              <w:jc w:val="center"/>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情况说明</w:t>
            </w:r>
          </w:p>
        </w:tc>
      </w:tr>
      <w:tr w14:paraId="46A1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restart"/>
            <w:tcBorders>
              <w:top w:val="nil"/>
              <w:left w:val="single" w:color="auto" w:sz="4" w:space="0"/>
              <w:right w:val="single" w:color="auto" w:sz="4" w:space="0"/>
            </w:tcBorders>
            <w:shd w:val="clear" w:color="auto" w:fill="auto"/>
            <w:vAlign w:val="center"/>
          </w:tcPr>
          <w:p w14:paraId="0E764833">
            <w:pPr>
              <w:pStyle w:val="8"/>
              <w:widowControl/>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管理机构基本资质</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13B2CD80">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rPr>
              <w:t>1.依法设立的公司或合伙企业，实收资本不低于1000万元人民币，在中国证券投资基金业协会登记为私募股权、创业投资基金管理人。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0606F168">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672E9A9D">
            <w:pPr>
              <w:pStyle w:val="8"/>
              <w:widowControl/>
              <w:rPr>
                <w:rFonts w:hint="eastAsia" w:ascii="仿宋_GB2312" w:hAnsi="Times New Roman" w:eastAsia="仿宋_GB2312" w:cs="楷体"/>
                <w:kern w:val="0"/>
                <w:sz w:val="24"/>
                <w:szCs w:val="24"/>
              </w:rPr>
            </w:pPr>
          </w:p>
        </w:tc>
      </w:tr>
      <w:tr w14:paraId="4782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14:paraId="29840E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0EA065AE">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rPr>
              <w:t>2.至少有3名具备3年以上资产管理工作经验的高级管理人员。</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3F58A79B">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82301E1">
            <w:pPr>
              <w:pStyle w:val="8"/>
              <w:widowControl/>
              <w:rPr>
                <w:rFonts w:hint="eastAsia" w:ascii="仿宋_GB2312" w:hAnsi="Times New Roman" w:eastAsia="仿宋_GB2312" w:cs="楷体"/>
                <w:kern w:val="0"/>
                <w:sz w:val="24"/>
                <w:szCs w:val="24"/>
              </w:rPr>
            </w:pPr>
          </w:p>
        </w:tc>
      </w:tr>
      <w:tr w14:paraId="61D7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14:paraId="486165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0F1BA819">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rPr>
              <w:t>3.</w:t>
            </w:r>
            <w:r>
              <w:rPr>
                <w:rFonts w:hint="eastAsia" w:hAnsi="Times New Roman" w:cs="仿宋_GB2312"/>
                <w:kern w:val="0"/>
                <w:sz w:val="24"/>
                <w:szCs w:val="24"/>
                <w:lang w:eastAsia="zh-CN"/>
              </w:rPr>
              <w:t>子基金</w:t>
            </w:r>
            <w:r>
              <w:rPr>
                <w:rFonts w:hint="eastAsia" w:ascii="仿宋_GB2312" w:hAnsi="Times New Roman" w:eastAsia="仿宋_GB2312" w:cs="仿宋_GB2312"/>
                <w:kern w:val="0"/>
                <w:sz w:val="24"/>
                <w:szCs w:val="24"/>
              </w:rPr>
              <w:t>管理机构及其董事、监事、高级管理人员及其他从业人员在最近三年无重大违法行为。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B67A605">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8A8EF3E">
            <w:pPr>
              <w:pStyle w:val="8"/>
              <w:widowControl/>
              <w:rPr>
                <w:rFonts w:hint="eastAsia" w:ascii="仿宋_GB2312" w:hAnsi="Times New Roman" w:eastAsia="仿宋_GB2312" w:cs="楷体"/>
                <w:kern w:val="0"/>
                <w:sz w:val="24"/>
                <w:szCs w:val="24"/>
              </w:rPr>
            </w:pPr>
          </w:p>
        </w:tc>
      </w:tr>
      <w:tr w14:paraId="33E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14:paraId="1E82DE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476F9A82">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rPr>
              <w:t>4.有符合要求的营业场所、安全防范设施和与基金管理业务有关的其他设施。</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5AED78BB">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7680F1D9">
            <w:pPr>
              <w:pStyle w:val="8"/>
              <w:widowControl/>
              <w:rPr>
                <w:rFonts w:hint="eastAsia" w:ascii="仿宋_GB2312" w:hAnsi="Times New Roman" w:eastAsia="仿宋_GB2312" w:cs="楷体"/>
                <w:kern w:val="0"/>
                <w:sz w:val="24"/>
                <w:szCs w:val="24"/>
              </w:rPr>
            </w:pPr>
          </w:p>
        </w:tc>
      </w:tr>
      <w:tr w14:paraId="1FEE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14:paraId="13C6A7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57E28D21">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rPr>
              <w:t>5.有良好的内部治理结构和风险控制制度。</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A7E0D00">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4826A5A">
            <w:pPr>
              <w:pStyle w:val="8"/>
              <w:widowControl/>
              <w:rPr>
                <w:rFonts w:hint="eastAsia" w:ascii="仿宋_GB2312" w:hAnsi="Times New Roman" w:eastAsia="仿宋_GB2312" w:cs="楷体"/>
                <w:kern w:val="0"/>
                <w:sz w:val="24"/>
                <w:szCs w:val="24"/>
              </w:rPr>
            </w:pPr>
          </w:p>
        </w:tc>
      </w:tr>
      <w:tr w14:paraId="6C27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bottom w:val="single" w:color="auto" w:sz="4" w:space="0"/>
              <w:right w:val="single" w:color="auto" w:sz="4" w:space="0"/>
            </w:tcBorders>
            <w:shd w:val="clear" w:color="auto" w:fill="auto"/>
            <w:vAlign w:val="center"/>
          </w:tcPr>
          <w:p w14:paraId="5C9EB3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49074773">
            <w:pPr>
              <w:pStyle w:val="8"/>
              <w:widowControl/>
              <w:jc w:val="left"/>
              <w:rPr>
                <w:rFonts w:hint="default" w:ascii="仿宋_GB2312" w:hAnsi="Times New Roman" w:eastAsia="仿宋_GB2312" w:cs="仿宋_GB2312"/>
                <w:kern w:val="0"/>
                <w:sz w:val="24"/>
                <w:szCs w:val="24"/>
                <w:lang w:val="en-US" w:eastAsia="zh-CN"/>
              </w:rPr>
            </w:pPr>
            <w:r>
              <w:rPr>
                <w:rFonts w:hint="eastAsia" w:hAnsi="Times New Roman" w:cs="仿宋_GB2312"/>
                <w:kern w:val="0"/>
                <w:sz w:val="24"/>
                <w:szCs w:val="24"/>
                <w:lang w:val="en-US" w:eastAsia="zh-CN"/>
              </w:rPr>
              <w:t>6.法律法规规定的其他条件和基金发起人认为应当具备的其他条件。</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0196621E">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1320A89">
            <w:pPr>
              <w:pStyle w:val="8"/>
              <w:widowControl/>
              <w:rPr>
                <w:rFonts w:hint="eastAsia" w:ascii="仿宋_GB2312" w:hAnsi="Times New Roman" w:eastAsia="仿宋_GB2312" w:cs="楷体"/>
                <w:kern w:val="0"/>
                <w:sz w:val="24"/>
                <w:szCs w:val="24"/>
              </w:rPr>
            </w:pPr>
          </w:p>
        </w:tc>
      </w:tr>
      <w:tr w14:paraId="50A5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109DF588">
            <w:pPr>
              <w:pStyle w:val="8"/>
              <w:widowControl/>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管理机构出资情况</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090E9318">
            <w:pPr>
              <w:pStyle w:val="8"/>
              <w:widowControl/>
              <w:jc w:val="left"/>
              <w:rPr>
                <w:rFonts w:hint="eastAsia" w:ascii="仿宋_GB2312" w:hAnsi="Times New Roman" w:eastAsia="仿宋_GB2312" w:cs="楷体"/>
                <w:kern w:val="0"/>
                <w:sz w:val="24"/>
                <w:szCs w:val="24"/>
              </w:rPr>
            </w:pPr>
            <w:r>
              <w:rPr>
                <w:rFonts w:hint="eastAsia" w:hAnsi="Times New Roman" w:cs="楷体"/>
                <w:kern w:val="0"/>
                <w:sz w:val="24"/>
                <w:szCs w:val="24"/>
                <w:lang w:eastAsia="zh-CN"/>
              </w:rPr>
              <w:t>子</w:t>
            </w:r>
            <w:r>
              <w:rPr>
                <w:rFonts w:hint="eastAsia" w:hAnsi="Times New Roman"/>
              </w:rPr>
              <w:t>基金管理机构及其关联方出资不低于10%，其中</w:t>
            </w:r>
            <w:r>
              <w:rPr>
                <w:rFonts w:hint="eastAsia" w:hAnsi="Times New Roman"/>
                <w:lang w:val="en-US" w:eastAsia="zh-CN"/>
              </w:rPr>
              <w:t>子</w:t>
            </w:r>
            <w:r>
              <w:rPr>
                <w:rFonts w:hint="eastAsia" w:hAnsi="Times New Roman"/>
              </w:rPr>
              <w:t>基金管理机构出资不低于1%</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EFB427A">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0C6D7EDD">
            <w:pPr>
              <w:pStyle w:val="8"/>
              <w:widowControl/>
              <w:rPr>
                <w:rFonts w:hint="eastAsia" w:ascii="仿宋_GB2312" w:hAnsi="Times New Roman" w:eastAsia="仿宋_GB2312" w:cs="楷体"/>
                <w:kern w:val="0"/>
                <w:sz w:val="24"/>
                <w:szCs w:val="24"/>
              </w:rPr>
            </w:pPr>
          </w:p>
        </w:tc>
      </w:tr>
      <w:tr w14:paraId="1678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20CD2960">
            <w:pPr>
              <w:pStyle w:val="8"/>
              <w:widowControl/>
              <w:rPr>
                <w:rFonts w:hint="eastAsia" w:ascii="仿宋_GB2312" w:hAnsi="Times New Roman" w:eastAsia="仿宋_GB2312" w:cs="楷体"/>
                <w:b/>
                <w:bCs/>
                <w:kern w:val="0"/>
                <w:sz w:val="24"/>
                <w:szCs w:val="24"/>
              </w:rPr>
            </w:pPr>
            <w:r>
              <w:rPr>
                <w:rFonts w:hint="eastAsia" w:ascii="仿宋_GB2312" w:hAnsi="Times New Roman" w:eastAsia="仿宋_GB2312" w:cs="仿宋_GB2312"/>
                <w:b/>
                <w:bCs/>
                <w:kern w:val="0"/>
                <w:sz w:val="24"/>
                <w:szCs w:val="24"/>
              </w:rPr>
              <w:t>管理机构募资能力</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14:paraId="26A52E82">
            <w:pPr>
              <w:pStyle w:val="8"/>
              <w:widowControl/>
              <w:jc w:val="left"/>
              <w:rPr>
                <w:rFonts w:hint="eastAsia" w:ascii="仿宋_GB2312" w:hAnsi="Times New Roman" w:eastAsia="仿宋_GB2312" w:cs="楷体"/>
                <w:kern w:val="0"/>
                <w:sz w:val="24"/>
                <w:szCs w:val="24"/>
              </w:rPr>
            </w:pPr>
            <w:r>
              <w:rPr>
                <w:rFonts w:hint="eastAsia" w:ascii="仿宋_GB2312" w:hAnsi="Times New Roman" w:eastAsia="仿宋_GB2312" w:cs="楷体"/>
                <w:kern w:val="0"/>
                <w:sz w:val="24"/>
                <w:szCs w:val="24"/>
                <w:lang w:eastAsia="zh-CN"/>
              </w:rPr>
              <w:t>子基金管理机构应提交募资能力证明材料。在提交子基金申报方案时，需至少已经募集到拟设立子基金首期认缴规模的30%资金（不含中文投母基金、省级母基金及省属文化企业出资部分），并提供不少于前述规模的出资承诺函或其他出资证明文件（需包含子基金管理机构及其关联方出资不低于10%，子基金管理机构出资不低于1%的证明文件）</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7BC59AA7">
            <w:pPr>
              <w:pStyle w:val="8"/>
              <w:widowControl/>
              <w:rPr>
                <w:rFonts w:hint="eastAsia" w:ascii="仿宋_GB2312" w:hAnsi="Times New Roman" w:eastAsia="仿宋_GB2312" w:cs="楷体"/>
                <w:kern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7D439AA0">
            <w:pPr>
              <w:pStyle w:val="8"/>
              <w:widowControl/>
              <w:rPr>
                <w:rFonts w:hint="eastAsia" w:ascii="仿宋_GB2312" w:hAnsi="Times New Roman" w:eastAsia="仿宋_GB2312" w:cs="楷体"/>
                <w:kern w:val="0"/>
                <w:sz w:val="24"/>
                <w:szCs w:val="24"/>
              </w:rPr>
            </w:pPr>
          </w:p>
        </w:tc>
      </w:tr>
    </w:tbl>
    <w:p w14:paraId="77A49917">
      <w:pPr>
        <w:pStyle w:val="4"/>
        <w:widowControl/>
        <w:rPr>
          <w:rFonts w:hint="eastAsia" w:ascii="黑体" w:hAnsi="宋体" w:eastAsia="黑体" w:cs="黑体"/>
          <w:bCs/>
          <w:kern w:val="44"/>
          <w:sz w:val="32"/>
          <w:szCs w:val="32"/>
        </w:rPr>
      </w:pPr>
      <w:r>
        <w:rPr>
          <w:rFonts w:hint="eastAsia" w:ascii="仿宋_GB2312" w:eastAsia="仿宋_GB2312" w:cs="仿宋_GB2312"/>
          <w:kern w:val="2"/>
          <w:sz w:val="24"/>
          <w:szCs w:val="24"/>
        </w:rPr>
        <w:t>注：申报机构应开展合规性自评，并在是否符合一栏填写“√”或“х”，需要进一步说明的事项请填写在情况说明栏内。</w:t>
      </w:r>
    </w:p>
    <w:p w14:paraId="14FCC5EB">
      <w:pPr>
        <w:pStyle w:val="2"/>
        <w:widowControl/>
        <w:ind w:left="0" w:firstLine="643" w:firstLineChars="200"/>
        <w:rPr>
          <w:rFonts w:hint="eastAsia" w:ascii="仿宋_GB2312" w:hAnsi="仿宋_GB2312" w:eastAsia="黑体" w:cs="Times New Roman"/>
          <w:bCs/>
          <w:kern w:val="44"/>
          <w:sz w:val="32"/>
          <w:szCs w:val="32"/>
        </w:rPr>
      </w:pPr>
      <w:r>
        <w:rPr>
          <w:rFonts w:hint="eastAsia" w:ascii="黑体" w:hAnsi="宋体" w:eastAsia="黑体" w:cs="黑体"/>
          <w:bCs/>
          <w:kern w:val="44"/>
          <w:sz w:val="32"/>
          <w:szCs w:val="32"/>
        </w:rPr>
        <w:t>二、</w:t>
      </w:r>
      <w:r>
        <w:rPr>
          <w:rFonts w:hint="eastAsia" w:ascii="黑体" w:eastAsia="黑体" w:cs="黑体"/>
          <w:bCs/>
          <w:kern w:val="44"/>
          <w:sz w:val="32"/>
          <w:szCs w:val="32"/>
          <w:lang w:eastAsia="zh-CN"/>
        </w:rPr>
        <w:t>子基金</w:t>
      </w:r>
      <w:r>
        <w:rPr>
          <w:rFonts w:hint="eastAsia" w:ascii="黑体" w:hAnsi="宋体" w:eastAsia="黑体" w:cs="黑体"/>
          <w:bCs/>
          <w:kern w:val="44"/>
          <w:sz w:val="32"/>
          <w:szCs w:val="32"/>
        </w:rPr>
        <w:t>设立要求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04ED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3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28758">
            <w:pPr>
              <w:pStyle w:val="8"/>
              <w:widowControl/>
              <w:jc w:val="center"/>
              <w:rPr>
                <w:rFonts w:hint="eastAsia" w:ascii="仿宋_GB2312" w:hAnsi="Times New Roman" w:eastAsia="仿宋_GB2312" w:cs="仿宋_GB2312"/>
                <w:b/>
                <w:bCs w:val="0"/>
                <w:kern w:val="0"/>
                <w:sz w:val="22"/>
                <w:szCs w:val="22"/>
              </w:rPr>
            </w:pPr>
            <w:r>
              <w:rPr>
                <w:rFonts w:hint="eastAsia" w:ascii="仿宋_GB2312" w:hAnsi="Times New Roman" w:eastAsia="仿宋_GB2312" w:cs="仿宋_GB2312"/>
                <w:b/>
                <w:bCs/>
                <w:kern w:val="0"/>
                <w:sz w:val="24"/>
                <w:szCs w:val="24"/>
              </w:rPr>
              <w:t>基金要素</w:t>
            </w:r>
          </w:p>
        </w:tc>
      </w:tr>
      <w:tr w14:paraId="1FE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3C981A">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lang w:val="en-US" w:eastAsia="zh-CN" w:bidi="ar"/>
              </w:rPr>
              <w:t>1.子基金首期认缴规模不低于20亿元。</w:t>
            </w:r>
          </w:p>
        </w:tc>
      </w:tr>
      <w:tr w14:paraId="1B15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A3D48A">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lang w:val="en-US" w:eastAsia="zh-CN" w:bidi="ar"/>
              </w:rPr>
              <w:t>2.原则上中文投母基金出资比例不超过子基金认缴规模的30%、省级母基金出资比例不超过子基金认缴规模的30%。</w:t>
            </w:r>
          </w:p>
        </w:tc>
      </w:tr>
      <w:tr w14:paraId="1A4B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7671B4">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lang w:val="en-US" w:eastAsia="zh-CN" w:bidi="ar"/>
              </w:rPr>
              <w:t>3.子基金注册地应为福建省内。</w:t>
            </w:r>
          </w:p>
        </w:tc>
      </w:tr>
      <w:tr w14:paraId="51BB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5071E0">
            <w:pPr>
              <w:keepNext w:val="0"/>
              <w:keepLines w:val="0"/>
              <w:widowControl w:val="0"/>
              <w:suppressLineNumbers w:val="0"/>
              <w:spacing w:before="0" w:beforeAutospacing="0" w:after="0" w:afterAutospacing="0" w:line="360" w:lineRule="exact"/>
              <w:ind w:left="0" w:leftChars="0" w:right="0" w:firstLine="0" w:firstLineChars="0"/>
              <w:jc w:val="both"/>
              <w:rPr>
                <w:rFonts w:hint="default" w:ascii="仿宋_GB2312" w:hAnsi="Times New Roman" w:eastAsia="仿宋_GB2312" w:cs="仿宋_GB2312"/>
                <w:kern w:val="0"/>
                <w:sz w:val="24"/>
                <w:szCs w:val="24"/>
                <w:lang w:val="en-US" w:eastAsia="zh-CN" w:bidi="ar"/>
              </w:rPr>
            </w:pPr>
            <w:r>
              <w:rPr>
                <w:rFonts w:hint="eastAsia" w:ascii="仿宋_GB2312" w:hAnsi="Times New Roman" w:eastAsia="仿宋_GB2312" w:cs="仿宋_GB2312"/>
                <w:kern w:val="0"/>
                <w:sz w:val="24"/>
                <w:szCs w:val="24"/>
                <w:lang w:val="en-US" w:eastAsia="zh-CN" w:bidi="ar"/>
              </w:rPr>
              <w:t>4.</w:t>
            </w:r>
            <w:r>
              <w:rPr>
                <w:rFonts w:hint="eastAsia" w:ascii="仿宋_GB2312" w:hAnsi="Times New Roman" w:eastAsia="仿宋_GB2312" w:cs="仿宋_GB2312"/>
                <w:kern w:val="0"/>
                <w:sz w:val="24"/>
                <w:lang w:bidi="ar"/>
              </w:rPr>
              <w:t>子基金投资于“文化+”及相关产业的投资金额累计不低于子基金实缴出资额的60%</w:t>
            </w:r>
            <w:r>
              <w:rPr>
                <w:rFonts w:hint="eastAsia" w:ascii="仿宋_GB2312" w:hAnsi="Times New Roman" w:eastAsia="仿宋_GB2312" w:cs="仿宋_GB2312"/>
                <w:kern w:val="0"/>
                <w:sz w:val="24"/>
                <w:szCs w:val="24"/>
                <w:lang w:val="en-US" w:eastAsia="zh-CN" w:bidi="ar"/>
              </w:rPr>
              <w:t>。</w:t>
            </w:r>
          </w:p>
        </w:tc>
      </w:tr>
      <w:tr w14:paraId="0B57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59E6F">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lang w:val="en-US" w:eastAsia="zh-CN" w:bidi="ar"/>
              </w:rPr>
              <w:t>5.子基金投资于福建省内的资金原则上不低于福建省各级政府出资额的1倍。</w:t>
            </w:r>
          </w:p>
        </w:tc>
      </w:tr>
      <w:tr w14:paraId="068C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D927F6">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楷体"/>
                <w:kern w:val="0"/>
                <w:sz w:val="24"/>
                <w:szCs w:val="24"/>
              </w:rPr>
            </w:pPr>
            <w:r>
              <w:rPr>
                <w:rFonts w:hint="eastAsia" w:ascii="仿宋_GB2312" w:hAnsi="Times New Roman" w:eastAsia="仿宋_GB2312" w:cs="仿宋_GB2312"/>
                <w:kern w:val="0"/>
                <w:sz w:val="24"/>
                <w:szCs w:val="24"/>
                <w:lang w:val="en-US" w:eastAsia="zh-CN" w:bidi="ar"/>
              </w:rPr>
              <w:t>6.子基金接受绩效评价，结果与</w:t>
            </w:r>
            <w:r>
              <w:rPr>
                <w:rFonts w:hint="eastAsia" w:ascii="仿宋_GB2312" w:hAnsi="Times New Roman" w:eastAsia="仿宋_GB2312" w:cs="仿宋_GB2312"/>
                <w:kern w:val="0"/>
                <w:sz w:val="24"/>
                <w:lang w:bidi="ar"/>
              </w:rPr>
              <w:t>省级母基金及省属文化企业出资份额对应</w:t>
            </w:r>
            <w:r>
              <w:rPr>
                <w:rFonts w:hint="eastAsia" w:ascii="仿宋_GB2312" w:hAnsi="Times New Roman" w:eastAsia="仿宋_GB2312" w:cs="仿宋_GB2312"/>
                <w:kern w:val="0"/>
                <w:sz w:val="24"/>
                <w:szCs w:val="24"/>
                <w:lang w:val="en-US" w:eastAsia="zh-CN" w:bidi="ar"/>
              </w:rPr>
              <w:t>的管理费（含执行事务合伙人费用等）、业绩报酬及后续出资安排挂钩。</w:t>
            </w:r>
          </w:p>
        </w:tc>
      </w:tr>
      <w:tr w14:paraId="443D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E95CD7">
            <w:pPr>
              <w:keepNext w:val="0"/>
              <w:keepLines w:val="0"/>
              <w:widowControl w:val="0"/>
              <w:suppressLineNumbers w:val="0"/>
              <w:spacing w:before="0" w:beforeAutospacing="0" w:after="0" w:afterAutospacing="0" w:line="360" w:lineRule="exact"/>
              <w:ind w:left="0" w:leftChars="0" w:right="0" w:firstLine="0" w:firstLineChars="0"/>
              <w:jc w:val="both"/>
              <w:rPr>
                <w:rFonts w:hint="default" w:ascii="仿宋_GB2312" w:hAnsi="Times New Roman" w:eastAsia="仿宋_GB2312" w:cs="仿宋_GB2312"/>
                <w:kern w:val="0"/>
                <w:sz w:val="24"/>
                <w:szCs w:val="24"/>
                <w:lang w:val="en-US" w:eastAsia="zh-CN" w:bidi="ar"/>
              </w:rPr>
            </w:pPr>
            <w:r>
              <w:rPr>
                <w:rFonts w:hint="eastAsia" w:ascii="仿宋_GB2312" w:hAnsi="Times New Roman" w:eastAsia="仿宋_GB2312" w:cs="仿宋_GB2312"/>
                <w:kern w:val="0"/>
                <w:sz w:val="24"/>
                <w:szCs w:val="24"/>
                <w:highlight w:val="none"/>
                <w:lang w:val="en-US" w:eastAsia="zh-CN" w:bidi="ar"/>
              </w:rPr>
              <w:t>7.</w:t>
            </w:r>
            <w:r>
              <w:rPr>
                <w:rFonts w:hint="eastAsia" w:ascii="仿宋_GB2312" w:hAnsi="Times New Roman" w:eastAsia="仿宋_GB2312" w:cs="楷体"/>
                <w:kern w:val="0"/>
                <w:sz w:val="24"/>
                <w:szCs w:val="24"/>
                <w:highlight w:val="none"/>
                <w:lang w:val="en-US" w:eastAsia="zh-CN"/>
              </w:rPr>
              <w:t>鼓励子基金管理机构和投资管理团队在我省落户。子基金设立后半年内需在福建省设有固定办公场所，至少有2名专业投资人员常驻办公。</w:t>
            </w:r>
          </w:p>
        </w:tc>
      </w:tr>
      <w:tr w14:paraId="736C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8AA37A">
            <w:pPr>
              <w:keepNext w:val="0"/>
              <w:keepLines w:val="0"/>
              <w:widowControl w:val="0"/>
              <w:suppressLineNumbers w:val="0"/>
              <w:spacing w:before="0" w:beforeAutospacing="0" w:after="0" w:afterAutospacing="0" w:line="360" w:lineRule="exact"/>
              <w:ind w:left="0" w:leftChars="0" w:right="0" w:firstLine="0" w:firstLineChars="0"/>
              <w:jc w:val="both"/>
              <w:rPr>
                <w:rFonts w:hint="default" w:ascii="仿宋_GB2312" w:hAnsi="Times New Roman" w:eastAsia="仿宋_GB2312" w:cs="仿宋_GB2312"/>
                <w:kern w:val="0"/>
                <w:sz w:val="24"/>
                <w:szCs w:val="24"/>
                <w:highlight w:val="none"/>
                <w:lang w:val="en-US" w:eastAsia="zh-CN" w:bidi="ar"/>
              </w:rPr>
            </w:pPr>
            <w:r>
              <w:rPr>
                <w:rFonts w:hint="eastAsia" w:ascii="仿宋_GB2312" w:hAnsi="Times New Roman" w:eastAsia="仿宋_GB2312" w:cs="仿宋_GB2312"/>
                <w:kern w:val="0"/>
                <w:sz w:val="24"/>
                <w:szCs w:val="24"/>
                <w:highlight w:val="none"/>
                <w:lang w:val="en-US" w:eastAsia="zh-CN" w:bidi="ar"/>
              </w:rPr>
              <w:t>8.子基金管理机构若采用管理机构与普通合伙人分离架构的，鼓励子基金管理机构与出资本基金的省属企业合作设立普通合伙人。</w:t>
            </w:r>
          </w:p>
        </w:tc>
      </w:tr>
      <w:tr w14:paraId="5EEF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1DDF4C">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仿宋_GB2312"/>
                <w:kern w:val="0"/>
                <w:sz w:val="24"/>
                <w:szCs w:val="24"/>
                <w:highlight w:val="none"/>
                <w:lang w:val="en-US" w:eastAsia="zh-CN" w:bidi="ar"/>
              </w:rPr>
            </w:pPr>
            <w:r>
              <w:rPr>
                <w:rFonts w:hint="eastAsia" w:ascii="仿宋_GB2312" w:hAnsi="Times New Roman" w:eastAsia="仿宋_GB2312" w:cs="仿宋_GB2312"/>
                <w:kern w:val="0"/>
                <w:sz w:val="24"/>
                <w:szCs w:val="24"/>
                <w:highlight w:val="none"/>
                <w:lang w:val="en-US" w:eastAsia="zh-CN" w:bidi="ar"/>
              </w:rPr>
              <w:t>9.同一基金管理机构、基金管理机构负责人为同一人或者存在控股关系的不同机构限申报一个基金设立方案。</w:t>
            </w:r>
          </w:p>
        </w:tc>
      </w:tr>
      <w:tr w14:paraId="5F2B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C184F">
            <w:pPr>
              <w:keepNext w:val="0"/>
              <w:keepLines w:val="0"/>
              <w:widowControl w:val="0"/>
              <w:suppressLineNumbers w:val="0"/>
              <w:spacing w:before="0" w:beforeAutospacing="0" w:after="0" w:afterAutospacing="0" w:line="360" w:lineRule="exact"/>
              <w:ind w:left="0" w:leftChars="0" w:right="0" w:firstLine="0" w:firstLineChars="0"/>
              <w:jc w:val="both"/>
              <w:rPr>
                <w:rFonts w:hint="eastAsia" w:ascii="仿宋_GB2312" w:hAnsi="Times New Roman" w:eastAsia="仿宋_GB2312" w:cs="仿宋_GB2312"/>
                <w:kern w:val="0"/>
                <w:sz w:val="24"/>
                <w:szCs w:val="24"/>
                <w:highlight w:val="none"/>
                <w:lang w:val="en-US" w:eastAsia="zh-CN" w:bidi="ar"/>
              </w:rPr>
            </w:pPr>
            <w:r>
              <w:rPr>
                <w:rFonts w:hint="eastAsia" w:ascii="仿宋_GB2312" w:hAnsi="Times New Roman" w:eastAsia="仿宋_GB2312" w:cs="仿宋_GB2312"/>
                <w:kern w:val="0"/>
                <w:sz w:val="24"/>
                <w:szCs w:val="24"/>
                <w:highlight w:val="none"/>
                <w:lang w:val="en-US" w:eastAsia="zh-CN" w:bidi="ar"/>
              </w:rPr>
              <w:t>10.不为已工商设立或设置双GP架构的子基金。</w:t>
            </w:r>
          </w:p>
        </w:tc>
      </w:tr>
    </w:tbl>
    <w:p w14:paraId="65D6D2D6">
      <w:pPr>
        <w:widowControl w:val="0"/>
        <w:ind w:firstLine="640"/>
        <w:rPr>
          <w:rFonts w:hint="eastAsia" w:ascii="仿宋_GB2312" w:eastAsia="仿宋_GB2312" w:cs="Times New Roman"/>
          <w:kern w:val="2"/>
          <w:sz w:val="32"/>
          <w:szCs w:val="32"/>
        </w:rPr>
      </w:pPr>
      <w:r>
        <w:rPr>
          <w:rFonts w:hint="eastAsia" w:ascii="仿宋_GB2312" w:eastAsia="仿宋_GB2312" w:cs="仿宋_GB2312" w:hAnsiTheme="minorHAnsi"/>
          <w:kern w:val="2"/>
          <w:sz w:val="32"/>
          <w:szCs w:val="32"/>
          <w:lang w:val="en-US" w:eastAsia="zh-CN" w:bidi="ar"/>
        </w:rPr>
        <w:t xml:space="preserve"> </w:t>
      </w:r>
      <w:r>
        <w:rPr>
          <w:rFonts w:hint="eastAsia" w:ascii="仿宋_GB2312" w:eastAsia="仿宋_GB2312" w:cs="Times New Roman"/>
          <w:kern w:val="2"/>
          <w:sz w:val="32"/>
          <w:szCs w:val="32"/>
        </w:rPr>
        <w:t xml:space="preserve"> </w:t>
      </w:r>
    </w:p>
    <w:p w14:paraId="625A5315">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我公司承诺上述内容真实、准确。我公司将按照上述</w:t>
      </w:r>
      <w:r>
        <w:rPr>
          <w:rFonts w:hint="eastAsia" w:ascii="仿宋_GB2312" w:eastAsia="仿宋_GB2312" w:cs="仿宋_GB2312"/>
          <w:kern w:val="2"/>
          <w:sz w:val="32"/>
          <w:szCs w:val="32"/>
          <w:lang w:val="en-US" w:eastAsia="zh-CN" w:bidi="ar"/>
        </w:rPr>
        <w:t>子</w:t>
      </w:r>
      <w:r>
        <w:rPr>
          <w:rFonts w:hint="eastAsia" w:ascii="仿宋_GB2312" w:eastAsia="仿宋_GB2312" w:cs="仿宋_GB2312" w:hAnsiTheme="minorHAnsi"/>
          <w:kern w:val="2"/>
          <w:sz w:val="32"/>
          <w:szCs w:val="32"/>
          <w:lang w:val="en-US" w:eastAsia="zh-CN" w:bidi="ar"/>
        </w:rPr>
        <w:t>基金设立要求设计子基金方案及签署后续协议，</w:t>
      </w:r>
      <w:r>
        <w:rPr>
          <w:rFonts w:hint="eastAsia" w:ascii="仿宋_GB2312" w:eastAsia="仿宋_GB2312" w:cs="仿宋_GB2312"/>
          <w:kern w:val="2"/>
          <w:sz w:val="32"/>
          <w:szCs w:val="32"/>
          <w:lang w:val="en-US" w:eastAsia="zh-CN" w:bidi="ar"/>
        </w:rPr>
        <w:t>子</w:t>
      </w:r>
      <w:r>
        <w:rPr>
          <w:rFonts w:hint="eastAsia" w:ascii="仿宋_GB2312" w:eastAsia="仿宋_GB2312" w:cs="仿宋_GB2312" w:hAnsiTheme="minorHAnsi"/>
          <w:kern w:val="2"/>
          <w:sz w:val="32"/>
          <w:szCs w:val="32"/>
          <w:lang w:val="en-US" w:eastAsia="zh-CN" w:bidi="ar"/>
        </w:rPr>
        <w:t>基金具体方案以正式提交的申报材料为准。</w:t>
      </w:r>
    </w:p>
    <w:p w14:paraId="23BE660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7DC6D8C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7B111FA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687F4E5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4B138B15">
      <w:pPr>
        <w:pStyle w:val="3"/>
        <w:widowControl/>
        <w:rPr>
          <w:rFonts w:hint="eastAsia" w:ascii="仿宋_GB2312" w:eastAsia="仿宋_GB2312" w:cs="Times New Roman"/>
          <w:kern w:val="2"/>
          <w:sz w:val="32"/>
          <w:szCs w:val="32"/>
        </w:rPr>
      </w:pPr>
      <w:r>
        <w:rPr>
          <w:rFonts w:hint="eastAsia" w:ascii="仿宋_GB2312" w:eastAsia="仿宋_GB2312" w:cs="Times New Roman"/>
          <w:kern w:val="2"/>
          <w:sz w:val="32"/>
          <w:szCs w:val="32"/>
        </w:rPr>
        <w:t xml:space="preserve"> </w:t>
      </w:r>
    </w:p>
    <w:p w14:paraId="066AABE0">
      <w:pPr>
        <w:keepNext w:val="0"/>
        <w:keepLines w:val="0"/>
        <w:widowControl w:val="0"/>
        <w:suppressLineNumbers w:val="0"/>
        <w:wordWrap w:val="0"/>
        <w:spacing w:before="0" w:beforeAutospacing="0" w:after="0" w:afterAutospacing="0" w:line="560" w:lineRule="exact"/>
        <w:ind w:left="0" w:right="0" w:firstLine="640" w:firstLineChars="200"/>
        <w:jc w:val="right"/>
        <w:rPr>
          <w:rFonts w:hint="eastAsia" w:ascii="仿宋_GB2312" w:eastAsia="仿宋_GB2312" w:cs="Times New Roman"/>
          <w:bCs/>
          <w:kern w:val="2"/>
          <w:sz w:val="32"/>
          <w:szCs w:val="32"/>
        </w:rPr>
      </w:pPr>
      <w:r>
        <w:rPr>
          <w:rFonts w:hint="eastAsia" w:ascii="仿宋_GB2312" w:eastAsia="仿宋_GB2312" w:cs="仿宋_GB2312" w:hAnsiTheme="minorHAnsi"/>
          <w:bCs/>
          <w:kern w:val="2"/>
          <w:sz w:val="32"/>
          <w:szCs w:val="32"/>
          <w:lang w:val="en-US" w:eastAsia="zh-CN" w:bidi="ar"/>
        </w:rPr>
        <w:t>申报机构（公章）：</w:t>
      </w:r>
      <w:r>
        <w:rPr>
          <w:rFonts w:hint="eastAsia" w:ascii="仿宋_GB2312" w:eastAsia="仿宋_GB2312" w:cs="Times New Roman" w:hAnsiTheme="minorHAnsi"/>
          <w:bCs/>
          <w:kern w:val="2"/>
          <w:sz w:val="32"/>
          <w:szCs w:val="32"/>
          <w:lang w:val="en-US" w:eastAsia="zh-CN" w:bidi="ar"/>
        </w:rPr>
        <w:t xml:space="preserve">          </w:t>
      </w:r>
    </w:p>
    <w:p w14:paraId="54776C7C">
      <w:pPr>
        <w:keepNext w:val="0"/>
        <w:keepLines w:val="0"/>
        <w:widowControl/>
        <w:suppressLineNumbers w:val="0"/>
        <w:topLinePunct/>
        <w:autoSpaceDE w:val="0"/>
        <w:autoSpaceDN/>
        <w:spacing w:before="0" w:beforeAutospacing="0" w:after="0" w:afterAutospacing="0" w:line="600" w:lineRule="exact"/>
        <w:ind w:left="0" w:right="0" w:firstLine="640" w:firstLineChars="200"/>
        <w:jc w:val="right"/>
        <w:rPr>
          <w:rFonts w:hint="eastAsia" w:ascii="仿宋_GB2312" w:eastAsia="仿宋_GB2312" w:cs="Times New Roman"/>
          <w:kern w:val="2"/>
          <w:sz w:val="32"/>
          <w:szCs w:val="32"/>
        </w:rPr>
      </w:pPr>
      <w:r>
        <w:rPr>
          <w:rFonts w:hint="eastAsia" w:ascii="仿宋_GB2312" w:eastAsia="仿宋_GB2312" w:cs="仿宋_GB2312" w:hAnsiTheme="minorHAnsi"/>
          <w:bCs/>
          <w:kern w:val="2"/>
          <w:sz w:val="32"/>
          <w:szCs w:val="32"/>
          <w:lang w:val="en-US" w:eastAsia="zh-CN" w:bidi="ar"/>
        </w:rPr>
        <w:t>日期：</w:t>
      </w:r>
      <w:r>
        <w:rPr>
          <w:rFonts w:hint="eastAsia" w:ascii="仿宋_GB2312" w:eastAsia="仿宋_GB2312" w:cs="Times New Roman" w:hAnsiTheme="minorHAnsi"/>
          <w:bCs/>
          <w:kern w:val="2"/>
          <w:sz w:val="32"/>
          <w:szCs w:val="32"/>
          <w:lang w:val="en-US" w:eastAsia="zh-CN" w:bidi="ar"/>
        </w:rPr>
        <w:t xml:space="preserve">    </w:t>
      </w:r>
      <w:r>
        <w:rPr>
          <w:rFonts w:hint="eastAsia" w:ascii="仿宋_GB2312" w:eastAsia="仿宋_GB2312" w:cs="仿宋_GB2312" w:hAnsiTheme="minorHAnsi"/>
          <w:bCs/>
          <w:kern w:val="2"/>
          <w:sz w:val="32"/>
          <w:szCs w:val="32"/>
          <w:lang w:val="en-US" w:eastAsia="zh-CN" w:bidi="ar"/>
        </w:rPr>
        <w:t>年</w:t>
      </w:r>
      <w:r>
        <w:rPr>
          <w:rFonts w:hint="eastAsia" w:ascii="仿宋_GB2312" w:eastAsia="仿宋_GB2312" w:cs="Times New Roman" w:hAnsiTheme="minorHAnsi"/>
          <w:bCs/>
          <w:kern w:val="2"/>
          <w:sz w:val="32"/>
          <w:szCs w:val="32"/>
          <w:lang w:val="en-US" w:eastAsia="zh-CN" w:bidi="ar"/>
        </w:rPr>
        <w:t xml:space="preserve">   </w:t>
      </w:r>
      <w:r>
        <w:rPr>
          <w:rFonts w:hint="eastAsia" w:ascii="仿宋_GB2312" w:eastAsia="仿宋_GB2312" w:cs="仿宋_GB2312" w:hAnsiTheme="minorHAnsi"/>
          <w:bCs/>
          <w:kern w:val="2"/>
          <w:sz w:val="32"/>
          <w:szCs w:val="32"/>
          <w:lang w:val="en-US" w:eastAsia="zh-CN" w:bidi="ar"/>
        </w:rPr>
        <w:t>月</w:t>
      </w:r>
      <w:r>
        <w:rPr>
          <w:rFonts w:hint="eastAsia" w:ascii="仿宋_GB2312" w:eastAsia="仿宋_GB2312" w:cs="Times New Roman" w:hAnsiTheme="minorHAnsi"/>
          <w:bCs/>
          <w:kern w:val="2"/>
          <w:sz w:val="32"/>
          <w:szCs w:val="32"/>
          <w:lang w:val="en-US" w:eastAsia="zh-CN" w:bidi="ar"/>
        </w:rPr>
        <w:t xml:space="preserve">   </w:t>
      </w:r>
      <w:r>
        <w:rPr>
          <w:rFonts w:hint="eastAsia" w:ascii="仿宋_GB2312" w:eastAsia="仿宋_GB2312" w:cs="仿宋_GB2312" w:hAnsiTheme="minorHAnsi"/>
          <w:bCs/>
          <w:kern w:val="2"/>
          <w:sz w:val="32"/>
          <w:szCs w:val="32"/>
          <w:lang w:val="en-US" w:eastAsia="zh-CN" w:bidi="ar"/>
        </w:rPr>
        <w:t>日</w:t>
      </w:r>
    </w:p>
    <w:p w14:paraId="6F426A90">
      <w:pPr>
        <w:pStyle w:val="5"/>
        <w:ind w:left="0" w:leftChars="0" w:firstLine="0" w:firstLineChars="0"/>
        <w:rPr>
          <w:rFonts w:hint="eastAsia"/>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1B33"/>
    <w:rsid w:val="06E45903"/>
    <w:rsid w:val="19D81B33"/>
    <w:rsid w:val="1D187DD7"/>
    <w:rsid w:val="370215C1"/>
    <w:rsid w:val="56A31EE4"/>
    <w:rsid w:val="7E5D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line="560" w:lineRule="exact"/>
      <w:ind w:left="0" w:right="0" w:firstLine="420" w:firstLineChars="200"/>
      <w:jc w:val="both"/>
    </w:pPr>
    <w:rPr>
      <w:rFonts w:hint="eastAsia" w:ascii="仿宋_GB2312" w:eastAsia="仿宋_GB2312" w:cs="Times New Roman"/>
      <w:kern w:val="2"/>
      <w:sz w:val="32"/>
      <w:szCs w:val="32"/>
      <w:lang w:val="en-US" w:eastAsia="zh-CN" w:bidi="ar"/>
    </w:rPr>
  </w:style>
  <w:style w:type="paragraph" w:styleId="4">
    <w:name w:val="annotation text"/>
    <w:basedOn w:val="1"/>
    <w:qFormat/>
    <w:uiPriority w:val="0"/>
    <w:pPr>
      <w:keepNext w:val="0"/>
      <w:keepLines w:val="0"/>
      <w:widowControl w:val="0"/>
      <w:suppressLineNumbers w:val="0"/>
      <w:spacing w:before="0" w:beforeAutospacing="0" w:after="0" w:afterAutospacing="0" w:line="400" w:lineRule="exact"/>
      <w:ind w:left="0" w:right="0" w:firstLine="0" w:firstLineChars="0"/>
      <w:jc w:val="left"/>
    </w:pPr>
    <w:rPr>
      <w:rFonts w:hint="eastAsia" w:ascii="仿宋_GB2312" w:eastAsia="仿宋_GB2312" w:cs="Times New Roman"/>
      <w:kern w:val="2"/>
      <w:sz w:val="24"/>
      <w:szCs w:val="24"/>
      <w:lang w:val="en-US" w:eastAsia="zh-CN" w:bidi="ar"/>
    </w:rPr>
  </w:style>
  <w:style w:type="paragraph" w:styleId="5">
    <w:name w:val="Body Text Indent 2"/>
    <w:basedOn w:val="1"/>
    <w:qFormat/>
    <w:uiPriority w:val="0"/>
    <w:pPr>
      <w:spacing w:line="360" w:lineRule="auto"/>
      <w:ind w:right="279" w:rightChars="133" w:firstLine="640" w:firstLineChars="200"/>
    </w:pPr>
    <w:rPr>
      <w:rFonts w:ascii="仿宋_GB2312" w:eastAsia="仿宋_GB2312"/>
      <w:sz w:val="32"/>
      <w:szCs w:val="32"/>
    </w:rPr>
  </w:style>
  <w:style w:type="paragraph" w:customStyle="1" w:styleId="8">
    <w:name w:val="Table Paragraph"/>
    <w:basedOn w:val="1"/>
    <w:qFormat/>
    <w:uiPriority w:val="0"/>
    <w:pPr>
      <w:keepNext w:val="0"/>
      <w:keepLines w:val="0"/>
      <w:widowControl w:val="0"/>
      <w:suppressLineNumbers w:val="0"/>
      <w:autoSpaceDE w:val="0"/>
      <w:autoSpaceDN w:val="0"/>
      <w:spacing w:before="0" w:beforeAutospacing="0" w:after="0" w:afterAutospacing="0" w:line="400" w:lineRule="exact"/>
      <w:ind w:left="0" w:right="0" w:firstLine="0" w:firstLineChars="0"/>
      <w:jc w:val="center"/>
    </w:pPr>
    <w:rPr>
      <w:rFonts w:hint="eastAsia" w:ascii="仿宋_GB2312" w:eastAsia="仿宋_GB2312" w:cs="楷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1054</Characters>
  <Lines>0</Lines>
  <Paragraphs>0</Paragraphs>
  <TotalTime>2</TotalTime>
  <ScaleCrop>false</ScaleCrop>
  <LinksUpToDate>false</LinksUpToDate>
  <CharactersWithSpaces>1083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2025-06-25T09:19:00Z</dcterms:created>
  <dc:creator>lenovo-L</dc:creator>
  <cp:lastModifiedBy>Lilyyyyy</cp:lastModifiedBy>
  <dcterms:modified xsi:type="dcterms:W3CDTF">2025-06-26T05:39:31Z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DE6D39274C83455BBD2F704A5387C2C4_13</vt:lpwstr>
  </property>
</Properties>
</file>