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2B6C" w14:textId="54BAE89E" w:rsidR="00B11465" w:rsidRPr="00B11465" w:rsidRDefault="00B11465" w:rsidP="00B11465">
      <w:pPr>
        <w:overflowPunct w:val="0"/>
        <w:snapToGrid w:val="0"/>
        <w:spacing w:line="600" w:lineRule="exact"/>
        <w:rPr>
          <w:rFonts w:ascii="Times New Roman" w:eastAsia="黑体" w:hAnsi="Times New Roman" w:cs="Times New Roman" w:hint="eastAsia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</w:p>
    <w:p w14:paraId="7E4FB1BC" w14:textId="77777777" w:rsidR="00B11465" w:rsidRDefault="00B11465" w:rsidP="00B11465">
      <w:pPr>
        <w:overflowPunct w:val="0"/>
        <w:snapToGrid w:val="0"/>
        <w:spacing w:line="600" w:lineRule="exact"/>
        <w:jc w:val="center"/>
        <w:rPr>
          <w:rFonts w:ascii="Times New Roman" w:eastAsia="方正小标宋_GBK" w:hAnsi="Times New Roman" w:cs="Times New Roman"/>
          <w:kern w:val="0"/>
          <w:sz w:val="40"/>
          <w:szCs w:val="40"/>
        </w:rPr>
      </w:pPr>
      <w:r>
        <w:rPr>
          <w:rFonts w:ascii="Times New Roman" w:eastAsia="方正小标宋_GBK" w:hAnsi="Times New Roman" w:cs="Times New Roman"/>
          <w:kern w:val="0"/>
          <w:sz w:val="40"/>
          <w:szCs w:val="40"/>
        </w:rPr>
        <w:t>子基金方案申报说明</w:t>
      </w:r>
    </w:p>
    <w:p w14:paraId="526281E4" w14:textId="77777777" w:rsidR="00B11465" w:rsidRDefault="00B11465" w:rsidP="00B11465">
      <w:pPr>
        <w:overflowPunct w:val="0"/>
        <w:snapToGrid w:val="0"/>
        <w:spacing w:line="60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32"/>
        </w:rPr>
      </w:pPr>
    </w:p>
    <w:p w14:paraId="281DE6C4" w14:textId="77777777" w:rsidR="00B11465" w:rsidRDefault="00B11465" w:rsidP="00B11465">
      <w:pPr>
        <w:overflowPunct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一、申报管理机构情况</w:t>
      </w:r>
    </w:p>
    <w:p w14:paraId="1E2AA600" w14:textId="77777777" w:rsidR="00B11465" w:rsidRDefault="00B11465" w:rsidP="00B11465">
      <w:pPr>
        <w:overflowPunct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（一）基本情况</w:t>
      </w:r>
    </w:p>
    <w:p w14:paraId="652F1BB3" w14:textId="77777777" w:rsidR="00B11465" w:rsidRDefault="00B11465" w:rsidP="00B11465">
      <w:pPr>
        <w:overflowPunct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主要阐述管理机构历史沿革、注册资本（含实缴情况）、机构性质（如：国有独资企业、国有绝对控股企业、国有相对控股企业、民营企业、外资企业及其他）、职工人数、股东情况（穿透至自然人）、治理架构、高级管理人员简介、基金管理团队人员简介、中基协管理人登记编号等情况。</w:t>
      </w:r>
    </w:p>
    <w:p w14:paraId="5B4689BA" w14:textId="77777777" w:rsidR="00B11465" w:rsidRDefault="00B11465" w:rsidP="00B11465">
      <w:pPr>
        <w:overflowPunct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（二）历史业绩</w:t>
      </w:r>
    </w:p>
    <w:p w14:paraId="3C1E8D65" w14:textId="77777777" w:rsidR="00B11465" w:rsidRDefault="00B11465" w:rsidP="00B11465">
      <w:pPr>
        <w:widowControl/>
        <w:ind w:firstLineChars="200" w:firstLine="640"/>
        <w:textAlignment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基金业绩：累计管理的各支基金情况，包括备案时间、存续期限、所处阶段（投资期、退出期、延长期、清算）、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DPI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MOIC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IRR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</w:p>
    <w:p w14:paraId="7B2339F3" w14:textId="77777777" w:rsidR="00B11465" w:rsidRDefault="00B11465" w:rsidP="00B11465">
      <w:pPr>
        <w:widowControl/>
        <w:ind w:firstLineChars="200" w:firstLine="640"/>
        <w:textAlignment w:val="center"/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投资业绩：累计投资项目个数、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拟设立基金投资领域已投项目个数、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累计退出项目个数、累计已退出项目平均收益率（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）等。</w:t>
      </w:r>
    </w:p>
    <w:p w14:paraId="11730C73" w14:textId="77777777" w:rsidR="00B11465" w:rsidRDefault="00B11465" w:rsidP="00B11465">
      <w:pPr>
        <w:overflowPunct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（三）投资布局湖南</w:t>
      </w:r>
    </w:p>
    <w:p w14:paraId="05B16448" w14:textId="77777777" w:rsidR="00B11465" w:rsidRDefault="00B11465" w:rsidP="00B11465">
      <w:pPr>
        <w:widowControl/>
        <w:ind w:firstLineChars="200" w:firstLine="640"/>
        <w:textAlignment w:val="center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已在湖南配备投资团队人员、累计在湖南投资项目个数及金额、计划返投湖南项目情况等。</w:t>
      </w:r>
    </w:p>
    <w:p w14:paraId="0160E318" w14:textId="77777777" w:rsidR="00B11465" w:rsidRDefault="00B11465" w:rsidP="00B11465">
      <w:pPr>
        <w:overflowPunct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二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母基金绩效评价与激励机制</w:t>
      </w:r>
    </w:p>
    <w:p w14:paraId="7CF4C763" w14:textId="77777777" w:rsidR="00B11465" w:rsidRDefault="00B11465" w:rsidP="00B1146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一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）绩效评价</w:t>
      </w:r>
    </w:p>
    <w:p w14:paraId="55921F98" w14:textId="77777777" w:rsidR="00B11465" w:rsidRDefault="00B11465" w:rsidP="00B1146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lastRenderedPageBreak/>
        <w:t>子</w:t>
      </w:r>
      <w:r>
        <w:rPr>
          <w:rFonts w:ascii="Times New Roman" w:eastAsia="仿宋_GB2312" w:hAnsi="Times New Roman" w:cs="Times New Roman"/>
          <w:sz w:val="32"/>
          <w:szCs w:val="32"/>
        </w:rPr>
        <w:t>基金管理机构应主动接受母基金管理人的绩效评价。绩效评价结果将与子基金后续合作、继续出资、管理费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提取</w:t>
      </w:r>
      <w:r>
        <w:rPr>
          <w:rFonts w:ascii="Times New Roman" w:eastAsia="仿宋_GB2312" w:hAnsi="Times New Roman" w:cs="Times New Roman"/>
          <w:sz w:val="32"/>
          <w:szCs w:val="32"/>
        </w:rPr>
        <w:t>、超额收益分成等挂钩。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子</w:t>
      </w:r>
      <w:r>
        <w:rPr>
          <w:rFonts w:ascii="Times New Roman" w:eastAsia="仿宋_GB2312" w:hAnsi="Times New Roman" w:cs="Times New Roman"/>
          <w:sz w:val="32"/>
          <w:szCs w:val="32"/>
        </w:rPr>
        <w:t>基金管理机构需积极配合母基金管理人开展全方面投后合作，包括但不限于分享优质项目跟投机会、团队培训等。绩效评价指标可根据子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基金</w:t>
      </w:r>
      <w:r>
        <w:rPr>
          <w:rFonts w:ascii="Times New Roman" w:eastAsia="仿宋_GB2312" w:hAnsi="Times New Roman" w:cs="Times New Roman"/>
          <w:sz w:val="32"/>
          <w:szCs w:val="32"/>
        </w:rPr>
        <w:t>实际情况进行调整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sz w:val="32"/>
          <w:szCs w:val="32"/>
        </w:rPr>
        <w:t>补充。</w:t>
      </w:r>
    </w:p>
    <w:p w14:paraId="61D2EE8C" w14:textId="77777777" w:rsidR="00B11465" w:rsidRDefault="00B11465" w:rsidP="00B1146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二</w:t>
      </w: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）转让机制</w:t>
      </w:r>
    </w:p>
    <w:p w14:paraId="74165303" w14:textId="77777777" w:rsidR="00B11465" w:rsidRDefault="00B11465" w:rsidP="00B11465">
      <w:pPr>
        <w:overflowPunct w:val="0"/>
        <w:spacing w:line="60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自母基金投资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</w:rPr>
        <w:t>子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基金之日起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年内，若子基金投资进度符合协议约定，且达到返投比例要求，子基金管理人或其他出资人有受让意愿时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母基金可随时退出，可按照原始投资价转让给受让人。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</w:rPr>
        <w:t>有多个受让人时，按照“价高者得”的原则转让。</w:t>
      </w:r>
    </w:p>
    <w:p w14:paraId="177B9859" w14:textId="77777777" w:rsidR="00B11465" w:rsidRDefault="00B11465" w:rsidP="00B1146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三</w:t>
      </w: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）回购机制</w:t>
      </w:r>
    </w:p>
    <w:p w14:paraId="7B90445A" w14:textId="77777777" w:rsidR="00B11465" w:rsidRDefault="00B11465" w:rsidP="00B11465">
      <w:pPr>
        <w:overflowPunct w:val="0"/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子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基金成立后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至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年内，</w:t>
      </w:r>
      <w:r>
        <w:rPr>
          <w:rFonts w:ascii="Times New Roman" w:eastAsia="仿宋_GB2312" w:hAnsi="Times New Roman" w:cs="Times New Roman"/>
          <w:sz w:val="32"/>
          <w:szCs w:val="32"/>
        </w:rPr>
        <w:t>若完成母基金管理方案及子基金合伙协议要求，可根据届时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子</w:t>
      </w:r>
      <w:r>
        <w:rPr>
          <w:rFonts w:ascii="Times New Roman" w:eastAsia="仿宋_GB2312" w:hAnsi="Times New Roman" w:cs="Times New Roman"/>
          <w:sz w:val="32"/>
          <w:szCs w:val="32"/>
        </w:rPr>
        <w:t>基金返投完成情况，由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子</w:t>
      </w:r>
      <w:r>
        <w:rPr>
          <w:rFonts w:ascii="Times New Roman" w:eastAsia="仿宋_GB2312" w:hAnsi="Times New Roman" w:cs="Times New Roman"/>
          <w:sz w:val="32"/>
          <w:szCs w:val="32"/>
        </w:rPr>
        <w:t>基金管理人及其他出资人申请回购母基金持有的部分基金份额。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回购价格不低于</w:t>
      </w:r>
      <w:r>
        <w:rPr>
          <w:rFonts w:ascii="Times New Roman" w:eastAsia="仿宋_GB2312" w:hAnsi="Times New Roman" w:cs="Times New Roman"/>
          <w:sz w:val="32"/>
          <w:szCs w:val="32"/>
        </w:rPr>
        <w:t>母基金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投资本金余额及央行公布的同期贷款市场报价利率（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LPR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）计算的收益之和。</w:t>
      </w:r>
    </w:p>
    <w:p w14:paraId="689B2F79" w14:textId="77777777" w:rsidR="00B11465" w:rsidRDefault="00B11465" w:rsidP="00B1146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四</w:t>
      </w: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）让利机制</w:t>
      </w:r>
    </w:p>
    <w:p w14:paraId="24791BB0" w14:textId="77777777" w:rsidR="00B11465" w:rsidRDefault="00B11465" w:rsidP="00B1146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子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基金采取项目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即退即分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和基金整体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先回本后分利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原则，在各合伙人收回全部实缴出资后，</w:t>
      </w:r>
      <w:r>
        <w:rPr>
          <w:rFonts w:ascii="Times New Roman" w:eastAsia="仿宋_GB2312" w:hAnsi="Times New Roman" w:cs="Times New Roman"/>
          <w:sz w:val="32"/>
          <w:szCs w:val="32"/>
        </w:rPr>
        <w:t>按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子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基金合伙协议约定</w:t>
      </w:r>
      <w:r>
        <w:rPr>
          <w:rFonts w:ascii="Times New Roman" w:eastAsia="仿宋_GB2312" w:hAnsi="Times New Roman" w:cs="Times New Roman"/>
          <w:sz w:val="32"/>
          <w:szCs w:val="32"/>
        </w:rPr>
        <w:t>，母基金可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将其投资于湖南项目所得</w:t>
      </w:r>
      <w:r>
        <w:rPr>
          <w:rFonts w:ascii="Times New Roman" w:eastAsia="仿宋_GB2312" w:hAnsi="Times New Roman" w:cs="Times New Roman"/>
          <w:sz w:val="32"/>
          <w:szCs w:val="32"/>
        </w:rPr>
        <w:t>的部分收益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让渡给满足要求的子基金管理人和其他出资人。</w:t>
      </w:r>
    </w:p>
    <w:p w14:paraId="5527E389" w14:textId="77777777" w:rsidR="00B11465" w:rsidRDefault="00B11465" w:rsidP="00B11465">
      <w:pPr>
        <w:overflowPunct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三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、基金运作方案</w:t>
      </w:r>
    </w:p>
    <w:p w14:paraId="7650EC3D" w14:textId="77777777" w:rsidR="00B11465" w:rsidRDefault="00B11465" w:rsidP="00B11465">
      <w:pPr>
        <w:overflowPunct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方案主要内容包括但不限于：</w:t>
      </w:r>
    </w:p>
    <w:p w14:paraId="1983C877" w14:textId="77777777" w:rsidR="00B11465" w:rsidRDefault="00B11465" w:rsidP="00B11465">
      <w:pPr>
        <w:overflowPunct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一</w:t>
      </w: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）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可行性论证</w:t>
      </w:r>
    </w:p>
    <w:p w14:paraId="6FAE2AB6" w14:textId="77777777" w:rsidR="00B11465" w:rsidRDefault="00B11465" w:rsidP="00B11465">
      <w:pPr>
        <w:overflowPunct w:val="0"/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明确子基金类型为综合类或专业类，</w:t>
      </w:r>
      <w:r>
        <w:rPr>
          <w:rFonts w:ascii="Times New Roman" w:eastAsia="仿宋_GB2312" w:hAnsi="Times New Roman" w:cs="Times New Roman"/>
          <w:sz w:val="32"/>
          <w:szCs w:val="32"/>
        </w:rPr>
        <w:t>结合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子</w:t>
      </w:r>
      <w:r>
        <w:rPr>
          <w:rFonts w:ascii="Times New Roman" w:eastAsia="仿宋_GB2312" w:hAnsi="Times New Roman" w:cs="Times New Roman"/>
          <w:sz w:val="32"/>
          <w:szCs w:val="32"/>
        </w:rPr>
        <w:t>基金定位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和投资领域，重点</w:t>
      </w:r>
      <w:r>
        <w:rPr>
          <w:rFonts w:ascii="Times New Roman" w:eastAsia="仿宋_GB2312" w:hAnsi="Times New Roman" w:cs="Times New Roman"/>
          <w:sz w:val="32"/>
          <w:szCs w:val="32"/>
        </w:rPr>
        <w:t>阐述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对应投资领域在湘落地的必要性和可行性，其投资布局与</w:t>
      </w:r>
      <w:r>
        <w:rPr>
          <w:rFonts w:ascii="Times New Roman" w:eastAsia="仿宋_GB2312" w:hAnsi="Times New Roman" w:cs="仿宋_GB2312" w:hint="eastAsia"/>
          <w:color w:val="000000"/>
          <w:sz w:val="31"/>
          <w:szCs w:val="31"/>
          <w:lang w:bidi="ar"/>
        </w:rPr>
        <w:t>现代化产业体系的契合度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7A96BC7" w14:textId="77777777" w:rsidR="00B11465" w:rsidRDefault="00B11465" w:rsidP="00B11465">
      <w:pPr>
        <w:overflowPunct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二</w:t>
      </w: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）基本概况</w:t>
      </w:r>
    </w:p>
    <w:p w14:paraId="099854E3" w14:textId="77777777" w:rsidR="00B11465" w:rsidRDefault="00B11465" w:rsidP="00B1146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主要包括：名称及拟注册地点、期限（存续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投资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退出）、组织形式（合伙制）、基金设立规模、申请母基金出资规模及比例、拟首次交割时间、分期缴款计划、投资进度安排、出资违约责任安排等。</w:t>
      </w:r>
    </w:p>
    <w:p w14:paraId="33FD46A8" w14:textId="77777777" w:rsidR="00B11465" w:rsidRDefault="00B11465" w:rsidP="00B1146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如管理机构拟募集的基金为已备案基金，则需就母基金入伙事宜与基金现有合伙人提前沟通，并在后续遴选申报阶段取得基金现有合伙人书面同意，同时提供相关证明材料。</w:t>
      </w:r>
    </w:p>
    <w:p w14:paraId="168C6BBB" w14:textId="77777777" w:rsidR="00B11465" w:rsidRDefault="00B11465" w:rsidP="00B11465">
      <w:pPr>
        <w:overflowPunct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三</w:t>
      </w: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）投资方向与策略</w:t>
      </w:r>
    </w:p>
    <w:p w14:paraId="240DB077" w14:textId="77777777" w:rsidR="00B11465" w:rsidRDefault="00B11465" w:rsidP="00B1146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结合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子</w:t>
      </w:r>
      <w:r>
        <w:rPr>
          <w:rFonts w:ascii="Times New Roman" w:eastAsia="仿宋_GB2312" w:hAnsi="Times New Roman" w:cs="Times New Roman"/>
          <w:sz w:val="32"/>
          <w:szCs w:val="32"/>
        </w:rPr>
        <w:t>基金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类型与对应投资领域要求</w:t>
      </w:r>
      <w:r>
        <w:rPr>
          <w:rFonts w:ascii="Times New Roman" w:eastAsia="仿宋_GB2312" w:hAnsi="Times New Roman" w:cs="Times New Roman"/>
          <w:sz w:val="32"/>
          <w:szCs w:val="32"/>
        </w:rPr>
        <w:t>，阐述拟设立基金的投资方向与策略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C377C4E" w14:textId="77777777" w:rsidR="00B11465" w:rsidRDefault="00B11465" w:rsidP="00B11465">
      <w:pPr>
        <w:overflowPunct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四</w:t>
      </w: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）募资计划及进展</w:t>
      </w:r>
    </w:p>
    <w:p w14:paraId="37A88338" w14:textId="77777777" w:rsidR="00B11465" w:rsidRDefault="00B11465" w:rsidP="00B1146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主要包括：募资总规模、已确认的出资人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及其</w:t>
      </w:r>
      <w:r>
        <w:rPr>
          <w:rFonts w:ascii="Times New Roman" w:eastAsia="仿宋_GB2312" w:hAnsi="Times New Roman" w:cs="Times New Roman"/>
          <w:sz w:val="32"/>
          <w:szCs w:val="32"/>
        </w:rPr>
        <w:t>出资金额、意向出资人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及其</w:t>
      </w:r>
      <w:r>
        <w:rPr>
          <w:rFonts w:ascii="Times New Roman" w:eastAsia="仿宋_GB2312" w:hAnsi="Times New Roman" w:cs="Times New Roman"/>
          <w:sz w:val="32"/>
          <w:szCs w:val="32"/>
        </w:rPr>
        <w:t>出资金额、出资人情况简介。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其中，对已确认的出资人，需提供出资意向函等证明材料；若已确认出资人无法提供相关材料，可提供其有效联系方式作为补充。</w:t>
      </w:r>
    </w:p>
    <w:p w14:paraId="56BECEBD" w14:textId="77777777" w:rsidR="00B11465" w:rsidRDefault="00B11465" w:rsidP="00B11465">
      <w:pPr>
        <w:numPr>
          <w:ilvl w:val="255"/>
          <w:numId w:val="0"/>
        </w:numPr>
        <w:overflowPunct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（五）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子基金管理人类型</w:t>
      </w:r>
    </w:p>
    <w:p w14:paraId="710E08DE" w14:textId="77777777" w:rsidR="00B11465" w:rsidRDefault="00B11465" w:rsidP="00B11465">
      <w:pPr>
        <w:overflowPunct w:val="0"/>
        <w:snapToGrid w:val="0"/>
        <w:spacing w:line="60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围绕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eastAsia="zh"/>
        </w:rPr>
        <w:t>前述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子基金管理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机构类型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，主要阐述管理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机构的投资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经验、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投资业绩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与投后服务能力，或与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高等院校、科研院所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、重点实验室、研发机构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等主体合作情况，或与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上市公司、链主企业、行业龙头等主体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合作情况。</w:t>
      </w:r>
    </w:p>
    <w:p w14:paraId="42770F2E" w14:textId="77777777" w:rsidR="00B11465" w:rsidRDefault="00B11465" w:rsidP="00B11465">
      <w:pPr>
        <w:overflowPunct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（六）决策机制</w:t>
      </w:r>
    </w:p>
    <w:p w14:paraId="6C8E2C27" w14:textId="77777777" w:rsidR="00B11465" w:rsidRDefault="00B11465" w:rsidP="00B1146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主要阐述投资决策委员会构成及投资决策机制。</w:t>
      </w:r>
    </w:p>
    <w:p w14:paraId="2540C935" w14:textId="77777777" w:rsidR="00B11465" w:rsidRDefault="00B11465" w:rsidP="00B11465">
      <w:pPr>
        <w:overflowPunct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（七）管理费及绩效奖励</w:t>
      </w:r>
    </w:p>
    <w:p w14:paraId="4173C59A" w14:textId="77777777" w:rsidR="00B11465" w:rsidRDefault="00B11465" w:rsidP="00B1146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主要包括：管理费方案（如使用范围、存续期间提取比例及基数等）；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团队超额收益分配比例及合伙人收益分配安排等。</w:t>
      </w:r>
    </w:p>
    <w:p w14:paraId="11708C80" w14:textId="77777777" w:rsidR="00B11465" w:rsidRDefault="00B11465" w:rsidP="00B11465">
      <w:pPr>
        <w:numPr>
          <w:ilvl w:val="255"/>
          <w:numId w:val="0"/>
        </w:numPr>
        <w:overflowPunct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</w:rPr>
        <w:t>八</w:t>
      </w: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）收益分配及退出方案</w:t>
      </w:r>
    </w:p>
    <w:p w14:paraId="25CABF07" w14:textId="77777777" w:rsidR="00B11465" w:rsidRDefault="00B11465" w:rsidP="00B11465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>主要阐述未来收益分配的计划及后续退出方案。</w:t>
      </w:r>
    </w:p>
    <w:p w14:paraId="6E0F2FAE" w14:textId="77777777" w:rsidR="00B11465" w:rsidRDefault="00B11465" w:rsidP="00B11465">
      <w:pPr>
        <w:overflowPunct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:lang w:bidi="ar"/>
        </w:rPr>
        <w:t>九</w:t>
      </w: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）</w:t>
      </w: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:lang w:bidi="ar"/>
        </w:rPr>
        <w:t>项目储备情况、项目来源</w:t>
      </w:r>
    </w:p>
    <w:p w14:paraId="57A512A2" w14:textId="77777777" w:rsidR="00B11465" w:rsidRDefault="00B11465" w:rsidP="00B11465">
      <w:pPr>
        <w:overflowPunct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主要阐述管理机构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拟投领域早期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项目储备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情况、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储备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渠道资源、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项目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发掘机制。</w:t>
      </w:r>
    </w:p>
    <w:p w14:paraId="72C8A465" w14:textId="77777777" w:rsidR="00B11465" w:rsidRDefault="00B11465" w:rsidP="00B11465">
      <w:pPr>
        <w:numPr>
          <w:ilvl w:val="0"/>
          <w:numId w:val="1"/>
        </w:numPr>
        <w:overflowPunct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  <w:lang w:bidi="ar"/>
        </w:rPr>
        <w:t>有关承诺</w:t>
      </w:r>
    </w:p>
    <w:p w14:paraId="1657A4D7" w14:textId="77777777" w:rsidR="00B11465" w:rsidRDefault="00B11465" w:rsidP="00B11465">
      <w:pPr>
        <w:numPr>
          <w:ilvl w:val="255"/>
          <w:numId w:val="0"/>
        </w:numPr>
        <w:overflowPunct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lang w:eastAsia="zh-Hans"/>
        </w:rPr>
        <w:t>管理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机构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需在方案中承诺接受母基金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对其进行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绩效考核，且选择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eastAsia="zh-Hans"/>
        </w:rPr>
        <w:t>转让、回购、让利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机制中的一种实施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eastAsia="zh-Hans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同时其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eastAsia="zh-Hans"/>
        </w:rPr>
        <w:t>各级财政出资人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eastAsia="zh-Hans"/>
        </w:rPr>
        <w:t>不得主张该机制下的权益</w:t>
      </w:r>
      <w:r>
        <w:rPr>
          <w:rFonts w:ascii="Times New Roman" w:eastAsia="仿宋_GB2312" w:hAnsi="Times New Roman" w:cs="Times New Roman"/>
          <w:kern w:val="0"/>
          <w:sz w:val="32"/>
          <w:szCs w:val="32"/>
          <w:lang w:eastAsia="zh-Hans"/>
        </w:rPr>
        <w:t>。</w:t>
      </w:r>
    </w:p>
    <w:p w14:paraId="3B5B802E" w14:textId="77777777" w:rsidR="00B11465" w:rsidRDefault="00B11465" w:rsidP="00B11465">
      <w:pPr>
        <w:numPr>
          <w:ilvl w:val="255"/>
          <w:numId w:val="0"/>
        </w:numPr>
        <w:overflowPunct w:val="0"/>
        <w:snapToGri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2"/>
          <w:szCs w:val="32"/>
          <w:lang w:bidi="ar"/>
        </w:rPr>
        <w:t>（十一）</w:t>
      </w: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  <w:lang w:bidi="ar"/>
        </w:rPr>
        <w:t>申报单位认为重要的其他内容</w:t>
      </w:r>
    </w:p>
    <w:p w14:paraId="405147C4" w14:textId="77777777" w:rsidR="00B11465" w:rsidRDefault="00B11465" w:rsidP="00B11465">
      <w:pPr>
        <w:overflowPunct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如有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（如子基金要素调整需求及依据等）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，请具体说明。</w:t>
      </w:r>
    </w:p>
    <w:p w14:paraId="093B08FE" w14:textId="77777777" w:rsidR="00B11465" w:rsidRDefault="00B11465" w:rsidP="00B11465">
      <w:pPr>
        <w:widowControl/>
        <w:wordWrap w:val="0"/>
        <w:overflowPunct w:val="0"/>
        <w:snapToGrid w:val="0"/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</w:p>
    <w:p w14:paraId="38D4A322" w14:textId="77777777" w:rsidR="00B11465" w:rsidRDefault="00B11465" w:rsidP="00B11465">
      <w:pPr>
        <w:widowControl/>
        <w:wordWrap w:val="0"/>
        <w:overflowPunct w:val="0"/>
        <w:snapToGrid w:val="0"/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申报单位盖章：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 xml:space="preserve">               </w:t>
      </w:r>
    </w:p>
    <w:p w14:paraId="5083254B" w14:textId="77777777" w:rsidR="00B11465" w:rsidRDefault="00B11465" w:rsidP="00B11465">
      <w:pPr>
        <w:widowControl/>
        <w:overflowPunct w:val="0"/>
        <w:snapToGrid w:val="0"/>
        <w:ind w:firstLineChars="200" w:firstLine="640"/>
        <w:jc w:val="right"/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 xml:space="preserve">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 xml:space="preserve">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 xml:space="preserve">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  <w:t>日</w:t>
      </w:r>
    </w:p>
    <w:p w14:paraId="7CEA12E1" w14:textId="77777777" w:rsidR="00B57CF3" w:rsidRDefault="00B57CF3">
      <w:pPr>
        <w:rPr>
          <w:rFonts w:hint="eastAsia"/>
        </w:rPr>
      </w:pPr>
    </w:p>
    <w:sectPr w:rsidR="00B57CF3" w:rsidSect="00B11465">
      <w:headerReference w:type="default" r:id="rId5"/>
      <w:footerReference w:type="default" r:id="rId6"/>
      <w:pgSz w:w="11906" w:h="16838"/>
      <w:pgMar w:top="1417" w:right="1587" w:bottom="141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7C4E" w14:textId="4E69FCD3" w:rsidR="00000000" w:rsidRDefault="00B11465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9866CB" wp14:editId="3DF07F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75335" cy="230505"/>
              <wp:effectExtent l="0" t="0" r="0" b="0"/>
              <wp:wrapNone/>
              <wp:docPr id="1342117220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53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E0703" w14:textId="77777777" w:rsidR="00000000" w:rsidRDefault="00000000">
                          <w:pPr>
                            <w:pStyle w:val="70"/>
                            <w:rPr>
                              <w:rFonts w:ascii="宋体" w:eastAsia="宋体" w:hAnsi="宋体" w:cs="仿宋_GB2312" w:hint="eastAsia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仿宋_GB2312" w:hint="eastAsia"/>
                              <w:sz w:val="28"/>
                              <w:szCs w:val="24"/>
                            </w:rPr>
                            <w:t xml:space="preserve">—　</w:t>
                          </w:r>
                          <w:r>
                            <w:rPr>
                              <w:rFonts w:ascii="宋体" w:eastAsia="宋体" w:hAnsi="宋体" w:cs="仿宋_GB2312" w:hint="eastAsia"/>
                              <w:sz w:val="2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仿宋_GB2312" w:hint="eastAsia"/>
                              <w:sz w:val="2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仿宋_GB2312" w:hint="eastAsia"/>
                              <w:sz w:val="2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仿宋_GB2312" w:hint="eastAsia"/>
                              <w:sz w:val="28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仿宋_GB2312" w:hint="eastAsia"/>
                              <w:sz w:val="28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仿宋_GB2312" w:hint="eastAsia"/>
                              <w:sz w:val="24"/>
                              <w:szCs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 w:cs="仿宋_GB2312" w:hint="eastAsia"/>
                              <w:sz w:val="28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866C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1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" filled="f" stroked="f" strokeweight=".5pt">
              <v:textbox style="mso-fit-shape-to-text:t" inset="0,0,0,0">
                <w:txbxContent>
                  <w:p w14:paraId="74CE0703" w14:textId="77777777" w:rsidR="00000000" w:rsidRDefault="00000000">
                    <w:pPr>
                      <w:pStyle w:val="70"/>
                      <w:rPr>
                        <w:rFonts w:ascii="宋体" w:eastAsia="宋体" w:hAnsi="宋体" w:cs="仿宋_GB2312" w:hint="eastAsia"/>
                        <w:sz w:val="28"/>
                        <w:szCs w:val="24"/>
                      </w:rPr>
                    </w:pPr>
                    <w:r>
                      <w:rPr>
                        <w:rFonts w:ascii="宋体" w:eastAsia="宋体" w:hAnsi="宋体" w:cs="仿宋_GB2312" w:hint="eastAsia"/>
                        <w:sz w:val="28"/>
                        <w:szCs w:val="24"/>
                      </w:rPr>
                      <w:t xml:space="preserve">—　</w:t>
                    </w:r>
                    <w:r>
                      <w:rPr>
                        <w:rFonts w:ascii="宋体" w:eastAsia="宋体" w:hAnsi="宋体" w:cs="仿宋_GB2312" w:hint="eastAsia"/>
                        <w:sz w:val="28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仿宋_GB2312" w:hint="eastAsia"/>
                        <w:sz w:val="2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仿宋_GB2312" w:hint="eastAsia"/>
                        <w:sz w:val="28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仿宋_GB2312" w:hint="eastAsia"/>
                        <w:sz w:val="28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仿宋_GB2312" w:hint="eastAsia"/>
                        <w:sz w:val="28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仿宋_GB2312" w:hint="eastAsia"/>
                        <w:sz w:val="24"/>
                        <w:szCs w:val="24"/>
                      </w:rPr>
                      <w:t xml:space="preserve">　</w:t>
                    </w:r>
                    <w:r>
                      <w:rPr>
                        <w:rFonts w:ascii="宋体" w:eastAsia="宋体" w:hAnsi="宋体" w:cs="仿宋_GB2312" w:hint="eastAsia"/>
                        <w:sz w:val="28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C5AB5E0" w14:textId="77777777" w:rsidR="00000000" w:rsidRDefault="00000000">
    <w:pPr>
      <w:pStyle w:val="af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9532" w14:textId="77777777" w:rsidR="00000000" w:rsidRDefault="00000000">
    <w:pPr>
      <w:pStyle w:val="af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6F991"/>
    <w:multiLevelType w:val="singleLevel"/>
    <w:tmpl w:val="6FC6F991"/>
    <w:lvl w:ilvl="0">
      <w:start w:val="10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6129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65"/>
    <w:rsid w:val="000E6016"/>
    <w:rsid w:val="007634E2"/>
    <w:rsid w:val="00B11465"/>
    <w:rsid w:val="00B57CF3"/>
    <w:rsid w:val="00CC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FAF86"/>
  <w15:chartTrackingRefBased/>
  <w15:docId w15:val="{0FB17AF1-679A-4929-A747-76CE737D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46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4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4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46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46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46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46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4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4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46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114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4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4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4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4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4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1465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next w:val="af"/>
    <w:link w:val="af0"/>
    <w:qFormat/>
    <w:rsid w:val="00B11465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f0">
    <w:name w:val="正文文本 字符"/>
    <w:basedOn w:val="a0"/>
    <w:link w:val="ae"/>
    <w:rsid w:val="00B11465"/>
    <w:rPr>
      <w:rFonts w:ascii="Times New Roman" w:eastAsia="宋体" w:hAnsi="Times New Roman" w:cs="Times New Roman"/>
      <w:szCs w:val="24"/>
    </w:rPr>
  </w:style>
  <w:style w:type="paragraph" w:styleId="af1">
    <w:name w:val="footer"/>
    <w:basedOn w:val="a"/>
    <w:link w:val="af2"/>
    <w:uiPriority w:val="99"/>
    <w:unhideWhenUsed/>
    <w:qFormat/>
    <w:rsid w:val="00B11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11465"/>
    <w:rPr>
      <w:sz w:val="18"/>
      <w:szCs w:val="18"/>
    </w:rPr>
  </w:style>
  <w:style w:type="paragraph" w:styleId="af3">
    <w:name w:val="header"/>
    <w:basedOn w:val="a"/>
    <w:link w:val="af4"/>
    <w:qFormat/>
    <w:rsid w:val="00B11465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rsid w:val="00B11465"/>
    <w:rPr>
      <w:sz w:val="18"/>
      <w:szCs w:val="18"/>
    </w:rPr>
  </w:style>
  <w:style w:type="paragraph" w:styleId="af">
    <w:name w:val="Body Text First Indent"/>
    <w:basedOn w:val="ae"/>
    <w:link w:val="af5"/>
    <w:uiPriority w:val="99"/>
    <w:semiHidden/>
    <w:unhideWhenUsed/>
    <w:rsid w:val="00B11465"/>
    <w:pPr>
      <w:ind w:firstLineChars="1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f5">
    <w:name w:val="正文文本首行缩进 字符"/>
    <w:basedOn w:val="af0"/>
    <w:link w:val="af"/>
    <w:uiPriority w:val="99"/>
    <w:semiHidden/>
    <w:rsid w:val="00B1146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896</Characters>
  <Application>Microsoft Office Word</Application>
  <DocSecurity>0</DocSecurity>
  <Lines>47</Lines>
  <Paragraphs>40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 fa</dc:creator>
  <cp:keywords/>
  <dc:description/>
  <cp:lastModifiedBy>fa fa</cp:lastModifiedBy>
  <cp:revision>1</cp:revision>
  <dcterms:created xsi:type="dcterms:W3CDTF">2025-06-27T03:32:00Z</dcterms:created>
  <dcterms:modified xsi:type="dcterms:W3CDTF">2025-06-27T03:33:00Z</dcterms:modified>
</cp:coreProperties>
</file>