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D835D">
      <w:pPr>
        <w:widowControl/>
        <w:shd w:val="clear" w:color="auto"/>
        <w:spacing w:line="600" w:lineRule="exact"/>
        <w:jc w:val="center"/>
        <w:outlineLvl w:val="0"/>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color w:val="000000"/>
          <w:sz w:val="44"/>
          <w:szCs w:val="44"/>
          <w:u w:val="none"/>
          <w:shd w:val="clear" w:color="auto" w:fill="FFFFFF"/>
          <w:lang w:val="en-US" w:eastAsia="zh-CN"/>
        </w:rPr>
        <w:t>湘西金芙蓉产业发展引导</w:t>
      </w:r>
      <w:r>
        <w:rPr>
          <w:rFonts w:hint="eastAsia" w:ascii="方正小标宋_GBK" w:hAnsi="方正小标宋_GBK" w:eastAsia="方正小标宋_GBK" w:cs="方正小标宋_GBK"/>
          <w:b w:val="0"/>
          <w:bCs w:val="0"/>
          <w:kern w:val="0"/>
          <w:sz w:val="44"/>
          <w:szCs w:val="44"/>
        </w:rPr>
        <w:t>母基金</w:t>
      </w:r>
    </w:p>
    <w:p w14:paraId="506EAEC0">
      <w:pPr>
        <w:widowControl/>
        <w:shd w:val="clear" w:color="auto"/>
        <w:spacing w:line="600" w:lineRule="exact"/>
        <w:jc w:val="center"/>
        <w:outlineLvl w:val="0"/>
        <w:rPr>
          <w:rFonts w:hint="eastAsia" w:ascii="方正小标宋_GBK" w:hAnsi="方正小标宋_GBK" w:eastAsia="方正小标宋_GBK" w:cs="方正小标宋_GBK"/>
          <w:b/>
          <w:bCs/>
          <w:kern w:val="0"/>
          <w:sz w:val="44"/>
          <w:szCs w:val="44"/>
        </w:rPr>
      </w:pPr>
      <w:r>
        <w:rPr>
          <w:rFonts w:hint="eastAsia" w:ascii="方正小标宋_GBK" w:hAnsi="方正小标宋_GBK" w:eastAsia="方正小标宋_GBK" w:cs="方正小标宋_GBK"/>
          <w:b w:val="0"/>
          <w:bCs w:val="0"/>
          <w:kern w:val="0"/>
          <w:sz w:val="44"/>
          <w:szCs w:val="44"/>
          <w:lang w:eastAsia="zh"/>
          <w:woUserID w:val="2"/>
        </w:rPr>
        <w:t>子基金管理机构</w:t>
      </w:r>
      <w:r>
        <w:rPr>
          <w:rFonts w:hint="eastAsia" w:ascii="方正小标宋_GBK" w:hAnsi="方正小标宋_GBK" w:eastAsia="方正小标宋_GBK" w:cs="方正小标宋_GBK"/>
          <w:b w:val="0"/>
          <w:bCs w:val="0"/>
          <w:kern w:val="0"/>
          <w:sz w:val="44"/>
          <w:szCs w:val="44"/>
        </w:rPr>
        <w:t>申报指南</w:t>
      </w:r>
    </w:p>
    <w:p w14:paraId="27CF057B">
      <w:pPr>
        <w:bidi w:val="0"/>
        <w:rPr>
          <w:rFonts w:hint="default"/>
        </w:rPr>
      </w:pPr>
    </w:p>
    <w:p w14:paraId="71DCCC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为充分发挥政府</w:t>
      </w:r>
      <w:r>
        <w:rPr>
          <w:rFonts w:hint="eastAsia" w:ascii="Times New Roman" w:hAnsi="Times New Roman" w:eastAsia="仿宋_GB2312" w:cs="Times New Roman"/>
          <w:sz w:val="32"/>
          <w:szCs w:val="32"/>
          <w:shd w:val="clear" w:color="auto" w:fill="FFFFFF"/>
          <w:lang w:val="en-US" w:eastAsia="zh-CN"/>
        </w:rPr>
        <w:t>引</w:t>
      </w:r>
      <w:r>
        <w:rPr>
          <w:rFonts w:hint="default" w:ascii="Times New Roman" w:hAnsi="Times New Roman" w:eastAsia="仿宋_GB2312" w:cs="Times New Roman"/>
          <w:sz w:val="32"/>
          <w:szCs w:val="32"/>
          <w:shd w:val="clear" w:color="auto" w:fill="FFFFFF"/>
        </w:rPr>
        <w:t>导基金在产业引导、招商引资等方面的作用，湖南省财信产业基金管理有限公司（简称“财信产业基金”）</w:t>
      </w:r>
      <w:r>
        <w:rPr>
          <w:rFonts w:hint="default" w:ascii="Times New Roman" w:hAnsi="Times New Roman" w:eastAsia="仿宋_GB2312" w:cs="Times New Roman"/>
          <w:sz w:val="32"/>
          <w:szCs w:val="32"/>
          <w:shd w:val="clear" w:color="auto" w:fill="FFFFFF"/>
          <w:lang w:val="en-US" w:eastAsia="zh-CN"/>
        </w:rPr>
        <w:t>联合湘西土家族苗族自治州国有资产投资经营有限责任公司</w:t>
      </w:r>
      <w:r>
        <w:rPr>
          <w:rFonts w:hint="default" w:ascii="Times New Roman" w:hAnsi="Times New Roman" w:eastAsia="仿宋_GB2312" w:cs="Times New Roman"/>
          <w:kern w:val="2"/>
          <w:sz w:val="32"/>
          <w:szCs w:val="32"/>
        </w:rPr>
        <w:t>（简称“</w:t>
      </w:r>
      <w:r>
        <w:rPr>
          <w:rFonts w:hint="eastAsia" w:ascii="Times New Roman" w:hAnsi="Times New Roman" w:eastAsia="仿宋_GB2312" w:cs="Times New Roman"/>
          <w:kern w:val="2"/>
          <w:sz w:val="32"/>
          <w:szCs w:val="32"/>
          <w:lang w:val="en-US" w:eastAsia="zh-CN"/>
        </w:rPr>
        <w:t>湘西国投</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sz w:val="32"/>
          <w:szCs w:val="32"/>
          <w:lang w:val="en-US" w:eastAsia="zh-CN"/>
        </w:rPr>
        <w:t>共同</w:t>
      </w:r>
      <w:r>
        <w:rPr>
          <w:rFonts w:hint="default" w:ascii="Times New Roman" w:hAnsi="Times New Roman" w:eastAsia="仿宋_GB2312" w:cs="Times New Roman"/>
          <w:sz w:val="32"/>
          <w:szCs w:val="32"/>
          <w:shd w:val="clear" w:color="auto" w:fill="auto"/>
        </w:rPr>
        <w:t>发起</w:t>
      </w:r>
      <w:r>
        <w:rPr>
          <w:rFonts w:hint="default" w:ascii="Times New Roman" w:hAnsi="Times New Roman" w:eastAsia="仿宋_GB2312" w:cs="Times New Roman"/>
          <w:kern w:val="2"/>
          <w:sz w:val="32"/>
          <w:szCs w:val="32"/>
        </w:rPr>
        <w:t>设立</w:t>
      </w:r>
      <w:r>
        <w:rPr>
          <w:rFonts w:hint="eastAsia" w:ascii="Times New Roman" w:hAnsi="Times New Roman" w:eastAsia="仿宋_GB2312" w:cs="Times New Roman"/>
          <w:kern w:val="2"/>
          <w:sz w:val="32"/>
          <w:szCs w:val="32"/>
          <w:lang w:val="en-US" w:eastAsia="zh-CN"/>
        </w:rPr>
        <w:t>总规模10亿元的</w:t>
      </w:r>
      <w:r>
        <w:rPr>
          <w:rFonts w:hint="eastAsia" w:ascii="Times New Roman" w:hAnsi="Times New Roman" w:eastAsia="仿宋_GB2312" w:cs="Times New Roman"/>
          <w:sz w:val="32"/>
          <w:szCs w:val="32"/>
          <w:u w:val="none"/>
          <w:lang w:val="en-US" w:eastAsia="zh-CN"/>
        </w:rPr>
        <w:t>湘西金芙蓉产业发展引导母</w:t>
      </w:r>
      <w:r>
        <w:rPr>
          <w:rFonts w:hint="eastAsia" w:ascii="Times New Roman" w:hAnsi="Times New Roman" w:eastAsia="仿宋_GB2312" w:cs="Times New Roman"/>
          <w:sz w:val="32"/>
          <w:szCs w:val="32"/>
          <w:u w:val="none"/>
        </w:rPr>
        <w:t>基金</w:t>
      </w:r>
      <w:r>
        <w:rPr>
          <w:rFonts w:hint="eastAsia" w:ascii="Times New Roman" w:hAnsi="Times New Roman" w:eastAsia="仿宋_GB2312" w:cs="Times New Roman"/>
          <w:kern w:val="2"/>
          <w:sz w:val="32"/>
          <w:szCs w:val="32"/>
          <w:lang w:val="en-US" w:eastAsia="zh-CN"/>
        </w:rPr>
        <w:t>合伙企业（有限合伙）</w:t>
      </w:r>
      <w:r>
        <w:rPr>
          <w:rFonts w:hint="default" w:ascii="Times New Roman" w:hAnsi="Times New Roman" w:eastAsia="仿宋_GB2312" w:cs="Times New Roman"/>
          <w:kern w:val="2"/>
          <w:sz w:val="32"/>
          <w:szCs w:val="32"/>
        </w:rPr>
        <w:t>（简称“</w:t>
      </w:r>
      <w:r>
        <w:rPr>
          <w:rFonts w:hint="eastAsia" w:ascii="Times New Roman" w:hAnsi="Times New Roman" w:eastAsia="仿宋_GB2312" w:cs="Times New Roman"/>
          <w:kern w:val="2"/>
          <w:sz w:val="32"/>
          <w:szCs w:val="32"/>
          <w:lang w:val="en-US" w:eastAsia="zh-CN"/>
        </w:rPr>
        <w:t>湘西金芙蓉</w:t>
      </w:r>
      <w:r>
        <w:rPr>
          <w:rFonts w:hint="default" w:ascii="Times New Roman" w:hAnsi="Times New Roman" w:eastAsia="仿宋_GB2312" w:cs="Times New Roman"/>
          <w:kern w:val="2"/>
          <w:sz w:val="32"/>
          <w:szCs w:val="32"/>
          <w:lang w:val="en-US" w:eastAsia="zh-CN"/>
        </w:rPr>
        <w:t>母基金</w:t>
      </w:r>
      <w:r>
        <w:rPr>
          <w:rFonts w:hint="default" w:ascii="Times New Roman" w:hAnsi="Times New Roman" w:eastAsia="仿宋_GB2312" w:cs="Times New Roman"/>
          <w:kern w:val="2"/>
          <w:sz w:val="32"/>
          <w:szCs w:val="32"/>
        </w:rPr>
        <w:t>”或“</w:t>
      </w:r>
      <w:r>
        <w:rPr>
          <w:rFonts w:hint="default" w:ascii="Times New Roman" w:hAnsi="Times New Roman" w:eastAsia="仿宋_GB2312" w:cs="Times New Roman"/>
          <w:kern w:val="2"/>
          <w:sz w:val="32"/>
          <w:szCs w:val="32"/>
          <w:lang w:val="en-US" w:eastAsia="zh-CN"/>
        </w:rPr>
        <w:t>母</w:t>
      </w:r>
      <w:r>
        <w:rPr>
          <w:rFonts w:hint="default" w:ascii="Times New Roman" w:hAnsi="Times New Roman" w:eastAsia="仿宋_GB2312" w:cs="Times New Roman"/>
          <w:kern w:val="2"/>
          <w:sz w:val="32"/>
          <w:szCs w:val="32"/>
        </w:rPr>
        <w:t>基金”）</w:t>
      </w: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湘西金芙蓉</w:t>
      </w:r>
      <w:r>
        <w:rPr>
          <w:rFonts w:hint="default" w:ascii="Times New Roman" w:hAnsi="Times New Roman" w:eastAsia="仿宋_GB2312" w:cs="Times New Roman"/>
          <w:sz w:val="32"/>
          <w:szCs w:val="32"/>
          <w:shd w:val="clear" w:color="auto" w:fill="FFFFFF"/>
          <w:lang w:val="en-US" w:eastAsia="zh-CN"/>
        </w:rPr>
        <w:t>母</w:t>
      </w:r>
      <w:r>
        <w:rPr>
          <w:rFonts w:hint="default" w:ascii="Times New Roman" w:hAnsi="Times New Roman" w:eastAsia="仿宋_GB2312" w:cs="Times New Roman"/>
          <w:sz w:val="32"/>
          <w:szCs w:val="32"/>
          <w:shd w:val="clear" w:color="auto" w:fill="FFFFFF"/>
        </w:rPr>
        <w:t>基金</w:t>
      </w:r>
      <w:r>
        <w:rPr>
          <w:rFonts w:hint="eastAsia" w:ascii="Times New Roman" w:hAnsi="Times New Roman" w:eastAsia="仿宋_GB2312" w:cs="Times New Roman"/>
          <w:sz w:val="32"/>
          <w:szCs w:val="32"/>
          <w:shd w:val="clear" w:color="auto" w:fill="FFFFFF"/>
          <w:lang w:val="en-US" w:eastAsia="zh-CN"/>
        </w:rPr>
        <w:t>将</w:t>
      </w:r>
      <w:r>
        <w:rPr>
          <w:rFonts w:hint="default" w:ascii="Times New Roman" w:hAnsi="Times New Roman" w:eastAsia="仿宋_GB2312" w:cs="Times New Roman"/>
          <w:sz w:val="32"/>
          <w:szCs w:val="48"/>
        </w:rPr>
        <w:t>通过创新财政资金使用</w:t>
      </w:r>
      <w:r>
        <w:rPr>
          <w:rFonts w:hint="eastAsia" w:ascii="Times New Roman" w:hAnsi="Times New Roman" w:eastAsia="仿宋_GB2312" w:cs="Times New Roman"/>
          <w:sz w:val="32"/>
          <w:szCs w:val="48"/>
          <w:lang w:val="en-US" w:eastAsia="zh-CN"/>
        </w:rPr>
        <w:t>、</w:t>
      </w:r>
      <w:r>
        <w:rPr>
          <w:rFonts w:hint="default" w:ascii="Times New Roman" w:hAnsi="Times New Roman" w:eastAsia="仿宋_GB2312" w:cs="Times New Roman"/>
          <w:sz w:val="32"/>
          <w:szCs w:val="48"/>
        </w:rPr>
        <w:t>统筹政府平台基金布局</w:t>
      </w:r>
      <w:r>
        <w:rPr>
          <w:rFonts w:hint="eastAsia" w:ascii="Times New Roman" w:hAnsi="Times New Roman" w:eastAsia="仿宋_GB2312" w:cs="Times New Roman"/>
          <w:sz w:val="32"/>
          <w:szCs w:val="48"/>
          <w:lang w:eastAsia="zh-CN"/>
        </w:rPr>
        <w:t>、</w:t>
      </w:r>
      <w:r>
        <w:rPr>
          <w:rFonts w:hint="eastAsia" w:ascii="Times New Roman" w:hAnsi="Times New Roman" w:eastAsia="仿宋_GB2312" w:cs="Times New Roman"/>
          <w:sz w:val="32"/>
          <w:szCs w:val="48"/>
          <w:lang w:val="en-US" w:eastAsia="zh-CN"/>
        </w:rPr>
        <w:t>发挥</w:t>
      </w:r>
      <w:r>
        <w:rPr>
          <w:rFonts w:hint="eastAsia" w:ascii="Times New Roman" w:hAnsi="Times New Roman" w:eastAsia="仿宋_GB2312" w:cs="Times New Roman"/>
          <w:sz w:val="32"/>
          <w:szCs w:val="48"/>
          <w:lang w:eastAsia="zh-CN"/>
        </w:rPr>
        <w:t>“子基金</w:t>
      </w:r>
      <w:r>
        <w:rPr>
          <w:rFonts w:hint="eastAsia" w:ascii="Times New Roman" w:hAnsi="Times New Roman" w:eastAsia="仿宋_GB2312" w:cs="Times New Roman"/>
          <w:sz w:val="32"/>
          <w:szCs w:val="48"/>
          <w:lang w:val="en-US" w:eastAsia="zh-CN"/>
        </w:rPr>
        <w:t>+直投</w:t>
      </w:r>
      <w:r>
        <w:rPr>
          <w:rFonts w:hint="eastAsia" w:ascii="Times New Roman" w:hAnsi="Times New Roman" w:eastAsia="仿宋_GB2312" w:cs="Times New Roman"/>
          <w:sz w:val="32"/>
          <w:szCs w:val="48"/>
          <w:lang w:eastAsia="zh-CN"/>
        </w:rPr>
        <w:t>”</w:t>
      </w:r>
      <w:r>
        <w:rPr>
          <w:rFonts w:hint="eastAsia" w:ascii="Times New Roman" w:hAnsi="Times New Roman" w:eastAsia="仿宋_GB2312" w:cs="Times New Roman"/>
          <w:sz w:val="32"/>
          <w:szCs w:val="48"/>
          <w:lang w:val="en-US" w:eastAsia="zh-CN"/>
        </w:rPr>
        <w:t>资金杠杆作用等方式，</w:t>
      </w:r>
      <w:r>
        <w:rPr>
          <w:rFonts w:hint="default" w:ascii="Times New Roman" w:hAnsi="Times New Roman" w:eastAsia="仿宋_GB2312" w:cs="Times New Roman"/>
          <w:sz w:val="32"/>
          <w:szCs w:val="48"/>
        </w:rPr>
        <w:t>实现以</w:t>
      </w:r>
      <w:r>
        <w:rPr>
          <w:rFonts w:hint="eastAsia" w:ascii="Times New Roman" w:hAnsi="Times New Roman" w:eastAsia="仿宋_GB2312" w:cs="Times New Roman"/>
          <w:sz w:val="32"/>
          <w:szCs w:val="48"/>
          <w:lang w:val="en-US" w:eastAsia="zh-CN"/>
        </w:rPr>
        <w:t>母</w:t>
      </w:r>
      <w:r>
        <w:rPr>
          <w:rFonts w:hint="default" w:ascii="Times New Roman" w:hAnsi="Times New Roman" w:eastAsia="仿宋_GB2312" w:cs="Times New Roman"/>
          <w:sz w:val="32"/>
          <w:szCs w:val="48"/>
        </w:rPr>
        <w:t>基金为资源聚集平台，以子基金集群为纽带，以标的项目为载体，促进资本、产业、人才、管理等资源</w:t>
      </w:r>
      <w:r>
        <w:rPr>
          <w:rFonts w:hint="eastAsia" w:ascii="Times New Roman" w:hAnsi="Times New Roman" w:eastAsia="仿宋_GB2312" w:cs="Times New Roman"/>
          <w:sz w:val="32"/>
          <w:szCs w:val="48"/>
          <w:lang w:val="en-US" w:eastAsia="zh-CN"/>
        </w:rPr>
        <w:t>落地</w:t>
      </w:r>
      <w:r>
        <w:rPr>
          <w:rFonts w:hint="default" w:ascii="Times New Roman" w:hAnsi="Times New Roman" w:eastAsia="仿宋_GB2312" w:cs="Times New Roman"/>
          <w:sz w:val="32"/>
          <w:szCs w:val="48"/>
        </w:rPr>
        <w:t>在</w:t>
      </w:r>
      <w:r>
        <w:rPr>
          <w:rFonts w:hint="eastAsia" w:ascii="Times New Roman" w:hAnsi="Times New Roman" w:eastAsia="仿宋_GB2312" w:cs="Times New Roman"/>
          <w:sz w:val="32"/>
          <w:szCs w:val="48"/>
          <w:lang w:eastAsia="zh"/>
          <w:woUserID w:val="2"/>
        </w:rPr>
        <w:t>湘西州</w:t>
      </w:r>
      <w:r>
        <w:rPr>
          <w:rFonts w:hint="default" w:ascii="Times New Roman" w:hAnsi="Times New Roman" w:eastAsia="仿宋_GB2312" w:cs="Times New Roman"/>
          <w:sz w:val="32"/>
          <w:szCs w:val="48"/>
        </w:rPr>
        <w:t>，为实体经济发展注入更多金融</w:t>
      </w:r>
      <w:r>
        <w:rPr>
          <w:rFonts w:hint="eastAsia" w:ascii="Times New Roman" w:hAnsi="Times New Roman" w:eastAsia="仿宋_GB2312" w:cs="Times New Roman"/>
          <w:sz w:val="32"/>
          <w:szCs w:val="48"/>
          <w:lang w:val="en-US" w:eastAsia="zh-CN"/>
        </w:rPr>
        <w:t>和资源</w:t>
      </w:r>
      <w:r>
        <w:rPr>
          <w:rFonts w:hint="default" w:ascii="Times New Roman" w:hAnsi="Times New Roman" w:eastAsia="仿宋_GB2312" w:cs="Times New Roman"/>
          <w:sz w:val="32"/>
          <w:szCs w:val="48"/>
        </w:rPr>
        <w:t>活水</w:t>
      </w:r>
      <w:r>
        <w:rPr>
          <w:rFonts w:hint="eastAsia" w:ascii="Times New Roman" w:hAnsi="Times New Roman" w:eastAsia="仿宋_GB2312" w:cs="Times New Roman"/>
          <w:sz w:val="32"/>
          <w:szCs w:val="48"/>
          <w:lang w:eastAsia="zh-CN"/>
        </w:rPr>
        <w:t>，</w:t>
      </w:r>
      <w:r>
        <w:rPr>
          <w:rFonts w:hint="eastAsia" w:ascii="Times New Roman" w:hAnsi="Times New Roman" w:eastAsia="仿宋_GB2312" w:cs="Times New Roman"/>
          <w:sz w:val="32"/>
          <w:szCs w:val="48"/>
          <w:lang w:val="en-US" w:eastAsia="zh-CN"/>
        </w:rPr>
        <w:t>同时</w:t>
      </w:r>
      <w:r>
        <w:rPr>
          <w:rFonts w:hint="eastAsia" w:ascii="Times New Roman" w:hAnsi="Times New Roman" w:eastAsia="仿宋_GB2312" w:cs="Times New Roman"/>
          <w:sz w:val="32"/>
          <w:szCs w:val="48"/>
          <w:lang w:eastAsia="zh-CN"/>
        </w:rPr>
        <w:t>实现国资结构优化和保值增值的</w:t>
      </w:r>
      <w:r>
        <w:rPr>
          <w:rFonts w:hint="eastAsia" w:ascii="Times New Roman" w:hAnsi="Times New Roman" w:eastAsia="仿宋_GB2312" w:cs="Times New Roman"/>
          <w:sz w:val="32"/>
          <w:szCs w:val="48"/>
          <w:lang w:val="en-US" w:eastAsia="zh-CN"/>
        </w:rPr>
        <w:t>发展</w:t>
      </w:r>
      <w:r>
        <w:rPr>
          <w:rFonts w:hint="eastAsia" w:ascii="Times New Roman" w:hAnsi="Times New Roman" w:eastAsia="仿宋_GB2312" w:cs="Times New Roman"/>
          <w:sz w:val="32"/>
          <w:szCs w:val="48"/>
          <w:lang w:eastAsia="zh-CN"/>
        </w:rPr>
        <w:t>目标。</w:t>
      </w:r>
      <w:r>
        <w:rPr>
          <w:rFonts w:hint="eastAsia" w:ascii="Times New Roman" w:hAnsi="Times New Roman" w:eastAsia="仿宋_GB2312" w:cs="Times New Roman"/>
          <w:sz w:val="32"/>
          <w:szCs w:val="32"/>
          <w:u w:val="none"/>
        </w:rPr>
        <w:t>除投资单</w:t>
      </w:r>
      <w:r>
        <w:rPr>
          <w:rFonts w:hint="eastAsia" w:ascii="Times New Roman" w:hAnsi="Times New Roman" w:eastAsia="仿宋_GB2312" w:cs="Times New Roman"/>
          <w:sz w:val="32"/>
          <w:szCs w:val="32"/>
          <w:u w:val="none"/>
          <w:lang w:val="en-US" w:eastAsia="zh-CN"/>
        </w:rPr>
        <w:t>一</w:t>
      </w:r>
      <w:r>
        <w:rPr>
          <w:rFonts w:hint="eastAsia" w:ascii="Times New Roman" w:hAnsi="Times New Roman" w:eastAsia="仿宋_GB2312" w:cs="Times New Roman"/>
          <w:sz w:val="32"/>
          <w:szCs w:val="32"/>
          <w:u w:val="none"/>
        </w:rPr>
        <w:t>项目的专项子基金</w:t>
      </w:r>
      <w:r>
        <w:rPr>
          <w:rFonts w:hint="eastAsia" w:ascii="Times New Roman" w:hAnsi="Times New Roman" w:eastAsia="仿宋_GB2312" w:cs="Times New Roman"/>
          <w:sz w:val="32"/>
          <w:szCs w:val="32"/>
          <w:u w:val="none"/>
          <w:lang w:val="en-US" w:eastAsia="zh-CN"/>
        </w:rPr>
        <w:t>以及S策略基金以</w:t>
      </w:r>
      <w:r>
        <w:rPr>
          <w:rFonts w:hint="eastAsia" w:ascii="Times New Roman" w:hAnsi="Times New Roman" w:eastAsia="仿宋_GB2312" w:cs="Times New Roman"/>
          <w:sz w:val="32"/>
          <w:szCs w:val="32"/>
          <w:u w:val="none"/>
        </w:rPr>
        <w:t>外</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kern w:val="0"/>
          <w:sz w:val="32"/>
          <w:szCs w:val="32"/>
        </w:rPr>
        <w:t>现就子基金管理人申报事项明确如下：</w:t>
      </w:r>
    </w:p>
    <w:p w14:paraId="3097EB55">
      <w:pPr>
        <w:widowControl/>
        <w:numPr>
          <w:ilvl w:val="0"/>
          <w:numId w:val="1"/>
        </w:numPr>
        <w:shd w:val="clear" w:color="auto"/>
        <w:spacing w:line="600" w:lineRule="exact"/>
        <w:ind w:firstLine="627" w:firstLineChars="196"/>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重点投资领域</w:t>
      </w:r>
    </w:p>
    <w:p w14:paraId="4D7A54D5">
      <w:pPr>
        <w:spacing w:line="580" w:lineRule="exact"/>
        <w:ind w:firstLine="640" w:firstLineChars="200"/>
        <w:rPr>
          <w:rFonts w:ascii="Times New Roman" w:hAnsi="Times New Roman" w:eastAsia="仿宋_GB2312" w:cs="Times New Roman"/>
          <w:sz w:val="32"/>
          <w:szCs w:val="32"/>
          <w:u w:val="none"/>
        </w:rPr>
      </w:pPr>
      <w:r>
        <w:rPr>
          <w:rFonts w:hint="default" w:ascii="Times New Roman" w:hAnsi="Times New Roman" w:eastAsia="仿宋_GB2312" w:cs="Times New Roman"/>
          <w:sz w:val="32"/>
          <w:szCs w:val="32"/>
          <w:shd w:val="clear" w:color="auto" w:fill="FFFFFF"/>
          <w:lang w:val="en-US" w:eastAsia="zh-CN"/>
        </w:rPr>
        <w:t>母基金</w:t>
      </w:r>
      <w:r>
        <w:rPr>
          <w:rFonts w:hint="eastAsia" w:ascii="Times New Roman" w:hAnsi="Times New Roman" w:eastAsia="仿宋_GB2312" w:cs="Times New Roman"/>
          <w:sz w:val="32"/>
          <w:szCs w:val="32"/>
          <w:shd w:val="clear" w:color="auto" w:fill="FFFFFF"/>
          <w:lang w:val="en-US" w:eastAsia="zh-CN"/>
        </w:rPr>
        <w:t>及子基金</w:t>
      </w:r>
      <w:r>
        <w:rPr>
          <w:rFonts w:hint="default" w:ascii="Times New Roman" w:hAnsi="Times New Roman" w:eastAsia="仿宋_GB2312" w:cs="Times New Roman"/>
          <w:sz w:val="32"/>
          <w:szCs w:val="32"/>
          <w:shd w:val="clear" w:color="auto" w:fill="FFFFFF"/>
          <w:lang w:val="en-US" w:eastAsia="zh-CN"/>
        </w:rPr>
        <w:t>将</w:t>
      </w:r>
      <w:r>
        <w:rPr>
          <w:rFonts w:hint="eastAsia" w:ascii="Times New Roman" w:hAnsi="Times New Roman" w:eastAsia="仿宋_GB2312" w:cs="Times New Roman"/>
          <w:sz w:val="32"/>
          <w:szCs w:val="32"/>
          <w:shd w:val="clear" w:color="auto" w:fill="FFFFFF"/>
          <w:lang w:val="en-US" w:eastAsia="zh-CN"/>
        </w:rPr>
        <w:t>重点</w:t>
      </w:r>
      <w:r>
        <w:rPr>
          <w:rFonts w:hint="default" w:ascii="Times New Roman" w:hAnsi="Times New Roman" w:eastAsia="仿宋_GB2312" w:cs="Times New Roman"/>
          <w:sz w:val="32"/>
          <w:szCs w:val="32"/>
          <w:shd w:val="clear" w:color="auto" w:fill="FFFFFF"/>
        </w:rPr>
        <w:t>投资于</w:t>
      </w:r>
      <w:r>
        <w:rPr>
          <w:rFonts w:hint="eastAsia" w:ascii="Times New Roman" w:hAnsi="Times New Roman" w:eastAsia="仿宋_GB2312" w:cs="Times New Roman"/>
          <w:sz w:val="32"/>
          <w:szCs w:val="32"/>
          <w:shd w:val="clear" w:color="auto" w:fill="FFFFFF"/>
          <w:lang w:val="en-US" w:eastAsia="zh-CN"/>
        </w:rPr>
        <w:t>湘西州“</w:t>
      </w:r>
      <w:r>
        <w:rPr>
          <w:rFonts w:ascii="TimesNewRomanPSMT" w:hAnsi="TimesNewRomanPSMT" w:eastAsia="TimesNewRomanPSMT" w:cs="TimesNewRomanPSMT"/>
          <w:b w:val="0"/>
          <w:bCs w:val="0"/>
          <w:color w:val="000000"/>
          <w:sz w:val="31"/>
          <w:szCs w:val="31"/>
        </w:rPr>
        <w:t>1+5+X</w:t>
      </w:r>
      <w:r>
        <w:rPr>
          <w:rFonts w:ascii="仿宋_GB2312" w:hAnsi="仿宋_GB2312" w:eastAsia="仿宋_GB2312" w:cs="仿宋_GB2312"/>
          <w:b w:val="0"/>
          <w:bCs w:val="0"/>
          <w:color w:val="000000"/>
          <w:sz w:val="31"/>
          <w:szCs w:val="31"/>
        </w:rPr>
        <w:t>”现代化产业体系</w:t>
      </w:r>
      <w:r>
        <w:rPr>
          <w:rFonts w:hint="default" w:ascii="Times New Roman" w:hAnsi="Times New Roman" w:eastAsia="仿宋_GB2312" w:cs="Times New Roman"/>
          <w:sz w:val="32"/>
          <w:szCs w:val="32"/>
          <w:shd w:val="clear" w:color="auto" w:fill="FFFFFF"/>
        </w:rPr>
        <w:t>，支持传统产业向新兴产业转型，巩固支撑支柱性和先导性产业</w:t>
      </w:r>
      <w:r>
        <w:rPr>
          <w:rFonts w:hint="default" w:ascii="Times New Roman" w:hAnsi="Times New Roman" w:eastAsia="仿宋_GB2312" w:cs="Times New Roman"/>
          <w:sz w:val="32"/>
          <w:szCs w:val="48"/>
          <w:lang w:bidi="zh-CN"/>
        </w:rPr>
        <w:t>，</w:t>
      </w:r>
      <w:r>
        <w:rPr>
          <w:rFonts w:hint="default" w:ascii="Times New Roman" w:hAnsi="Times New Roman" w:eastAsia="仿宋_GB2312" w:cs="Times New Roman"/>
          <w:sz w:val="32"/>
          <w:szCs w:val="32"/>
        </w:rPr>
        <w:t>服务</w:t>
      </w:r>
      <w:r>
        <w:rPr>
          <w:rFonts w:hint="eastAsia" w:ascii="Times New Roman" w:hAnsi="Times New Roman" w:eastAsia="仿宋_GB2312" w:cs="Times New Roman"/>
          <w:sz w:val="32"/>
          <w:szCs w:val="32"/>
          <w:lang w:val="en-US" w:eastAsia="zh-CN"/>
        </w:rPr>
        <w:t>湘西州</w:t>
      </w:r>
      <w:r>
        <w:rPr>
          <w:rFonts w:hint="default" w:ascii="Times New Roman" w:hAnsi="Times New Roman" w:eastAsia="仿宋_GB2312" w:cs="Times New Roman"/>
          <w:sz w:val="32"/>
          <w:szCs w:val="32"/>
        </w:rPr>
        <w:t>的产业发展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重点投资领域包括但不限于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none"/>
          <w:lang w:val="en-US" w:eastAsia="zh-CN"/>
        </w:rPr>
        <w:t>湘西州内</w:t>
      </w:r>
      <w:r>
        <w:rPr>
          <w:rFonts w:hint="eastAsia" w:ascii="仿宋_GB2312" w:hAnsi="仿宋_GB2312" w:eastAsia="仿宋_GB2312" w:cs="仿宋_GB2312"/>
          <w:color w:val="auto"/>
          <w:kern w:val="2"/>
          <w:sz w:val="32"/>
          <w:szCs w:val="32"/>
          <w:highlight w:val="none"/>
          <w:shd w:val="clear" w:color="auto" w:fill="FFFFFF"/>
          <w:lang w:val="en-US" w:eastAsia="zh-CN" w:bidi="ar-SA"/>
        </w:rPr>
        <w:t>生态文化旅游业、特色农业及加工、酒业、绿色矿业及新材料、中医药和生物医药、新能源等新兴产业。</w:t>
      </w:r>
    </w:p>
    <w:p w14:paraId="711107F2">
      <w:pPr>
        <w:widowControl/>
        <w:shd w:val="clear" w:color="auto"/>
        <w:spacing w:line="60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二、子基金管理人应具备的基本条件</w:t>
      </w:r>
    </w:p>
    <w:p w14:paraId="49DC5F7F">
      <w:pPr>
        <w:widowControl/>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在中国大陆依法设立的公司或合伙企业，实收资本不低于1000万元人民币</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，具备中国证券投资基金业协会备案认可的私募基金管理人资质。</w:t>
      </w:r>
    </w:p>
    <w:p w14:paraId="0CAE0B8B">
      <w:pPr>
        <w:widowControl/>
        <w:shd w:val="clear" w:color="auto"/>
        <w:spacing w:line="600" w:lineRule="exact"/>
        <w:ind w:firstLine="627" w:firstLineChars="196"/>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具有健全的投资管理、风险控制、财务管理、项目遴选和投资决策机制。</w:t>
      </w:r>
    </w:p>
    <w:p w14:paraId="4F53D991">
      <w:pPr>
        <w:widowControl/>
        <w:shd w:val="clear" w:color="auto"/>
        <w:spacing w:line="600" w:lineRule="exact"/>
        <w:ind w:firstLine="627" w:firstLineChars="196"/>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（三）子基金</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管理人及其董事、监事、高级管理人员及其他从业人员在最近3年不存在重大违法违规行为，无不良信用记录，且未受到相关监管部门行政处罚。</w:t>
      </w:r>
    </w:p>
    <w:p w14:paraId="58FD5F1D">
      <w:pPr>
        <w:widowControl/>
        <w:shd w:val="clear" w:color="auto"/>
        <w:spacing w:line="600" w:lineRule="exact"/>
        <w:ind w:firstLine="627" w:firstLineChars="196"/>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子基金管理人核心管理团队</w:t>
      </w:r>
      <w:r>
        <w:rPr>
          <w:rFonts w:hint="default" w:ascii="Times New Roman" w:hAnsi="Times New Roman" w:eastAsia="仿宋_GB2312" w:cs="Times New Roman"/>
          <w:sz w:val="32"/>
          <w:szCs w:val="32"/>
        </w:rPr>
        <w:t>具备3名5年以上股权投资</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、资产管理工作或相关业务的专职高级管理人员，</w:t>
      </w:r>
      <w:r>
        <w:rPr>
          <w:rFonts w:hint="eastAsia" w:ascii="仿宋_GB2312" w:hAnsi="仿宋_GB2312" w:eastAsia="仿宋_GB2312" w:cs="仿宋_GB2312"/>
          <w:color w:val="auto"/>
          <w:sz w:val="32"/>
          <w:szCs w:val="32"/>
          <w:highlight w:val="none"/>
          <w:shd w:val="clear" w:color="auto" w:fill="FFFFFF"/>
        </w:rPr>
        <w:t>且高管人员已取得良好的管理业绩，有3个以上基金投资成功案例</w:t>
      </w:r>
      <w:r>
        <w:rPr>
          <w:rFonts w:hint="eastAsia" w:ascii="仿宋_GB2312" w:hAnsi="仿宋_GB2312" w:eastAsia="仿宋_GB2312" w:cs="仿宋_GB2312"/>
          <w:color w:val="auto"/>
          <w:sz w:val="32"/>
          <w:szCs w:val="32"/>
          <w:highlight w:val="none"/>
          <w:shd w:val="clear" w:color="auto" w:fill="FFFFFF"/>
          <w:lang w:eastAsia="zh-CN"/>
        </w:rPr>
        <w:t>。</w:t>
      </w:r>
    </w:p>
    <w:p w14:paraId="0D21620C">
      <w:pPr>
        <w:widowControl/>
        <w:shd w:val="clear" w:color="auto"/>
        <w:spacing w:line="600" w:lineRule="exact"/>
        <w:ind w:firstLine="627" w:firstLineChars="196"/>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）子基金管理人或核心团队成员过去</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年累计投资金额不低于</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亿元</w:t>
      </w:r>
      <w:r>
        <w:rPr>
          <w:rFonts w:hint="eastAsia" w:ascii="Times New Roman" w:hAnsi="Times New Roman" w:eastAsia="仿宋_GB2312" w:cs="Times New Roman"/>
          <w:sz w:val="32"/>
          <w:szCs w:val="32"/>
          <w:lang w:eastAsia="zh-CN"/>
        </w:rPr>
        <w:t>。</w:t>
      </w:r>
    </w:p>
    <w:p w14:paraId="5A87C5BA">
      <w:pPr>
        <w:widowControl/>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）子基金管理人或核心团队成员在其所申报的产业链领域中主导的成功投资并退出案例不少于</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w:t>
      </w:r>
      <w:r>
        <w:rPr>
          <w:rFonts w:hint="eastAsia" w:ascii="Times New Roman" w:hAnsi="Times New Roman" w:eastAsia="仿宋_GB2312" w:cs="Times New Roman"/>
          <w:sz w:val="32"/>
          <w:szCs w:val="32"/>
          <w:shd w:val="clear"/>
          <w:lang w:val="en-US" w:eastAsia="zh-CN"/>
        </w:rPr>
        <w:t>或管理2支以上的基金</w:t>
      </w:r>
      <w:r>
        <w:rPr>
          <w:rFonts w:hint="default" w:ascii="Times New Roman" w:hAnsi="Times New Roman" w:eastAsia="仿宋_GB2312" w:cs="Times New Roman"/>
          <w:sz w:val="32"/>
          <w:szCs w:val="32"/>
          <w:shd w:val="clear"/>
        </w:rPr>
        <w:t>年化综合收益率</w:t>
      </w:r>
      <w:r>
        <w:rPr>
          <w:rFonts w:hint="eastAsia" w:ascii="Times New Roman" w:hAnsi="Times New Roman" w:eastAsia="仿宋_GB2312" w:cs="Times New Roman"/>
          <w:sz w:val="32"/>
          <w:szCs w:val="32"/>
          <w:shd w:val="clear"/>
          <w:lang w:val="en-US" w:eastAsia="zh-CN"/>
        </w:rPr>
        <w:t>均</w:t>
      </w:r>
      <w:r>
        <w:rPr>
          <w:rFonts w:hint="default" w:ascii="Times New Roman" w:hAnsi="Times New Roman" w:eastAsia="仿宋_GB2312" w:cs="Times New Roman"/>
          <w:sz w:val="32"/>
          <w:szCs w:val="32"/>
          <w:shd w:val="clear"/>
        </w:rPr>
        <w:t>在</w:t>
      </w:r>
      <w:r>
        <w:rPr>
          <w:rFonts w:hint="eastAsia" w:ascii="Times New Roman" w:hAnsi="Times New Roman" w:eastAsia="仿宋_GB2312" w:cs="Times New Roman"/>
          <w:sz w:val="32"/>
          <w:szCs w:val="32"/>
          <w:shd w:val="clear"/>
          <w:lang w:val="en-US" w:eastAsia="zh-CN"/>
        </w:rPr>
        <w:t>10</w:t>
      </w:r>
      <w:r>
        <w:rPr>
          <w:rFonts w:hint="default" w:ascii="Times New Roman" w:hAnsi="Times New Roman" w:eastAsia="仿宋_GB2312" w:cs="Times New Roman"/>
          <w:sz w:val="32"/>
          <w:szCs w:val="32"/>
          <w:shd w:val="clear"/>
        </w:rPr>
        <w:t>%以上</w:t>
      </w:r>
      <w:r>
        <w:rPr>
          <w:rFonts w:hint="default" w:ascii="Times New Roman" w:hAnsi="Times New Roman" w:eastAsia="仿宋_GB2312" w:cs="Times New Roman"/>
          <w:sz w:val="32"/>
          <w:szCs w:val="32"/>
          <w:highlight w:val="none"/>
        </w:rPr>
        <w:t>（S策略基金除外）</w:t>
      </w:r>
      <w:r>
        <w:rPr>
          <w:rFonts w:hint="eastAsia" w:ascii="Times New Roman" w:hAnsi="Times New Roman" w:eastAsia="仿宋_GB2312" w:cs="Times New Roman"/>
          <w:sz w:val="32"/>
          <w:szCs w:val="32"/>
          <w:highlight w:val="none"/>
          <w:lang w:eastAsia="zh-CN"/>
        </w:rPr>
        <w:t>。</w:t>
      </w:r>
    </w:p>
    <w:p w14:paraId="453B4C5A">
      <w:pPr>
        <w:pStyle w:val="5"/>
        <w:spacing w:line="600" w:lineRule="exact"/>
        <w:ind w:firstLine="640" w:firstLineChars="200"/>
        <w:rPr>
          <w:rFonts w:hint="default"/>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七</w:t>
      </w:r>
      <w:r>
        <w:rPr>
          <w:rFonts w:hint="default" w:ascii="Times New Roman" w:hAnsi="Times New Roman" w:eastAsia="仿宋_GB2312" w:cs="Times New Roman"/>
          <w:sz w:val="32"/>
          <w:szCs w:val="32"/>
        </w:rPr>
        <w:t>）子基金管理人或核心团队成员累计管理的股权投资基金实缴规模不低于</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亿元</w:t>
      </w:r>
      <w:r>
        <w:rPr>
          <w:rFonts w:hint="eastAsia" w:eastAsia="仿宋_GB2312" w:cs="Times New Roman"/>
          <w:sz w:val="32"/>
          <w:szCs w:val="32"/>
          <w:lang w:eastAsia="zh-CN"/>
        </w:rPr>
        <w:t>。</w:t>
      </w:r>
    </w:p>
    <w:p w14:paraId="5D0670B0">
      <w:pPr>
        <w:pStyle w:val="5"/>
        <w:spacing w:line="600" w:lineRule="exact"/>
        <w:ind w:firstLine="640" w:firstLineChars="200"/>
        <w:rPr>
          <w:rFonts w:hint="default"/>
          <w:lang w:val="en-US"/>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八</w:t>
      </w:r>
      <w:r>
        <w:rPr>
          <w:rFonts w:hint="default" w:ascii="Times New Roman" w:hAnsi="Times New Roman" w:eastAsia="仿宋_GB2312" w:cs="Times New Roman"/>
          <w:sz w:val="32"/>
          <w:szCs w:val="32"/>
        </w:rPr>
        <w:t>）兼具较强的募资能力、丰富的投资管理经验和良好的管理业绩，建立健全的投资管理和风险控制流程和规范的项目遴选机制，能够为被投资企业提供创业辅导、管理咨询等增值服务</w:t>
      </w:r>
      <w:r>
        <w:rPr>
          <w:rFonts w:hint="eastAsia" w:eastAsia="仿宋_GB2312" w:cs="Times New Roman"/>
          <w:sz w:val="32"/>
          <w:szCs w:val="32"/>
          <w:lang w:eastAsia="zh-CN"/>
        </w:rPr>
        <w:t>。</w:t>
      </w:r>
    </w:p>
    <w:p w14:paraId="5A21EF7D">
      <w:pPr>
        <w:pStyle w:val="5"/>
        <w:widowControl/>
        <w:shd w:val="clear" w:color="auto"/>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九</w:t>
      </w:r>
      <w:r>
        <w:rPr>
          <w:rFonts w:hint="default" w:ascii="Times New Roman" w:hAnsi="Times New Roman" w:eastAsia="仿宋_GB2312" w:cs="Times New Roman"/>
          <w:sz w:val="32"/>
          <w:szCs w:val="32"/>
          <w:highlight w:val="none"/>
        </w:rPr>
        <w:t>）提交</w:t>
      </w:r>
      <w:r>
        <w:rPr>
          <w:rFonts w:hint="eastAsia" w:ascii="Times New Roman" w:hAnsi="Times New Roman" w:eastAsia="仿宋_GB2312" w:cs="Times New Roman"/>
          <w:sz w:val="32"/>
          <w:szCs w:val="32"/>
          <w:highlight w:val="none"/>
          <w:lang w:val="en-US" w:eastAsia="zh-CN"/>
        </w:rPr>
        <w:t>子基金设立或增资</w:t>
      </w:r>
      <w:r>
        <w:rPr>
          <w:rFonts w:hint="default" w:ascii="Times New Roman" w:hAnsi="Times New Roman" w:eastAsia="仿宋_GB2312" w:cs="Times New Roman"/>
          <w:sz w:val="32"/>
          <w:szCs w:val="32"/>
          <w:highlight w:val="none"/>
        </w:rPr>
        <w:t>方案时，取得拟设立子基金总规模至少</w:t>
      </w:r>
      <w:r>
        <w:rPr>
          <w:rFonts w:hint="eastAsia" w:ascii="Times New Roman" w:hAnsi="Times New Roman" w:eastAsia="仿宋_GB2312" w:cs="Times New Roman"/>
          <w:sz w:val="32"/>
          <w:szCs w:val="32"/>
          <w:highlight w:val="none"/>
          <w:lang w:eastAsia="zh"/>
          <w:woUserID w:val="2"/>
        </w:rPr>
        <w:t>30</w:t>
      </w:r>
      <w:r>
        <w:rPr>
          <w:rFonts w:hint="default" w:ascii="Times New Roman" w:hAnsi="Times New Roman" w:eastAsia="仿宋_GB2312" w:cs="Times New Roman"/>
          <w:sz w:val="32"/>
          <w:szCs w:val="32"/>
          <w:highlight w:val="none"/>
        </w:rPr>
        <w:t>%额度的出资意向（</w:t>
      </w:r>
      <w:r>
        <w:rPr>
          <w:rFonts w:hint="eastAsia" w:ascii="Times New Roman" w:hAnsi="Times New Roman" w:eastAsia="仿宋_GB2312" w:cs="Times New Roman"/>
          <w:sz w:val="32"/>
          <w:szCs w:val="32"/>
          <w:highlight w:val="none"/>
          <w:lang w:val="en-US" w:eastAsia="zh-CN"/>
        </w:rPr>
        <w:t>不</w:t>
      </w:r>
      <w:r>
        <w:rPr>
          <w:rFonts w:hint="default" w:ascii="Times New Roman" w:hAnsi="Times New Roman" w:eastAsia="仿宋_GB2312" w:cs="Times New Roman"/>
          <w:sz w:val="32"/>
          <w:szCs w:val="32"/>
          <w:highlight w:val="none"/>
        </w:rPr>
        <w:t>含</w:t>
      </w:r>
      <w:r>
        <w:rPr>
          <w:rFonts w:hint="eastAsia" w:ascii="Times New Roman" w:hAnsi="Times New Roman" w:eastAsia="仿宋_GB2312" w:cs="Times New Roman"/>
          <w:sz w:val="32"/>
          <w:szCs w:val="32"/>
          <w:highlight w:val="none"/>
          <w:lang w:val="en-US" w:eastAsia="zh-CN"/>
        </w:rPr>
        <w:t>湘西金芙蓉</w:t>
      </w:r>
      <w:r>
        <w:rPr>
          <w:rFonts w:hint="default" w:ascii="Times New Roman" w:hAnsi="Times New Roman" w:eastAsia="仿宋_GB2312" w:cs="Times New Roman"/>
          <w:sz w:val="32"/>
          <w:szCs w:val="32"/>
          <w:highlight w:val="none"/>
        </w:rPr>
        <w:t>母基金</w:t>
      </w:r>
      <w:r>
        <w:rPr>
          <w:rFonts w:hint="eastAsia" w:ascii="Times New Roman" w:hAnsi="Times New Roman" w:eastAsia="仿宋_GB2312" w:cs="Times New Roman"/>
          <w:sz w:val="32"/>
          <w:szCs w:val="32"/>
          <w:highlight w:val="none"/>
          <w:lang w:val="en-US" w:eastAsia="zh-CN"/>
        </w:rPr>
        <w:t>出资部分</w:t>
      </w:r>
      <w:r>
        <w:rPr>
          <w:rFonts w:hint="default" w:ascii="Times New Roman" w:hAnsi="Times New Roman" w:eastAsia="仿宋_GB2312" w:cs="Times New Roman"/>
          <w:sz w:val="32"/>
          <w:szCs w:val="32"/>
          <w:highlight w:val="none"/>
        </w:rPr>
        <w:t>），并提供拟出资人出资意向函等材料</w:t>
      </w:r>
      <w:r>
        <w:rPr>
          <w:rFonts w:hint="default" w:ascii="Times New Roman" w:hAnsi="Times New Roman" w:eastAsia="仿宋_GB2312" w:cs="Times New Roman"/>
          <w:sz w:val="32"/>
          <w:szCs w:val="32"/>
          <w:highlight w:val="none"/>
          <w:lang w:eastAsia="zh-CN"/>
        </w:rPr>
        <w:t>。</w:t>
      </w:r>
    </w:p>
    <w:p w14:paraId="2A8B0992">
      <w:pPr>
        <w:pStyle w:val="5"/>
        <w:spacing w:line="600" w:lineRule="exact"/>
        <w:ind w:left="0" w:leftChars="0" w:firstLine="640" w:firstLineChars="200"/>
        <w:rPr>
          <w:rFonts w:hint="default" w:eastAsia="仿宋_GB2312"/>
          <w:sz w:val="32"/>
          <w:szCs w:val="32"/>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shd w:val="clear" w:color="auto" w:fill="FFFFFF"/>
        </w:rPr>
        <w:t>应对子基金认缴出资，出资比例不低于1%</w:t>
      </w:r>
      <w:r>
        <w:rPr>
          <w:rFonts w:hint="default" w:ascii="Times New Roman" w:hAnsi="Times New Roman" w:eastAsia="仿宋_GB2312" w:cs="Times New Roman"/>
          <w:color w:val="auto"/>
          <w:sz w:val="32"/>
          <w:szCs w:val="32"/>
          <w:highlight w:val="none"/>
          <w:shd w:val="clear" w:color="auto" w:fill="FFFFFF"/>
          <w:lang w:eastAsia="zh-CN"/>
        </w:rPr>
        <w:t>。</w:t>
      </w:r>
    </w:p>
    <w:p w14:paraId="38893D1C">
      <w:pPr>
        <w:pStyle w:val="5"/>
        <w:spacing w:after="0" w:line="600" w:lineRule="exact"/>
        <w:ind w:firstLine="640" w:firstLineChars="200"/>
        <w:rPr>
          <w:rFonts w:hint="default" w:ascii="Times New Roman" w:hAnsi="Times New Roman" w:eastAsia="仿宋_GB2312" w:cs="Times New Roman"/>
          <w:w w:val="100"/>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（十一）有符合要求的营业场所、安全防范设施和与基金管理业务有关的其他设施。</w:t>
      </w:r>
    </w:p>
    <w:p w14:paraId="3AF006E0">
      <w:pPr>
        <w:pStyle w:val="18"/>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三、子基金设立要求</w:t>
      </w:r>
    </w:p>
    <w:p w14:paraId="06260A96">
      <w:pPr>
        <w:widowControl/>
        <w:shd w:val="clear" w:color="auto"/>
        <w:spacing w:line="600" w:lineRule="exact"/>
        <w:ind w:firstLine="627" w:firstLineChars="196"/>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湘西金芙蓉</w:t>
      </w:r>
      <w:r>
        <w:rPr>
          <w:rFonts w:hint="default" w:ascii="Times New Roman" w:hAnsi="Times New Roman" w:eastAsia="仿宋_GB2312" w:cs="Times New Roman"/>
          <w:sz w:val="32"/>
          <w:szCs w:val="32"/>
        </w:rPr>
        <w:t>母基金参股设立子基金，子基金须符合下列要求：</w:t>
      </w:r>
    </w:p>
    <w:p w14:paraId="7432E167">
      <w:pPr>
        <w:widowControl/>
        <w:shd w:val="clear" w:color="auto"/>
        <w:spacing w:line="60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（一）基金规模：</w:t>
      </w:r>
      <w:r>
        <w:rPr>
          <w:rFonts w:hint="default" w:ascii="Times New Roman" w:hAnsi="Times New Roman" w:eastAsia="仿宋_GB2312" w:cs="Times New Roman"/>
          <w:sz w:val="32"/>
          <w:szCs w:val="32"/>
        </w:rPr>
        <w:t>子基金的规模应不低于</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亿元。</w:t>
      </w:r>
    </w:p>
    <w:p w14:paraId="03FAFCBB">
      <w:pPr>
        <w:widowControl/>
        <w:shd w:val="clear" w:color="auto"/>
        <w:spacing w:line="600" w:lineRule="exact"/>
        <w:ind w:firstLine="630"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rPr>
        <w:t>（二）基金出资：</w:t>
      </w:r>
      <w:r>
        <w:rPr>
          <w:rFonts w:hint="default" w:ascii="Times New Roman" w:hAnsi="Times New Roman" w:eastAsia="仿宋_GB2312" w:cs="Times New Roman"/>
          <w:sz w:val="32"/>
          <w:szCs w:val="32"/>
        </w:rPr>
        <w:t>母基金</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单</w:t>
      </w:r>
      <w:r>
        <w:rPr>
          <w:rFonts w:hint="eastAsia" w:ascii="Times New Roman" w:hAnsi="Times New Roman" w:eastAsia="仿宋_GB2312" w:cs="Times New Roman"/>
          <w:sz w:val="32"/>
          <w:szCs w:val="32"/>
          <w:lang w:val="en-US" w:eastAsia="zh-CN"/>
        </w:rPr>
        <w:t>支</w:t>
      </w:r>
      <w:r>
        <w:rPr>
          <w:rFonts w:hint="default" w:ascii="Times New Roman" w:hAnsi="Times New Roman" w:eastAsia="仿宋_GB2312" w:cs="Times New Roman"/>
          <w:sz w:val="32"/>
          <w:szCs w:val="32"/>
        </w:rPr>
        <w:t>子基金的</w:t>
      </w:r>
      <w:r>
        <w:rPr>
          <w:rFonts w:hint="eastAsia" w:ascii="Times New Roman" w:hAnsi="Times New Roman" w:eastAsia="仿宋_GB2312" w:cs="Times New Roman"/>
          <w:sz w:val="32"/>
          <w:szCs w:val="32"/>
          <w:lang w:val="en-US" w:eastAsia="zh-CN"/>
        </w:rPr>
        <w:t>认缴</w:t>
      </w:r>
      <w:r>
        <w:rPr>
          <w:rFonts w:hint="default" w:ascii="Times New Roman" w:hAnsi="Times New Roman" w:eastAsia="仿宋_GB2312" w:cs="Times New Roman"/>
          <w:sz w:val="32"/>
          <w:szCs w:val="32"/>
        </w:rPr>
        <w:t>金额，不超过</w:t>
      </w:r>
      <w:r>
        <w:rPr>
          <w:rFonts w:hint="eastAsia" w:ascii="Times New Roman" w:hAnsi="Times New Roman" w:eastAsia="仿宋_GB2312" w:cs="Times New Roman"/>
          <w:sz w:val="32"/>
          <w:szCs w:val="32"/>
          <w:lang w:eastAsia="zh"/>
          <w:woUserID w:val="2"/>
        </w:rPr>
        <w:t>子基金</w:t>
      </w:r>
      <w:r>
        <w:rPr>
          <w:rFonts w:hint="default" w:ascii="Times New Roman" w:hAnsi="Times New Roman" w:eastAsia="仿宋_GB2312" w:cs="Times New Roman"/>
          <w:sz w:val="32"/>
          <w:szCs w:val="32"/>
        </w:rPr>
        <w:t>总规模的</w:t>
      </w:r>
      <w:r>
        <w:rPr>
          <w:rFonts w:hint="eastAsia" w:ascii="Times New Roman" w:hAnsi="Times New Roman" w:eastAsia="仿宋_GB2312" w:cs="Times New Roman"/>
          <w:sz w:val="32"/>
          <w:szCs w:val="32"/>
          <w:lang w:eastAsia="zh"/>
          <w:woUserID w:val="2"/>
        </w:rPr>
        <w:t>7</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highlight w:val="none"/>
        </w:rPr>
        <w:t>。</w:t>
      </w:r>
    </w:p>
    <w:p w14:paraId="1E049623">
      <w:pPr>
        <w:widowControl/>
        <w:shd w:val="clear" w:color="auto"/>
        <w:spacing w:line="60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（三）存续期限：</w:t>
      </w:r>
      <w:r>
        <w:rPr>
          <w:rFonts w:hint="default" w:ascii="Times New Roman" w:hAnsi="Times New Roman" w:eastAsia="仿宋_GB2312" w:cs="Times New Roman"/>
          <w:sz w:val="32"/>
          <w:szCs w:val="32"/>
        </w:rPr>
        <w:t>原则上投资期限一般不超过</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原则上</w:t>
      </w:r>
      <w:r>
        <w:rPr>
          <w:rFonts w:hint="default" w:ascii="Times New Roman" w:hAnsi="Times New Roman" w:eastAsia="仿宋_GB2312" w:cs="Times New Roman"/>
          <w:sz w:val="32"/>
          <w:szCs w:val="32"/>
        </w:rPr>
        <w:t>存续期最长不超过</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不</w:t>
      </w:r>
      <w:r>
        <w:rPr>
          <w:rFonts w:hint="default" w:ascii="Times New Roman" w:hAnsi="Times New Roman" w:eastAsia="仿宋_GB2312" w:cs="Times New Roman"/>
          <w:sz w:val="32"/>
          <w:szCs w:val="32"/>
        </w:rPr>
        <w:t>含延长期）。</w:t>
      </w:r>
    </w:p>
    <w:p w14:paraId="42FC4F65">
      <w:pPr>
        <w:widowControl/>
        <w:shd w:val="clear" w:color="auto"/>
        <w:spacing w:line="600" w:lineRule="exact"/>
        <w:ind w:firstLine="630"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rPr>
        <w:t>（四）投资领域：</w:t>
      </w:r>
      <w:r>
        <w:rPr>
          <w:rFonts w:hint="default" w:ascii="Times New Roman" w:hAnsi="Times New Roman" w:eastAsia="仿宋_GB2312" w:cs="Times New Roman"/>
          <w:sz w:val="32"/>
          <w:szCs w:val="32"/>
        </w:rPr>
        <w:t>子基金投资领域应重点聚焦于</w:t>
      </w:r>
      <w:r>
        <w:rPr>
          <w:rFonts w:hint="eastAsia" w:ascii="Times New Roman" w:hAnsi="Times New Roman" w:eastAsia="仿宋_GB2312" w:cs="Times New Roman"/>
          <w:sz w:val="32"/>
          <w:szCs w:val="32"/>
          <w:u w:val="none"/>
          <w:lang w:val="en-US" w:eastAsia="zh-CN"/>
        </w:rPr>
        <w:t>湘西州</w:t>
      </w:r>
      <w:r>
        <w:rPr>
          <w:rFonts w:hint="eastAsia" w:ascii="仿宋_GB2312" w:hAnsi="仿宋_GB2312" w:eastAsia="仿宋_GB2312" w:cs="仿宋_GB2312"/>
          <w:color w:val="auto"/>
          <w:kern w:val="2"/>
          <w:sz w:val="32"/>
          <w:szCs w:val="32"/>
          <w:highlight w:val="none"/>
          <w:shd w:val="clear" w:color="auto" w:fill="FFFFFF"/>
          <w:lang w:val="en-US" w:eastAsia="zh-CN" w:bidi="ar-SA"/>
        </w:rPr>
        <w:t>生态文化旅游业、特色农业及加工、酒业、绿色矿业及新材料、中医药和生物医药、新能源等新兴产业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子基金在其申报的产业链投资规模应不低于子基金规模的</w:t>
      </w:r>
      <w:r>
        <w:rPr>
          <w:rFonts w:hint="default" w:ascii="Times New Roman" w:hAnsi="Times New Roman" w:eastAsia="仿宋_GB2312" w:cs="Times New Roman"/>
          <w:sz w:val="32"/>
          <w:szCs w:val="32"/>
          <w:highlight w:val="none"/>
        </w:rPr>
        <w:t>50%（S策略基金除外）。</w:t>
      </w:r>
    </w:p>
    <w:p w14:paraId="0D6B7DCA">
      <w:pPr>
        <w:widowControl/>
        <w:shd w:val="clear" w:color="auto"/>
        <w:spacing w:line="600" w:lineRule="exact"/>
        <w:ind w:firstLine="630" w:firstLineChars="196"/>
        <w:rPr>
          <w:rFonts w:hint="default"/>
        </w:rPr>
      </w:pP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）投资</w:t>
      </w:r>
      <w:r>
        <w:rPr>
          <w:rFonts w:hint="eastAsia" w:ascii="Times New Roman" w:hAnsi="Times New Roman" w:eastAsia="仿宋_GB2312" w:cs="Times New Roman"/>
          <w:b/>
          <w:bCs/>
          <w:sz w:val="32"/>
          <w:szCs w:val="32"/>
          <w:lang w:val="en-US" w:eastAsia="zh-CN"/>
        </w:rPr>
        <w:t>限制</w:t>
      </w:r>
      <w:r>
        <w:rPr>
          <w:rFonts w:hint="default" w:ascii="Times New Roman" w:hAnsi="Times New Roman" w:eastAsia="仿宋_GB2312" w:cs="Times New Roman"/>
          <w:b/>
          <w:bCs/>
          <w:sz w:val="32"/>
          <w:szCs w:val="32"/>
        </w:rPr>
        <w:t>：</w:t>
      </w:r>
      <w:r>
        <w:rPr>
          <w:rFonts w:hint="default" w:ascii="Times New Roman" w:hAnsi="Times New Roman" w:eastAsia="仿宋_GB2312"/>
          <w:sz w:val="32"/>
          <w:szCs w:val="32"/>
        </w:rPr>
        <w:t>子基金不得从事法律法规规定及母基金管理办法明确禁止私募股权基金从事的业务。</w:t>
      </w:r>
      <w:r>
        <w:rPr>
          <w:rFonts w:hint="default" w:ascii="Times New Roman" w:hAnsi="Times New Roman" w:eastAsia="仿宋_GB2312"/>
          <w:sz w:val="32"/>
          <w:szCs w:val="32"/>
          <w:highlight w:val="none"/>
        </w:rPr>
        <w:t>子基金对单个企业项目投资金额原则上不超过子基金总规模的30%，且占单个企业项目总股比不超过30%。</w:t>
      </w:r>
      <w:r>
        <w:rPr>
          <w:rFonts w:hint="default" w:ascii="Times New Roman" w:hAnsi="Times New Roman" w:eastAsia="仿宋_GB2312"/>
          <w:sz w:val="32"/>
          <w:szCs w:val="32"/>
        </w:rPr>
        <w:t>子基金原则上不再投资新的子基金，如需投资子基金需经母基金管理人同意。</w:t>
      </w:r>
    </w:p>
    <w:p w14:paraId="2C6941B8">
      <w:pPr>
        <w:spacing w:line="600" w:lineRule="exact"/>
        <w:ind w:firstLine="643" w:firstLineChars="200"/>
        <w:rPr>
          <w:rFonts w:ascii="Times New Roman" w:hAnsi="Times New Roman" w:eastAsia="仿宋_GB2312" w:cs="Times New Roman"/>
          <w:sz w:val="32"/>
          <w:szCs w:val="32"/>
          <w:u w:val="none"/>
          <w:woUserID w:val="2"/>
        </w:rPr>
      </w:pP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rPr>
        <w:t>）投资地域：</w:t>
      </w:r>
      <w:r>
        <w:rPr>
          <w:rFonts w:hint="default" w:ascii="Times New Roman" w:hAnsi="Times New Roman" w:eastAsia="仿宋_GB2312" w:cs="Times New Roman"/>
          <w:sz w:val="32"/>
          <w:szCs w:val="32"/>
        </w:rPr>
        <w:t>子基金须将不低于母基金实缴出资金额的1倍返投于</w:t>
      </w:r>
      <w:r>
        <w:rPr>
          <w:rFonts w:hint="eastAsia" w:ascii="Times New Roman" w:hAnsi="Times New Roman" w:eastAsia="仿宋_GB2312" w:cs="Times New Roman"/>
          <w:sz w:val="32"/>
          <w:szCs w:val="32"/>
          <w:lang w:val="en-US" w:eastAsia="zh-CN"/>
        </w:rPr>
        <w:t>湘西州</w:t>
      </w:r>
      <w:r>
        <w:rPr>
          <w:rFonts w:hint="default" w:ascii="Times New Roman" w:hAnsi="Times New Roman" w:eastAsia="仿宋_GB2312" w:cs="Times New Roman"/>
          <w:sz w:val="32"/>
          <w:szCs w:val="32"/>
        </w:rPr>
        <w:t>内（S策略基金除外）。返投</w:t>
      </w:r>
      <w:r>
        <w:rPr>
          <w:rFonts w:hint="eastAsia" w:ascii="Times New Roman" w:hAnsi="Times New Roman" w:eastAsia="仿宋_GB2312" w:cs="Times New Roman"/>
          <w:sz w:val="32"/>
          <w:szCs w:val="32"/>
          <w:lang w:val="en-US" w:eastAsia="zh-CN"/>
        </w:rPr>
        <w:t>范围包括</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湘西州</w:t>
      </w:r>
      <w:r>
        <w:rPr>
          <w:rFonts w:hint="eastAsia" w:ascii="仿宋_GB2312" w:hAnsi="仿宋_GB2312" w:eastAsia="仿宋_GB2312" w:cs="仿宋_GB2312"/>
          <w:color w:val="000000" w:themeColor="text1"/>
          <w:sz w:val="32"/>
          <w:szCs w:val="32"/>
          <w:u w:val="none"/>
          <w:shd w:val="clear" w:color="auto" w:fill="FFFFFF"/>
          <w14:textFill>
            <w14:solidFill>
              <w14:schemeClr w14:val="tx1"/>
            </w14:solidFill>
          </w14:textFill>
        </w:rPr>
        <w:t>区域内企业</w:t>
      </w:r>
      <w:r>
        <w:rPr>
          <w:rFonts w:hint="eastAsia" w:ascii="仿宋_GB2312" w:hAnsi="仿宋_GB2312" w:eastAsia="仿宋_GB2312" w:cs="仿宋_GB2312"/>
          <w:color w:val="000000" w:themeColor="text1"/>
          <w:sz w:val="32"/>
          <w:szCs w:val="32"/>
          <w:u w:val="none"/>
          <w:shd w:val="clear" w:color="auto" w:fill="FFFFFF"/>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u w:val="none"/>
          <w:shd w:val="clear" w:color="auto" w:fill="FFFFFF"/>
          <w14:textFill>
            <w14:solidFill>
              <w14:schemeClr w14:val="tx1"/>
            </w14:solidFill>
          </w14:textFill>
        </w:rPr>
        <w:t>投资</w:t>
      </w:r>
      <w:r>
        <w:rPr>
          <w:rFonts w:hint="eastAsia" w:ascii="仿宋_GB2312" w:hAnsi="仿宋_GB2312" w:eastAsia="仿宋_GB2312" w:cs="仿宋_GB2312"/>
          <w:color w:val="000000" w:themeColor="text1"/>
          <w:sz w:val="32"/>
          <w:szCs w:val="32"/>
          <w:highlight w:val="none"/>
          <w:u w:val="none"/>
          <w:shd w:val="clear" w:color="auto" w:fill="FFFFFF"/>
          <w14:textFill>
            <w14:solidFill>
              <w14:schemeClr w14:val="tx1"/>
            </w14:solidFill>
          </w14:textFill>
        </w:rPr>
        <w:t>、被投区域外企业被区域内企业并购、</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被投区域外企业在区域内投资、被投区域外企业迁址区域内等</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u w:val="none"/>
          <w:woUserID w:val="2"/>
        </w:rPr>
        <w:t>具体返投界定如下：</w:t>
      </w:r>
    </w:p>
    <w:p w14:paraId="23560E0E">
      <w:pPr>
        <w:widowControl/>
        <w:numPr>
          <w:ilvl w:val="0"/>
          <w:numId w:val="2"/>
        </w:numPr>
        <w:spacing w:line="600" w:lineRule="exact"/>
        <w:ind w:firstLine="640" w:firstLineChars="200"/>
        <w:rPr>
          <w:rFonts w:ascii="Times New Roman" w:hAnsi="Times New Roman" w:eastAsia="仿宋_GB2312" w:cs="Times New Roman"/>
          <w:sz w:val="32"/>
          <w:szCs w:val="32"/>
          <w:u w:val="none"/>
          <w:woUserID w:val="2"/>
        </w:rPr>
      </w:pPr>
      <w:r>
        <w:rPr>
          <w:rFonts w:ascii="Times New Roman" w:hAnsi="Times New Roman" w:eastAsia="仿宋_GB2312" w:cs="Times New Roman"/>
          <w:sz w:val="32"/>
          <w:szCs w:val="32"/>
          <w:u w:val="none"/>
          <w:woUserID w:val="2"/>
        </w:rPr>
        <w:t>直接投资</w:t>
      </w:r>
      <w:r>
        <w:rPr>
          <w:rFonts w:hint="eastAsia" w:ascii="Times New Roman" w:hAnsi="Times New Roman" w:eastAsia="仿宋_GB2312" w:cs="Times New Roman"/>
          <w:sz w:val="32"/>
          <w:szCs w:val="32"/>
          <w:u w:val="none"/>
          <w:lang w:val="en-US" w:eastAsia="zh-CN"/>
          <w:woUserID w:val="2"/>
        </w:rPr>
        <w:t>湘西州</w:t>
      </w:r>
      <w:r>
        <w:rPr>
          <w:rFonts w:ascii="Times New Roman" w:hAnsi="Times New Roman" w:eastAsia="仿宋_GB2312" w:cs="Times New Roman"/>
          <w:sz w:val="32"/>
          <w:szCs w:val="32"/>
          <w:u w:val="none"/>
          <w:woUserID w:val="2"/>
        </w:rPr>
        <w:t>内企业，按照子基金投资的金额计算投资返投金额；</w:t>
      </w:r>
    </w:p>
    <w:p w14:paraId="5C4F637E">
      <w:pPr>
        <w:widowControl/>
        <w:numPr>
          <w:ilvl w:val="0"/>
          <w:numId w:val="2"/>
        </w:numPr>
        <w:spacing w:line="600" w:lineRule="exact"/>
        <w:ind w:firstLine="640" w:firstLineChars="200"/>
        <w:rPr>
          <w:rFonts w:ascii="Times New Roman" w:hAnsi="Times New Roman" w:eastAsia="仿宋_GB2312" w:cs="Times New Roman"/>
          <w:sz w:val="32"/>
          <w:szCs w:val="32"/>
          <w:u w:val="none"/>
          <w:woUserID w:val="2"/>
        </w:rPr>
      </w:pPr>
      <w:r>
        <w:rPr>
          <w:rFonts w:ascii="Times New Roman" w:hAnsi="Times New Roman" w:eastAsia="仿宋_GB2312"/>
          <w:sz w:val="32"/>
          <w:szCs w:val="32"/>
          <w:u w:val="none"/>
          <w:woUserID w:val="2"/>
        </w:rPr>
        <w:t>投资</w:t>
      </w:r>
      <w:r>
        <w:rPr>
          <w:rFonts w:hint="eastAsia" w:ascii="Times New Roman" w:hAnsi="Times New Roman" w:eastAsia="仿宋_GB2312"/>
          <w:sz w:val="32"/>
          <w:szCs w:val="32"/>
          <w:u w:val="none"/>
          <w:lang w:val="en-US" w:eastAsia="zh-CN"/>
          <w:woUserID w:val="2"/>
        </w:rPr>
        <w:t>湘西州</w:t>
      </w:r>
      <w:r>
        <w:rPr>
          <w:rFonts w:ascii="Times New Roman" w:hAnsi="Times New Roman" w:eastAsia="仿宋_GB2312"/>
          <w:sz w:val="32"/>
          <w:szCs w:val="32"/>
          <w:u w:val="none"/>
          <w:woUserID w:val="2"/>
        </w:rPr>
        <w:t>外企业被</w:t>
      </w:r>
      <w:r>
        <w:rPr>
          <w:rFonts w:hint="eastAsia" w:ascii="Times New Roman" w:hAnsi="Times New Roman" w:eastAsia="仿宋_GB2312"/>
          <w:sz w:val="32"/>
          <w:szCs w:val="32"/>
          <w:u w:val="none"/>
          <w:lang w:val="en-US" w:eastAsia="zh-CN"/>
          <w:woUserID w:val="2"/>
        </w:rPr>
        <w:t>湘西州</w:t>
      </w:r>
      <w:r>
        <w:rPr>
          <w:rFonts w:ascii="Times New Roman" w:hAnsi="Times New Roman" w:eastAsia="仿宋_GB2312"/>
          <w:sz w:val="32"/>
          <w:szCs w:val="32"/>
          <w:u w:val="none"/>
          <w:woUserID w:val="2"/>
        </w:rPr>
        <w:t>内企业并购，按照子基金投资</w:t>
      </w:r>
      <w:r>
        <w:rPr>
          <w:rFonts w:hint="eastAsia" w:ascii="Times New Roman" w:hAnsi="Times New Roman" w:eastAsia="仿宋_GB2312"/>
          <w:sz w:val="32"/>
          <w:szCs w:val="32"/>
          <w:u w:val="none"/>
          <w:lang w:val="en-US" w:eastAsia="zh-CN"/>
          <w:woUserID w:val="2"/>
        </w:rPr>
        <w:t>湘西州</w:t>
      </w:r>
      <w:r>
        <w:rPr>
          <w:rFonts w:ascii="Times New Roman" w:hAnsi="Times New Roman" w:eastAsia="仿宋_GB2312"/>
          <w:sz w:val="32"/>
          <w:szCs w:val="32"/>
          <w:u w:val="none"/>
          <w:woUserID w:val="2"/>
        </w:rPr>
        <w:t>外项目的金额</w:t>
      </w:r>
      <w:r>
        <w:rPr>
          <w:rFonts w:hint="eastAsia" w:ascii="Times New Roman" w:hAnsi="Times New Roman" w:eastAsia="仿宋_GB2312"/>
          <w:sz w:val="32"/>
          <w:szCs w:val="32"/>
          <w:u w:val="none"/>
          <w:lang w:val="en-US" w:eastAsia="zh-CN"/>
          <w:woUserID w:val="2"/>
        </w:rPr>
        <w:t>与湘西州外企业被并购的对价孰高值</w:t>
      </w:r>
      <w:r>
        <w:rPr>
          <w:rFonts w:ascii="Times New Roman" w:hAnsi="Times New Roman" w:eastAsia="仿宋_GB2312"/>
          <w:sz w:val="32"/>
          <w:szCs w:val="32"/>
          <w:u w:val="none"/>
          <w:woUserID w:val="2"/>
        </w:rPr>
        <w:t>计算投资返投金额</w:t>
      </w:r>
      <w:r>
        <w:rPr>
          <w:rFonts w:ascii="Times New Roman" w:hAnsi="Times New Roman" w:eastAsia="仿宋_GB2312" w:cs="Times New Roman"/>
          <w:sz w:val="32"/>
          <w:szCs w:val="32"/>
          <w:u w:val="none"/>
          <w:woUserID w:val="2"/>
        </w:rPr>
        <w:t>；</w:t>
      </w:r>
    </w:p>
    <w:p w14:paraId="163C4D01">
      <w:pPr>
        <w:widowControl/>
        <w:numPr>
          <w:ilvl w:val="0"/>
          <w:numId w:val="2"/>
        </w:numPr>
        <w:spacing w:line="600" w:lineRule="exact"/>
        <w:ind w:firstLine="640" w:firstLineChars="200"/>
        <w:rPr>
          <w:rFonts w:ascii="Times New Roman" w:hAnsi="Times New Roman" w:cs="Times New Roman"/>
          <w:sz w:val="32"/>
          <w:szCs w:val="32"/>
          <w:u w:val="none"/>
          <w:woUserID w:val="2"/>
        </w:rPr>
      </w:pPr>
      <w:r>
        <w:rPr>
          <w:rFonts w:ascii="Times New Roman" w:hAnsi="Times New Roman" w:eastAsia="仿宋_GB2312"/>
          <w:sz w:val="32"/>
          <w:szCs w:val="32"/>
          <w:u w:val="none"/>
          <w:woUserID w:val="2"/>
        </w:rPr>
        <w:t>投资</w:t>
      </w:r>
      <w:r>
        <w:rPr>
          <w:rFonts w:hint="eastAsia" w:ascii="Times New Roman" w:hAnsi="Times New Roman" w:eastAsia="仿宋_GB2312"/>
          <w:sz w:val="32"/>
          <w:szCs w:val="32"/>
          <w:u w:val="none"/>
          <w:lang w:val="en-US" w:eastAsia="zh-CN"/>
          <w:woUserID w:val="2"/>
        </w:rPr>
        <w:t>湘西州</w:t>
      </w:r>
      <w:r>
        <w:rPr>
          <w:rFonts w:ascii="Times New Roman" w:hAnsi="Times New Roman" w:eastAsia="仿宋_GB2312"/>
          <w:sz w:val="32"/>
          <w:szCs w:val="32"/>
          <w:u w:val="none"/>
          <w:woUserID w:val="2"/>
        </w:rPr>
        <w:t>外企业并购</w:t>
      </w:r>
      <w:r>
        <w:rPr>
          <w:rFonts w:hint="eastAsia" w:ascii="Times New Roman" w:hAnsi="Times New Roman" w:eastAsia="仿宋_GB2312"/>
          <w:sz w:val="32"/>
          <w:szCs w:val="32"/>
          <w:u w:val="none"/>
          <w:lang w:val="en-US" w:eastAsia="zh-CN"/>
          <w:woUserID w:val="2"/>
        </w:rPr>
        <w:t>湘西州</w:t>
      </w:r>
      <w:r>
        <w:rPr>
          <w:rFonts w:ascii="Times New Roman" w:hAnsi="Times New Roman" w:eastAsia="仿宋_GB2312"/>
          <w:sz w:val="32"/>
          <w:szCs w:val="32"/>
          <w:u w:val="none"/>
          <w:woUserID w:val="2"/>
        </w:rPr>
        <w:t>内企业，且并购后企业注册在</w:t>
      </w:r>
      <w:r>
        <w:rPr>
          <w:rFonts w:hint="eastAsia" w:ascii="Times New Roman" w:hAnsi="Times New Roman" w:eastAsia="仿宋_GB2312"/>
          <w:sz w:val="32"/>
          <w:szCs w:val="32"/>
          <w:u w:val="none"/>
          <w:lang w:val="en-US" w:eastAsia="zh-CN"/>
          <w:woUserID w:val="2"/>
        </w:rPr>
        <w:t>湘西州</w:t>
      </w:r>
      <w:r>
        <w:rPr>
          <w:rFonts w:ascii="Times New Roman" w:hAnsi="Times New Roman" w:eastAsia="仿宋_GB2312"/>
          <w:sz w:val="32"/>
          <w:szCs w:val="32"/>
          <w:u w:val="none"/>
          <w:woUserID w:val="2"/>
        </w:rPr>
        <w:t>，按照子基金</w:t>
      </w:r>
      <w:r>
        <w:rPr>
          <w:rFonts w:hint="eastAsia" w:ascii="Times New Roman" w:hAnsi="Times New Roman" w:eastAsia="仿宋_GB2312"/>
          <w:sz w:val="32"/>
          <w:szCs w:val="32"/>
          <w:u w:val="none"/>
          <w:woUserID w:val="2"/>
        </w:rPr>
        <w:t>所投企业的投资金额与湘西州内企业被并购的对价孰高</w:t>
      </w:r>
      <w:r>
        <w:rPr>
          <w:rFonts w:hint="eastAsia" w:ascii="Times New Roman" w:hAnsi="Times New Roman" w:eastAsia="仿宋_GB2312"/>
          <w:sz w:val="32"/>
          <w:szCs w:val="32"/>
          <w:u w:val="none"/>
          <w:lang w:val="en-US" w:eastAsia="zh-CN"/>
          <w:woUserID w:val="2"/>
        </w:rPr>
        <w:t>值</w:t>
      </w:r>
      <w:r>
        <w:rPr>
          <w:rFonts w:ascii="Times New Roman" w:hAnsi="Times New Roman" w:eastAsia="仿宋_GB2312"/>
          <w:sz w:val="32"/>
          <w:szCs w:val="32"/>
          <w:u w:val="none"/>
          <w:woUserID w:val="2"/>
        </w:rPr>
        <w:t>计算投资返投金额</w:t>
      </w:r>
      <w:r>
        <w:rPr>
          <w:rFonts w:ascii="Times New Roman" w:hAnsi="Times New Roman" w:eastAsia="仿宋_GB2312" w:cs="Times New Roman"/>
          <w:sz w:val="32"/>
          <w:szCs w:val="32"/>
          <w:u w:val="none"/>
          <w:woUserID w:val="2"/>
        </w:rPr>
        <w:t>；</w:t>
      </w:r>
    </w:p>
    <w:p w14:paraId="15C23C4E">
      <w:pPr>
        <w:widowControl/>
        <w:numPr>
          <w:ilvl w:val="0"/>
          <w:numId w:val="2"/>
        </w:numPr>
        <w:spacing w:line="580" w:lineRule="exact"/>
        <w:ind w:firstLine="640" w:firstLineChars="200"/>
        <w:rPr>
          <w:rFonts w:ascii="Times New Roman" w:hAnsi="Times New Roman" w:eastAsia="仿宋_GB2312"/>
          <w:sz w:val="32"/>
          <w:szCs w:val="32"/>
          <w:u w:val="none"/>
          <w:woUserID w:val="2"/>
        </w:rPr>
      </w:pPr>
      <w:r>
        <w:rPr>
          <w:rFonts w:ascii="Times New Roman" w:hAnsi="Times New Roman" w:eastAsia="仿宋_GB2312"/>
          <w:sz w:val="32"/>
          <w:szCs w:val="32"/>
          <w:u w:val="none"/>
          <w:woUserID w:val="2"/>
        </w:rPr>
        <w:t>子基金所投资的</w:t>
      </w:r>
      <w:r>
        <w:rPr>
          <w:rFonts w:hint="eastAsia" w:ascii="Times New Roman" w:hAnsi="Times New Roman" w:eastAsia="仿宋_GB2312"/>
          <w:sz w:val="32"/>
          <w:szCs w:val="32"/>
          <w:u w:val="none"/>
          <w:lang w:val="en-US" w:eastAsia="zh-CN"/>
          <w:woUserID w:val="2"/>
        </w:rPr>
        <w:t>湘西州</w:t>
      </w:r>
      <w:r>
        <w:rPr>
          <w:rFonts w:ascii="Times New Roman" w:hAnsi="Times New Roman" w:eastAsia="仿宋_GB2312"/>
          <w:sz w:val="32"/>
          <w:szCs w:val="32"/>
          <w:u w:val="none"/>
          <w:woUserID w:val="2"/>
        </w:rPr>
        <w:t>外企业在</w:t>
      </w:r>
      <w:r>
        <w:rPr>
          <w:rFonts w:hint="eastAsia" w:ascii="Times New Roman" w:hAnsi="Times New Roman" w:eastAsia="仿宋_GB2312"/>
          <w:sz w:val="32"/>
          <w:szCs w:val="32"/>
          <w:u w:val="none"/>
          <w:lang w:val="en-US" w:eastAsia="zh-CN"/>
          <w:woUserID w:val="2"/>
        </w:rPr>
        <w:t>湘西州</w:t>
      </w:r>
      <w:r>
        <w:rPr>
          <w:rFonts w:ascii="Times New Roman" w:hAnsi="Times New Roman" w:eastAsia="仿宋_GB2312"/>
          <w:sz w:val="32"/>
          <w:szCs w:val="32"/>
          <w:u w:val="none"/>
          <w:woUserID w:val="2"/>
        </w:rPr>
        <w:t>内投资，按照该企业在</w:t>
      </w:r>
      <w:r>
        <w:rPr>
          <w:rFonts w:hint="eastAsia" w:ascii="Times New Roman" w:hAnsi="Times New Roman" w:eastAsia="仿宋_GB2312"/>
          <w:sz w:val="32"/>
          <w:szCs w:val="32"/>
          <w:u w:val="none"/>
          <w:lang w:val="en-US" w:eastAsia="zh-CN"/>
          <w:woUserID w:val="2"/>
        </w:rPr>
        <w:t>其投资的子基金存续期内在湘西州内的总投资额、实缴资本、被投资后总纳税额、后续股权融资总额孰高值</w:t>
      </w:r>
      <w:r>
        <w:rPr>
          <w:rFonts w:ascii="Times New Roman" w:hAnsi="Times New Roman" w:eastAsia="仿宋_GB2312"/>
          <w:sz w:val="32"/>
          <w:szCs w:val="32"/>
          <w:u w:val="none"/>
          <w:woUserID w:val="2"/>
        </w:rPr>
        <w:t>计算返投金额</w:t>
      </w:r>
      <w:r>
        <w:rPr>
          <w:rFonts w:hint="eastAsia" w:ascii="Times New Roman" w:hAnsi="Times New Roman" w:eastAsia="仿宋_GB2312"/>
          <w:sz w:val="32"/>
          <w:szCs w:val="32"/>
          <w:u w:val="none"/>
          <w:woUserID w:val="2"/>
        </w:rPr>
        <w:t>；</w:t>
      </w:r>
    </w:p>
    <w:p w14:paraId="403526E4">
      <w:pPr>
        <w:widowControl/>
        <w:numPr>
          <w:ilvl w:val="0"/>
          <w:numId w:val="2"/>
        </w:numPr>
        <w:spacing w:line="580" w:lineRule="exact"/>
        <w:ind w:firstLine="640" w:firstLineChars="200"/>
        <w:rPr>
          <w:rFonts w:ascii="Times New Roman" w:hAnsi="Times New Roman" w:cs="Times New Roman"/>
          <w:sz w:val="32"/>
          <w:szCs w:val="32"/>
          <w:u w:val="none"/>
          <w:woUserID w:val="2"/>
        </w:rPr>
      </w:pPr>
      <w:r>
        <w:rPr>
          <w:rFonts w:hint="eastAsia" w:ascii="Times New Roman" w:hAnsi="Times New Roman" w:eastAsia="仿宋_GB2312" w:cs="Times New Roman"/>
          <w:sz w:val="32"/>
          <w:szCs w:val="32"/>
          <w:u w:val="none"/>
          <w:woUserID w:val="2"/>
        </w:rPr>
        <w:t>湘西州外被投资企业按约定将企业注册地迁入湘西州内并承诺5年内不迁出的，按该企业在湘西州内的总投资额、被投资后在其投资的子基金存续期内缴税总额、后续股权融资总额孰高认定返投金额，对于引进上市主体、企业总部落地在湘西州内（湘西州内税收落地不低于企业缴税总额的50%）的，以1.5倍认定返投金额</w:t>
      </w:r>
      <w:r>
        <w:rPr>
          <w:rFonts w:ascii="Times New Roman" w:hAnsi="Times New Roman" w:eastAsia="仿宋_GB2312" w:cs="Times New Roman"/>
          <w:sz w:val="32"/>
          <w:szCs w:val="32"/>
          <w:u w:val="none"/>
          <w:woUserID w:val="2"/>
        </w:rPr>
        <w:t>；</w:t>
      </w:r>
    </w:p>
    <w:p w14:paraId="5F96555C">
      <w:pPr>
        <w:widowControl/>
        <w:numPr>
          <w:ilvl w:val="0"/>
          <w:numId w:val="2"/>
        </w:numPr>
        <w:spacing w:line="580" w:lineRule="exact"/>
        <w:ind w:firstLine="640" w:firstLineChars="200"/>
        <w:rPr>
          <w:rFonts w:ascii="Times New Roman" w:hAnsi="Times New Roman" w:eastAsia="仿宋_GB2312" w:cs="Times New Roman"/>
          <w:sz w:val="32"/>
          <w:szCs w:val="32"/>
          <w:u w:val="none"/>
          <w:woUserID w:val="2"/>
        </w:rPr>
      </w:pPr>
      <w:r>
        <w:rPr>
          <w:rFonts w:ascii="Times New Roman" w:hAnsi="Times New Roman" w:eastAsia="仿宋_GB2312"/>
          <w:sz w:val="32"/>
          <w:szCs w:val="32"/>
          <w:u w:val="none"/>
          <w:woUserID w:val="2"/>
        </w:rPr>
        <w:t>子基金基金管理人及关联方的自有资金、管理的其他基金、参股的基金投资的项目，以及子基金的基金管理人所协助引进的项目，按照上述标准认定</w:t>
      </w:r>
      <w:r>
        <w:rPr>
          <w:rFonts w:ascii="Times New Roman" w:hAnsi="Times New Roman" w:eastAsia="仿宋_GB2312" w:cs="Times New Roman"/>
          <w:sz w:val="32"/>
          <w:szCs w:val="32"/>
          <w:u w:val="none"/>
          <w:woUserID w:val="2"/>
        </w:rPr>
        <w:t>；</w:t>
      </w:r>
    </w:p>
    <w:p w14:paraId="6AF21E43">
      <w:pPr>
        <w:widowControl/>
        <w:numPr>
          <w:ilvl w:val="0"/>
          <w:numId w:val="2"/>
        </w:numPr>
        <w:spacing w:line="580" w:lineRule="exact"/>
        <w:ind w:firstLine="640" w:firstLineChars="200"/>
        <w:rPr>
          <w:rFonts w:ascii="Times New Roman" w:hAnsi="Times New Roman" w:eastAsia="仿宋_GB2312" w:cs="Times New Roman"/>
          <w:sz w:val="32"/>
          <w:szCs w:val="32"/>
          <w:u w:val="none"/>
          <w:woUserID w:val="2"/>
        </w:rPr>
      </w:pPr>
      <w:r>
        <w:rPr>
          <w:rFonts w:ascii="Times New Roman" w:hAnsi="Times New Roman" w:eastAsia="仿宋_GB2312" w:cs="Times New Roman"/>
          <w:sz w:val="32"/>
          <w:szCs w:val="32"/>
          <w:u w:val="none"/>
          <w:woUserID w:val="2"/>
        </w:rPr>
        <w:t>对于大宗交易、协议转让等老股转让，不计入返投金额；</w:t>
      </w:r>
    </w:p>
    <w:p w14:paraId="60D404C4">
      <w:pPr>
        <w:widowControl/>
        <w:numPr>
          <w:ilvl w:val="0"/>
          <w:numId w:val="2"/>
        </w:numPr>
        <w:spacing w:line="580" w:lineRule="exact"/>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woUserID w:val="2"/>
        </w:rPr>
        <w:t>除此以外，其他</w:t>
      </w:r>
      <w:r>
        <w:rPr>
          <w:rFonts w:hint="eastAsia" w:ascii="Times New Roman" w:hAnsi="Times New Roman" w:eastAsia="仿宋_GB2312" w:cs="Times New Roman"/>
          <w:sz w:val="32"/>
          <w:szCs w:val="32"/>
          <w:u w:val="none"/>
          <w:lang w:val="en-US" w:eastAsia="zh-CN"/>
          <w:woUserID w:val="2"/>
        </w:rPr>
        <w:t>经母</w:t>
      </w:r>
      <w:r>
        <w:rPr>
          <w:rFonts w:hint="eastAsia" w:ascii="Times New Roman" w:hAnsi="Times New Roman" w:eastAsia="仿宋_GB2312" w:cs="Times New Roman"/>
          <w:sz w:val="32"/>
          <w:szCs w:val="32"/>
          <w:u w:val="none"/>
          <w:woUserID w:val="2"/>
        </w:rPr>
        <w:t>基金联席会议</w:t>
      </w:r>
      <w:r>
        <w:rPr>
          <w:rFonts w:hint="eastAsia" w:ascii="Times New Roman" w:hAnsi="Times New Roman" w:eastAsia="仿宋_GB2312" w:cs="Times New Roman"/>
          <w:sz w:val="32"/>
          <w:szCs w:val="32"/>
          <w:u w:val="none"/>
          <w:lang w:val="en-US" w:eastAsia="zh-CN"/>
          <w:woUserID w:val="2"/>
        </w:rPr>
        <w:t>根据情况采取一事一议认定</w:t>
      </w:r>
      <w:r>
        <w:rPr>
          <w:rFonts w:ascii="Times New Roman" w:hAnsi="Times New Roman" w:eastAsia="仿宋_GB2312" w:cs="Times New Roman"/>
          <w:sz w:val="32"/>
          <w:szCs w:val="32"/>
          <w:u w:val="none"/>
          <w:woUserID w:val="2"/>
        </w:rPr>
        <w:t>。</w:t>
      </w:r>
    </w:p>
    <w:p w14:paraId="538E3D82">
      <w:pPr>
        <w:widowControl/>
        <w:numPr>
          <w:ilvl w:val="0"/>
          <w:numId w:val="0"/>
        </w:numPr>
        <w:shd w:val="clear" w:color="auto"/>
        <w:spacing w:line="600" w:lineRule="exact"/>
        <w:ind w:firstLine="627" w:firstLineChars="196"/>
        <w:rPr>
          <w:rFonts w:hint="default"/>
        </w:rPr>
      </w:pP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返投目标被考核主体为子基金管理人或普通合伙人。</w:t>
      </w:r>
    </w:p>
    <w:p w14:paraId="1CFFD058">
      <w:pPr>
        <w:widowControl/>
        <w:shd w:val="clear" w:color="auto"/>
        <w:spacing w:line="60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rPr>
        <w:t>）收益分配：</w:t>
      </w:r>
      <w:r>
        <w:rPr>
          <w:rFonts w:hint="default" w:ascii="Times New Roman" w:hAnsi="Times New Roman" w:eastAsia="仿宋_GB2312" w:cs="Times New Roman"/>
          <w:sz w:val="32"/>
          <w:szCs w:val="32"/>
        </w:rPr>
        <w:t>子基金投资项目退出后，投资回收资金不得再用于对外投资，须及时按合伙协议（或公司章程）约定向投资人进行分配。分配采取整体“先回本后分利”方式，投资回收资金先按照子基金各出资人实缴出资比例分配给各出资人，直至各出资人收回全部实缴出资，剩余的投资收益再按照子基金合伙协议（或公司章程）等约定的方式予以分配。</w:t>
      </w:r>
    </w:p>
    <w:p w14:paraId="7BCCBD3D">
      <w:pPr>
        <w:widowControl/>
        <w:numPr>
          <w:ilvl w:val="255"/>
          <w:numId w:val="0"/>
        </w:numPr>
        <w:shd w:val="clear" w:color="auto"/>
        <w:spacing w:line="60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八</w:t>
      </w:r>
      <w:r>
        <w:rPr>
          <w:rFonts w:hint="default" w:ascii="Times New Roman" w:hAnsi="Times New Roman" w:eastAsia="仿宋_GB2312" w:cs="Times New Roman"/>
          <w:b/>
          <w:bCs/>
          <w:sz w:val="32"/>
          <w:szCs w:val="32"/>
        </w:rPr>
        <w:t>）退出管理</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子基金应当按照有关规定和市场化原则，根据相关协议约定清算或转让份额退出，投资项目采取公开上市、股权转让、股权收购、股权置换等方式退出。</w:t>
      </w:r>
    </w:p>
    <w:p w14:paraId="20621563">
      <w:pPr>
        <w:widowControl/>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子基金出现下列情形之一，母基金可以选择终止合作，退出子基金，且无需经由其他出资人同意：</w:t>
      </w:r>
    </w:p>
    <w:p w14:paraId="03DA59AD">
      <w:pPr>
        <w:widowControl/>
        <w:numPr>
          <w:ilvl w:val="0"/>
          <w:numId w:val="3"/>
        </w:numPr>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章程或协议签署后超过1年，未按规定程序和时间要求完成设立手续的；</w:t>
      </w:r>
    </w:p>
    <w:p w14:paraId="7B0CF762">
      <w:pPr>
        <w:widowControl/>
        <w:numPr>
          <w:ilvl w:val="0"/>
          <w:numId w:val="3"/>
        </w:numPr>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章程或协议签署后超过1年，子基金</w:t>
      </w:r>
      <w:r>
        <w:rPr>
          <w:rFonts w:hint="eastAsia" w:ascii="Times New Roman" w:hAnsi="Times New Roman" w:eastAsia="仿宋_GB2312" w:cs="Times New Roman"/>
          <w:sz w:val="32"/>
          <w:szCs w:val="32"/>
          <w:lang w:val="en-US" w:eastAsia="zh-CN"/>
        </w:rPr>
        <w:t>有限合伙人</w:t>
      </w:r>
      <w:r>
        <w:rPr>
          <w:rFonts w:hint="default" w:ascii="Times New Roman" w:hAnsi="Times New Roman" w:eastAsia="仿宋_GB2312" w:cs="Times New Roman"/>
          <w:sz w:val="32"/>
          <w:szCs w:val="32"/>
        </w:rPr>
        <w:t>未按照章程或协议要求进行实缴的；</w:t>
      </w:r>
    </w:p>
    <w:p w14:paraId="445FDA49">
      <w:pPr>
        <w:widowControl/>
        <w:numPr>
          <w:ilvl w:val="0"/>
          <w:numId w:val="3"/>
        </w:numPr>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母基金的出资拨付至子基金账户1年以上，子基金未开展投资业务的</w:t>
      </w:r>
      <w:r>
        <w:rPr>
          <w:rFonts w:hint="eastAsia" w:ascii="Times New Roman" w:hAnsi="Times New Roman" w:eastAsia="仿宋_GB2312" w:cs="Times New Roman"/>
          <w:sz w:val="32"/>
          <w:szCs w:val="32"/>
          <w:lang w:eastAsia="zh-CN"/>
        </w:rPr>
        <w:t>。</w:t>
      </w:r>
    </w:p>
    <w:p w14:paraId="6B22B468">
      <w:pPr>
        <w:widowControl/>
        <w:shd w:val="clear" w:color="auto"/>
        <w:spacing w:line="600" w:lineRule="exact"/>
        <w:ind w:firstLine="630" w:firstLineChars="196"/>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b/>
          <w:bCs/>
          <w:sz w:val="32"/>
          <w:szCs w:val="32"/>
        </w:rPr>
        <w:t>）风险控制</w:t>
      </w:r>
    </w:p>
    <w:p w14:paraId="7D396F40">
      <w:pPr>
        <w:widowControl/>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子基金不得从事以下业务：</w:t>
      </w:r>
    </w:p>
    <w:p w14:paraId="26D5AE04">
      <w:pPr>
        <w:widowControl/>
        <w:shd w:val="clear" w:color="auto"/>
        <w:spacing w:line="600" w:lineRule="exact"/>
        <w:ind w:firstLine="627" w:firstLineChars="196"/>
        <w:rPr>
          <w:rFonts w:hint="default" w:ascii="Times New Roman" w:hAnsi="Times New Roman" w:eastAsia="仿宋_GB2312"/>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sz w:val="32"/>
          <w:szCs w:val="32"/>
        </w:rPr>
        <w:t>投向国家禁止或者限制投资的项目，不符合国家产业政策、环境保护政策、土地管理政策的项目；</w:t>
      </w:r>
    </w:p>
    <w:p w14:paraId="7D855915">
      <w:pPr>
        <w:widowControl/>
        <w:shd w:val="clear" w:color="auto"/>
        <w:spacing w:line="600" w:lineRule="exact"/>
        <w:ind w:firstLine="627" w:firstLineChars="196"/>
        <w:rPr>
          <w:rFonts w:hint="default" w:ascii="Times New Roman" w:hAnsi="Times New Roman" w:eastAsia="仿宋_GB2312"/>
          <w:sz w:val="32"/>
          <w:szCs w:val="32"/>
        </w:rPr>
      </w:pPr>
      <w:r>
        <w:rPr>
          <w:rFonts w:hint="default" w:ascii="Times New Roman" w:hAnsi="Times New Roman" w:eastAsia="仿宋_GB2312"/>
          <w:sz w:val="32"/>
          <w:szCs w:val="32"/>
        </w:rPr>
        <w:t>（2）从事担保、抵押、委托贷款等业务；</w:t>
      </w:r>
    </w:p>
    <w:p w14:paraId="119ABF3B">
      <w:pPr>
        <w:widowControl/>
        <w:shd w:val="clear" w:color="auto"/>
        <w:spacing w:line="600" w:lineRule="exact"/>
        <w:ind w:firstLine="627" w:firstLineChars="196"/>
        <w:rPr>
          <w:rFonts w:hint="default" w:ascii="Times New Roman" w:hAnsi="Times New Roman" w:eastAsia="仿宋_GB2312"/>
          <w:sz w:val="32"/>
          <w:szCs w:val="32"/>
        </w:rPr>
      </w:pPr>
      <w:r>
        <w:rPr>
          <w:rFonts w:hint="default" w:ascii="Times New Roman" w:hAnsi="Times New Roman" w:eastAsia="仿宋_GB2312"/>
          <w:sz w:val="32"/>
          <w:szCs w:val="32"/>
        </w:rPr>
        <w:t>（3）从事房地产（包括购买自用房地产）、抵押、委托贷款业务；</w:t>
      </w:r>
    </w:p>
    <w:p w14:paraId="664168C6">
      <w:pPr>
        <w:widowControl/>
        <w:shd w:val="clear" w:color="auto"/>
        <w:spacing w:line="600" w:lineRule="exact"/>
        <w:ind w:firstLine="627" w:firstLineChars="196"/>
        <w:rPr>
          <w:rFonts w:hint="default" w:ascii="Times New Roman" w:hAnsi="Times New Roman" w:eastAsia="仿宋_GB2312"/>
          <w:sz w:val="32"/>
          <w:szCs w:val="32"/>
        </w:rPr>
      </w:pPr>
      <w:r>
        <w:rPr>
          <w:rFonts w:hint="default" w:ascii="Times New Roman" w:hAnsi="Times New Roman" w:eastAsia="仿宋_GB2312"/>
          <w:sz w:val="32"/>
          <w:szCs w:val="32"/>
        </w:rPr>
        <w:t>（4）投资保理资产、融资租赁资产、典当资产等类信贷资产、股权或其收（受）益权；</w:t>
      </w:r>
    </w:p>
    <w:p w14:paraId="61777F17">
      <w:pPr>
        <w:widowControl/>
        <w:shd w:val="clear" w:color="auto"/>
        <w:spacing w:line="600" w:lineRule="exact"/>
        <w:ind w:firstLine="627" w:firstLineChars="196"/>
        <w:rPr>
          <w:rFonts w:hint="default" w:ascii="Times New Roman" w:hAnsi="Times New Roman" w:eastAsia="仿宋_GB2312"/>
          <w:sz w:val="32"/>
          <w:szCs w:val="32"/>
        </w:rPr>
      </w:pPr>
      <w:r>
        <w:rPr>
          <w:rFonts w:hint="default" w:ascii="Times New Roman" w:hAnsi="Times New Roman" w:eastAsia="仿宋_GB2312"/>
          <w:sz w:val="32"/>
          <w:szCs w:val="32"/>
        </w:rPr>
        <w:t>（5）投资金融资产交易中心发行的产品；</w:t>
      </w:r>
    </w:p>
    <w:p w14:paraId="31E9191D">
      <w:pPr>
        <w:widowControl/>
        <w:shd w:val="clear" w:color="auto"/>
        <w:spacing w:line="600" w:lineRule="exact"/>
        <w:ind w:firstLine="627" w:firstLineChars="196"/>
        <w:rPr>
          <w:rFonts w:hint="default" w:ascii="Times New Roman" w:hAnsi="Times New Roman" w:eastAsia="仿宋_GB2312"/>
          <w:sz w:val="32"/>
          <w:szCs w:val="32"/>
        </w:rPr>
      </w:pPr>
      <w:r>
        <w:rPr>
          <w:rFonts w:hint="default" w:ascii="Times New Roman" w:hAnsi="Times New Roman" w:eastAsia="仿宋_GB2312"/>
          <w:sz w:val="32"/>
          <w:szCs w:val="32"/>
        </w:rPr>
        <w:t>（6）投资二级市场股票（为免疑义，本合伙协议项下所涉及的上市不应包含在新三板挂牌及进行公司股份的公开转让）、期货、证券投资基金、评级AAA以下的企业债券、信托产品、非保本型理财产品、保险计划及其他金融衍生品；前述投资二级市场股票不包括下列投资或交易：①合伙企业投资标的上市或被上市公司收购后，合伙企业持有及转让其所持该等上市公司股份；②处置投资项目而作为对价收到的股票；③上市公司向特定对象发行股票、大宗交易、协议转让；④其他以并购重组为目的交易；</w:t>
      </w:r>
    </w:p>
    <w:p w14:paraId="5235E9B7">
      <w:pPr>
        <w:widowControl/>
        <w:shd w:val="clear" w:color="auto"/>
        <w:spacing w:line="600" w:lineRule="exact"/>
        <w:ind w:firstLine="627" w:firstLineChars="196"/>
        <w:rPr>
          <w:rFonts w:hint="default" w:ascii="Times New Roman" w:hAnsi="Times New Roman" w:eastAsia="仿宋_GB2312"/>
          <w:sz w:val="32"/>
          <w:szCs w:val="32"/>
        </w:rPr>
      </w:pPr>
      <w:r>
        <w:rPr>
          <w:rFonts w:hint="default" w:ascii="Times New Roman" w:hAnsi="Times New Roman" w:eastAsia="仿宋_GB2312"/>
          <w:sz w:val="32"/>
          <w:szCs w:val="32"/>
        </w:rPr>
        <w:t>（7）投资首发企业股票（战略配售和港股基石投资除外）；</w:t>
      </w:r>
    </w:p>
    <w:p w14:paraId="4D4354A0">
      <w:pPr>
        <w:widowControl/>
        <w:shd w:val="clear" w:color="auto"/>
        <w:spacing w:line="600" w:lineRule="exact"/>
        <w:ind w:firstLine="627" w:firstLineChars="196"/>
        <w:rPr>
          <w:rFonts w:hint="default" w:ascii="Times New Roman" w:hAnsi="Times New Roman" w:eastAsia="仿宋_GB2312"/>
          <w:sz w:val="32"/>
          <w:szCs w:val="32"/>
        </w:rPr>
      </w:pPr>
      <w:r>
        <w:rPr>
          <w:rFonts w:hint="default" w:ascii="Times New Roman" w:hAnsi="Times New Roman" w:eastAsia="仿宋_GB2312"/>
          <w:sz w:val="32"/>
          <w:szCs w:val="32"/>
        </w:rPr>
        <w:t>（8）向任何第三方提供赞助、捐赠（经批准的公益性捐赠除外）；</w:t>
      </w:r>
    </w:p>
    <w:p w14:paraId="0DE5411A">
      <w:pPr>
        <w:widowControl/>
        <w:shd w:val="clear" w:color="auto"/>
        <w:spacing w:line="600" w:lineRule="exact"/>
        <w:ind w:firstLine="627" w:firstLineChars="196"/>
        <w:rPr>
          <w:rFonts w:hint="default" w:ascii="Times New Roman" w:hAnsi="Times New Roman" w:eastAsia="仿宋_GB2312"/>
          <w:sz w:val="32"/>
          <w:szCs w:val="32"/>
        </w:rPr>
      </w:pPr>
      <w:r>
        <w:rPr>
          <w:rFonts w:hint="default" w:ascii="Times New Roman" w:hAnsi="Times New Roman" w:eastAsia="仿宋_GB2312"/>
          <w:sz w:val="32"/>
          <w:szCs w:val="32"/>
        </w:rPr>
        <w:t>（9）进行承担无限连带责任的对外投资；</w:t>
      </w:r>
    </w:p>
    <w:p w14:paraId="162DB3D6">
      <w:pPr>
        <w:widowControl/>
        <w:shd w:val="clear" w:color="auto"/>
        <w:spacing w:line="600" w:lineRule="exact"/>
        <w:ind w:firstLine="627" w:firstLineChars="196"/>
        <w:rPr>
          <w:rFonts w:hint="default" w:ascii="Times New Roman" w:hAnsi="Times New Roman" w:eastAsia="仿宋_GB2312"/>
          <w:sz w:val="32"/>
          <w:szCs w:val="32"/>
        </w:rPr>
      </w:pPr>
      <w:r>
        <w:rPr>
          <w:rFonts w:hint="default" w:ascii="Times New Roman" w:hAnsi="Times New Roman" w:eastAsia="仿宋_GB2312"/>
          <w:sz w:val="32"/>
          <w:szCs w:val="32"/>
        </w:rPr>
        <w:t>（10）发行信托或集合理财产品募集资金；</w:t>
      </w:r>
    </w:p>
    <w:p w14:paraId="6FC5EB58">
      <w:pPr>
        <w:widowControl/>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sz w:val="32"/>
          <w:szCs w:val="32"/>
        </w:rPr>
        <w:t>（11）法律、行政法规和中国证券监督管理委员会禁止的其他投资活动。</w:t>
      </w:r>
    </w:p>
    <w:p w14:paraId="34ACA7E3">
      <w:pPr>
        <w:widowControl/>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资金托管</w:t>
      </w:r>
    </w:p>
    <w:p w14:paraId="65152F7D">
      <w:pPr>
        <w:widowControl/>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子基金资产须委托一家符合条件的国内银行机构进行托管，托管银行应具备从事基金托管业务的资质，受子基金委托承担资金监管职责。</w:t>
      </w:r>
    </w:p>
    <w:p w14:paraId="16A4E10F">
      <w:pPr>
        <w:widowControl/>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子基金的现金管理只能投资于银行存款、国债、政策性金融债等安全性和流动性好的固定收益类资产。</w:t>
      </w:r>
    </w:p>
    <w:p w14:paraId="6563EEBC">
      <w:pPr>
        <w:widowControl/>
        <w:shd w:val="clear" w:color="auto"/>
        <w:spacing w:line="600" w:lineRule="exact"/>
        <w:ind w:firstLine="630" w:firstLineChars="196"/>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十</w:t>
      </w:r>
      <w:r>
        <w:rPr>
          <w:rFonts w:hint="default" w:ascii="Times New Roman" w:hAnsi="Times New Roman" w:eastAsia="仿宋_GB2312" w:cs="Times New Roman"/>
          <w:b/>
          <w:bCs/>
          <w:sz w:val="32"/>
          <w:szCs w:val="32"/>
        </w:rPr>
        <w:t>）信息披露</w:t>
      </w:r>
    </w:p>
    <w:p w14:paraId="756BF4FA">
      <w:pPr>
        <w:widowControl/>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根据母基金管理人要求</w:t>
      </w:r>
      <w:r>
        <w:rPr>
          <w:rFonts w:hint="eastAsia" w:ascii="Times New Roman" w:hAnsi="Times New Roman" w:eastAsia="仿宋_GB2312" w:cs="Times New Roman"/>
          <w:sz w:val="32"/>
          <w:szCs w:val="32"/>
          <w:lang w:val="en-US" w:eastAsia="zh-CN"/>
        </w:rPr>
        <w:t>定期</w:t>
      </w:r>
      <w:r>
        <w:rPr>
          <w:rFonts w:hint="default" w:ascii="Times New Roman" w:hAnsi="Times New Roman" w:eastAsia="仿宋_GB2312" w:cs="Times New Roman"/>
          <w:sz w:val="32"/>
          <w:szCs w:val="32"/>
        </w:rPr>
        <w:t>报送子基金相关运营情况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包括但不限于相关财务报告、运营报告等</w:t>
      </w:r>
      <w:r>
        <w:rPr>
          <w:rFonts w:hint="default" w:ascii="Times New Roman" w:hAnsi="Times New Roman" w:eastAsia="仿宋_GB2312" w:cs="Times New Roman"/>
          <w:sz w:val="32"/>
          <w:szCs w:val="32"/>
        </w:rPr>
        <w:t>。</w:t>
      </w:r>
    </w:p>
    <w:p w14:paraId="06EFCEC2">
      <w:pPr>
        <w:widowControl/>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子基金应按照</w:t>
      </w:r>
      <w:r>
        <w:rPr>
          <w:rFonts w:hint="default" w:ascii="Times New Roman" w:hAnsi="Times New Roman" w:cs="Times New Roman"/>
        </w:rPr>
        <w:fldChar w:fldCharType="begin"/>
      </w:r>
      <w:r>
        <w:rPr>
          <w:rFonts w:hint="default" w:ascii="Times New Roman" w:hAnsi="Times New Roman" w:cs="Times New Roman"/>
        </w:rPr>
        <w:instrText xml:space="preserve"> HYPERLINK "http://www.baidu.com/link?url=CB7Jj7fZ8V_I-l_eJGFjO_qys0q3OWLHtws8LF3QmrQwYggM-XLjdfROoAH_K8Fa" \t "https://www.baidu.com/_blank"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中国证券投资基金业协会</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有关要求建立重大事项披露制度。重大事项包括：变更基金管理人、执行事务合伙人或者托管人，基金管理人控股股东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管理费率、托管费率发生变化，基金收益分配事项发生变化，基金发生清盘、清算或者发生重大关联交易等事项。</w:t>
      </w:r>
    </w:p>
    <w:p w14:paraId="084E7BD6">
      <w:pPr>
        <w:widowControl/>
        <w:shd w:val="clear" w:color="auto"/>
        <w:spacing w:line="600" w:lineRule="exact"/>
        <w:ind w:firstLine="643" w:firstLineChars="200"/>
        <w:rPr>
          <w:rFonts w:hint="default" w:ascii="Times New Roman" w:hAnsi="Times New Roman" w:eastAsia="仿宋_GB2312" w:cs="Times New Roman"/>
          <w:b/>
          <w:bCs/>
          <w:kern w:val="0"/>
          <w:sz w:val="32"/>
          <w:szCs w:val="32"/>
          <w:shd w:val="clear" w:color="auto" w:fill="FFFFFF"/>
        </w:rPr>
      </w:pPr>
      <w:r>
        <w:rPr>
          <w:rFonts w:hint="default" w:ascii="Times New Roman" w:hAnsi="Times New Roman" w:eastAsia="仿宋_GB2312" w:cs="Times New Roman"/>
          <w:b/>
          <w:bCs/>
          <w:sz w:val="32"/>
          <w:szCs w:val="32"/>
        </w:rPr>
        <w:t>（十</w:t>
      </w:r>
      <w:r>
        <w:rPr>
          <w:rFonts w:hint="eastAsia"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rPr>
        <w:t>）考核要求</w:t>
      </w:r>
    </w:p>
    <w:p w14:paraId="32B1C12B">
      <w:pPr>
        <w:widowControl/>
        <w:shd w:val="clear" w:color="auto"/>
        <w:spacing w:line="600" w:lineRule="exact"/>
        <w:ind w:firstLine="640"/>
        <w:rPr>
          <w:rFonts w:hint="default" w:ascii="Times New Roman" w:hAnsi="Times New Roman" w:eastAsia="仿宋_GB2312"/>
          <w:kern w:val="0"/>
          <w:sz w:val="32"/>
          <w:szCs w:val="32"/>
          <w:shd w:val="clear" w:color="auto" w:fill="FFFFFF"/>
        </w:rPr>
      </w:pPr>
      <w:r>
        <w:rPr>
          <w:rFonts w:hint="default" w:ascii="Times New Roman" w:hAnsi="Times New Roman" w:eastAsia="仿宋_GB2312"/>
          <w:kern w:val="0"/>
          <w:sz w:val="32"/>
          <w:szCs w:val="32"/>
          <w:shd w:val="clear" w:color="auto" w:fill="FFFFFF"/>
        </w:rPr>
        <w:t>子基金考核评价可采取分阶段考核和整体考核相结合的方式。对于存续期内的子基金，分阶段对子基金进行考核，在子基金合伙协议中约定子基金投资返投要求，明确违约责任。</w:t>
      </w:r>
    </w:p>
    <w:p w14:paraId="263E4990">
      <w:pPr>
        <w:widowControl/>
        <w:numPr>
          <w:ilvl w:val="0"/>
          <w:numId w:val="4"/>
        </w:numPr>
        <w:shd w:val="clear" w:color="auto"/>
        <w:spacing w:line="600" w:lineRule="exact"/>
        <w:ind w:firstLine="640"/>
        <w:rPr>
          <w:rFonts w:hint="default" w:ascii="Times New Roman" w:hAnsi="Times New Roman" w:eastAsia="仿宋_GB2312"/>
          <w:kern w:val="0"/>
          <w:sz w:val="32"/>
          <w:szCs w:val="32"/>
          <w:shd w:val="clear" w:color="auto" w:fill="FFFFFF"/>
        </w:rPr>
      </w:pPr>
      <w:r>
        <w:rPr>
          <w:rFonts w:hint="default" w:ascii="Times New Roman" w:hAnsi="Times New Roman" w:eastAsia="仿宋_GB2312"/>
          <w:kern w:val="0"/>
          <w:sz w:val="32"/>
          <w:szCs w:val="32"/>
          <w:shd w:val="clear" w:color="auto" w:fill="FFFFFF"/>
        </w:rPr>
        <w:t>期中考核：在子基金存续一定时期时对子基金进行考核，经考核如子基金返投情况未达标，母基金可采取后续出资暂停、</w:t>
      </w:r>
      <w:r>
        <w:rPr>
          <w:rFonts w:hint="eastAsia" w:ascii="Times New Roman" w:hAnsi="Times New Roman" w:eastAsia="仿宋_GB2312"/>
          <w:kern w:val="0"/>
          <w:sz w:val="32"/>
          <w:szCs w:val="32"/>
          <w:shd w:val="clear" w:color="auto" w:fill="FFFFFF"/>
          <w:lang w:val="en-US" w:eastAsia="zh-CN"/>
        </w:rPr>
        <w:t>子基金</w:t>
      </w:r>
      <w:r>
        <w:rPr>
          <w:rFonts w:hint="default" w:ascii="Times New Roman" w:hAnsi="Times New Roman" w:eastAsia="仿宋_GB2312"/>
          <w:kern w:val="0"/>
          <w:sz w:val="32"/>
          <w:szCs w:val="32"/>
          <w:shd w:val="clear" w:color="auto" w:fill="FFFFFF"/>
        </w:rPr>
        <w:t>管理费</w:t>
      </w:r>
      <w:r>
        <w:rPr>
          <w:rFonts w:hint="eastAsia" w:ascii="Times New Roman" w:hAnsi="Times New Roman" w:eastAsia="仿宋_GB2312"/>
          <w:kern w:val="0"/>
          <w:sz w:val="32"/>
          <w:szCs w:val="32"/>
          <w:shd w:val="clear" w:color="auto" w:fill="FFFFFF"/>
          <w:lang w:val="en-US" w:eastAsia="zh-CN"/>
        </w:rPr>
        <w:t>返还</w:t>
      </w:r>
      <w:r>
        <w:rPr>
          <w:rFonts w:hint="default" w:ascii="Times New Roman" w:hAnsi="Times New Roman" w:eastAsia="仿宋_GB2312"/>
          <w:kern w:val="0"/>
          <w:sz w:val="32"/>
          <w:szCs w:val="32"/>
          <w:shd w:val="clear" w:color="auto" w:fill="FFFFFF"/>
        </w:rPr>
        <w:t>等方式来促使子基金返投考核达标。期中考核次数可以不局限于一次。</w:t>
      </w:r>
    </w:p>
    <w:p w14:paraId="7C79A975">
      <w:pPr>
        <w:widowControl/>
        <w:numPr>
          <w:ilvl w:val="0"/>
          <w:numId w:val="4"/>
        </w:numPr>
        <w:shd w:val="clear" w:color="auto"/>
        <w:spacing w:line="600" w:lineRule="exact"/>
        <w:ind w:firstLine="640"/>
        <w:rPr>
          <w:rFonts w:hint="default" w:ascii="Times New Roman" w:hAnsi="Times New Roman" w:eastAsia="仿宋_GB2312"/>
          <w:kern w:val="0"/>
          <w:sz w:val="32"/>
          <w:szCs w:val="32"/>
          <w:shd w:val="clear" w:color="auto" w:fill="FFFFFF"/>
        </w:rPr>
      </w:pPr>
      <w:r>
        <w:rPr>
          <w:rFonts w:hint="default" w:ascii="Times New Roman" w:hAnsi="Times New Roman" w:eastAsia="仿宋_GB2312"/>
          <w:kern w:val="0"/>
          <w:sz w:val="32"/>
          <w:szCs w:val="32"/>
          <w:shd w:val="clear" w:color="auto" w:fill="FFFFFF"/>
        </w:rPr>
        <w:t>存续期结束考核：子基金存续期结束时，子基金若未实现相应投资返投要求，母基金可向子基金或其管理人追究违约责任</w:t>
      </w:r>
      <w:r>
        <w:rPr>
          <w:rFonts w:hint="eastAsia" w:ascii="Times New Roman" w:hAnsi="Times New Roman" w:eastAsia="仿宋_GB2312"/>
          <w:kern w:val="0"/>
          <w:sz w:val="32"/>
          <w:szCs w:val="32"/>
          <w:shd w:val="clear" w:color="auto" w:fill="FFFFFF"/>
          <w:lang w:val="en-US" w:eastAsia="zh-CN"/>
        </w:rPr>
        <w:t>。</w:t>
      </w:r>
    </w:p>
    <w:p w14:paraId="775B6CCC">
      <w:pPr>
        <w:widowControl/>
        <w:shd w:val="clear" w:color="auto"/>
        <w:spacing w:line="600" w:lineRule="exact"/>
        <w:ind w:firstLine="640"/>
        <w:rPr>
          <w:rFonts w:hint="default" w:ascii="Times New Roman" w:hAnsi="Times New Roman" w:eastAsia="仿宋_GB2312"/>
          <w:kern w:val="0"/>
          <w:sz w:val="32"/>
          <w:szCs w:val="32"/>
          <w:shd w:val="clear" w:color="auto" w:fill="FFFFFF"/>
        </w:rPr>
      </w:pPr>
      <w:r>
        <w:rPr>
          <w:rFonts w:hint="default" w:ascii="Times New Roman" w:hAnsi="Times New Roman" w:eastAsia="仿宋_GB2312"/>
          <w:kern w:val="0"/>
          <w:sz w:val="32"/>
          <w:szCs w:val="32"/>
          <w:shd w:val="clear" w:color="auto" w:fill="FFFFFF"/>
        </w:rPr>
        <w:t>对已完成清算或退出的基金，按最终实施效果开展整体考核评价。</w:t>
      </w:r>
    </w:p>
    <w:p w14:paraId="3A885BD3">
      <w:pPr>
        <w:widowControl/>
        <w:shd w:val="clear" w:color="auto"/>
        <w:spacing w:line="600" w:lineRule="exact"/>
        <w:ind w:firstLine="640"/>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kern w:val="0"/>
          <w:sz w:val="32"/>
          <w:szCs w:val="32"/>
          <w:shd w:val="clear" w:color="auto" w:fill="FFFFFF"/>
        </w:rPr>
        <w:t>对子基金的</w:t>
      </w:r>
      <w:r>
        <w:rPr>
          <w:rFonts w:hint="eastAsia" w:ascii="Times New Roman" w:hAnsi="Times New Roman" w:eastAsia="仿宋_GB2312"/>
          <w:kern w:val="0"/>
          <w:sz w:val="32"/>
          <w:szCs w:val="32"/>
          <w:shd w:val="clear" w:color="auto" w:fill="FFFFFF"/>
          <w:lang w:val="en-US" w:eastAsia="zh-CN"/>
        </w:rPr>
        <w:t>具体</w:t>
      </w:r>
      <w:r>
        <w:rPr>
          <w:rFonts w:hint="default" w:ascii="Times New Roman" w:hAnsi="Times New Roman" w:eastAsia="仿宋_GB2312"/>
          <w:kern w:val="0"/>
          <w:sz w:val="32"/>
          <w:szCs w:val="32"/>
          <w:shd w:val="clear" w:color="auto" w:fill="FFFFFF"/>
        </w:rPr>
        <w:t>返投考核要求及时点可根据子基金</w:t>
      </w:r>
      <w:r>
        <w:rPr>
          <w:rFonts w:hint="eastAsia" w:ascii="Times New Roman" w:hAnsi="Times New Roman" w:eastAsia="仿宋_GB2312"/>
          <w:kern w:val="0"/>
          <w:sz w:val="32"/>
          <w:szCs w:val="32"/>
          <w:shd w:val="clear" w:color="auto" w:fill="FFFFFF"/>
          <w:lang w:val="en-US" w:eastAsia="zh-CN"/>
        </w:rPr>
        <w:t>实际</w:t>
      </w:r>
      <w:r>
        <w:rPr>
          <w:rFonts w:hint="default" w:ascii="Times New Roman" w:hAnsi="Times New Roman" w:eastAsia="仿宋_GB2312"/>
          <w:kern w:val="0"/>
          <w:sz w:val="32"/>
          <w:szCs w:val="32"/>
          <w:shd w:val="clear" w:color="auto" w:fill="FFFFFF"/>
        </w:rPr>
        <w:t>情况进行</w:t>
      </w:r>
      <w:r>
        <w:rPr>
          <w:rFonts w:hint="eastAsia" w:ascii="Times New Roman" w:hAnsi="Times New Roman" w:eastAsia="仿宋_GB2312"/>
          <w:kern w:val="0"/>
          <w:sz w:val="32"/>
          <w:szCs w:val="32"/>
          <w:shd w:val="clear" w:color="auto" w:fill="FFFFFF"/>
          <w:lang w:val="en-US" w:eastAsia="zh-CN"/>
        </w:rPr>
        <w:t>具体</w:t>
      </w:r>
      <w:r>
        <w:rPr>
          <w:rFonts w:hint="default" w:ascii="Times New Roman" w:hAnsi="Times New Roman" w:eastAsia="仿宋_GB2312"/>
          <w:kern w:val="0"/>
          <w:sz w:val="32"/>
          <w:szCs w:val="32"/>
          <w:shd w:val="clear" w:color="auto" w:fill="FFFFFF"/>
        </w:rPr>
        <w:t>约定并相应调整。</w:t>
      </w:r>
    </w:p>
    <w:p w14:paraId="5D0D8B7A">
      <w:pPr>
        <w:widowControl/>
        <w:shd w:val="clear" w:color="auto"/>
        <w:spacing w:line="600" w:lineRule="exact"/>
        <w:ind w:firstLine="627" w:firstLineChars="196"/>
        <w:outlineLvl w:val="0"/>
        <w:rPr>
          <w:rFonts w:hint="default" w:ascii="Times New Roman" w:hAnsi="Times New Roman" w:eastAsia="黑体" w:cs="Times New Roman"/>
          <w:b/>
          <w:sz w:val="32"/>
          <w:szCs w:val="32"/>
        </w:rPr>
      </w:pPr>
      <w:r>
        <w:rPr>
          <w:rFonts w:hint="default" w:ascii="Times New Roman" w:hAnsi="Times New Roman" w:eastAsia="黑体" w:cs="Times New Roman"/>
          <w:sz w:val="32"/>
          <w:szCs w:val="32"/>
        </w:rPr>
        <w:t>四、子基金申报流程</w:t>
      </w:r>
    </w:p>
    <w:p w14:paraId="0F19ED7C">
      <w:pPr>
        <w:shd w:val="clear"/>
        <w:spacing w:line="600" w:lineRule="exact"/>
        <w:ind w:firstLine="643" w:firstLineChars="200"/>
        <w:outlineLvl w:val="1"/>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（一）公开征集</w:t>
      </w:r>
    </w:p>
    <w:p w14:paraId="2B748BB4">
      <w:pPr>
        <w:widowControl/>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母基金管理人面向社会发布</w:t>
      </w:r>
      <w:r>
        <w:rPr>
          <w:rFonts w:hint="eastAsia" w:ascii="Times New Roman" w:hAnsi="Times New Roman" w:eastAsia="仿宋_GB2312" w:cs="Times New Roman"/>
          <w:sz w:val="32"/>
          <w:szCs w:val="32"/>
          <w:lang w:val="en-US" w:eastAsia="zh-CN"/>
        </w:rPr>
        <w:t>湘西金芙蓉</w:t>
      </w:r>
      <w:r>
        <w:rPr>
          <w:rFonts w:hint="default" w:ascii="Times New Roman" w:hAnsi="Times New Roman" w:eastAsia="仿宋_GB2312" w:cs="Times New Roman"/>
          <w:sz w:val="32"/>
          <w:szCs w:val="32"/>
        </w:rPr>
        <w:t>母基金出资申报指南。拟申请</w:t>
      </w:r>
      <w:r>
        <w:rPr>
          <w:rFonts w:hint="eastAsia" w:ascii="Times New Roman" w:hAnsi="Times New Roman" w:eastAsia="仿宋_GB2312" w:cs="Times New Roman"/>
          <w:sz w:val="32"/>
          <w:szCs w:val="32"/>
          <w:lang w:eastAsia="zh"/>
          <w:woUserID w:val="2"/>
        </w:rPr>
        <w:t>湘西金芙蓉</w:t>
      </w:r>
      <w:r>
        <w:rPr>
          <w:rFonts w:hint="default" w:ascii="Times New Roman" w:hAnsi="Times New Roman" w:eastAsia="仿宋_GB2312" w:cs="Times New Roman"/>
          <w:sz w:val="32"/>
          <w:szCs w:val="32"/>
        </w:rPr>
        <w:t>母基金出资的子基金管理机构根据申报指南编制子基金设立或增资方案。根据申报指南附件要求，采取递交电子材料和纸质材料相结合的方式向母基金管理人进行申报。母基金管理人对设立方案进行初审立项。管理机构向母基金管理人申报的材料包括但不限于：</w:t>
      </w:r>
    </w:p>
    <w:p w14:paraId="38B9D8F0">
      <w:pPr>
        <w:widowControl/>
        <w:numPr>
          <w:ilvl w:val="0"/>
          <w:numId w:val="5"/>
        </w:numPr>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子基金设立或增资方案；</w:t>
      </w:r>
    </w:p>
    <w:p w14:paraId="7ED6637C">
      <w:pPr>
        <w:widowControl/>
        <w:numPr>
          <w:ilvl w:val="0"/>
          <w:numId w:val="5"/>
        </w:numPr>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主要出资人的出资意向函或出资证明；</w:t>
      </w:r>
    </w:p>
    <w:p w14:paraId="1B996A45">
      <w:pPr>
        <w:widowControl/>
        <w:numPr>
          <w:ilvl w:val="0"/>
          <w:numId w:val="5"/>
        </w:numPr>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子基金管理机构（管理团队）管理经验和管理业绩的证明材料；</w:t>
      </w:r>
    </w:p>
    <w:p w14:paraId="271E8C1D">
      <w:pPr>
        <w:widowControl/>
        <w:numPr>
          <w:ilvl w:val="0"/>
          <w:numId w:val="5"/>
        </w:numPr>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子基金管理人具备前述基本条件的证明材料</w:t>
      </w:r>
      <w:r>
        <w:rPr>
          <w:rFonts w:hint="eastAsia" w:ascii="Times New Roman" w:hAnsi="Times New Roman" w:eastAsia="仿宋_GB2312" w:cs="Times New Roman"/>
          <w:sz w:val="32"/>
          <w:szCs w:val="32"/>
          <w:lang w:eastAsia="zh-CN"/>
        </w:rPr>
        <w:t>；</w:t>
      </w:r>
    </w:p>
    <w:p w14:paraId="376ADBAE">
      <w:pPr>
        <w:widowControl/>
        <w:numPr>
          <w:ilvl w:val="0"/>
          <w:numId w:val="5"/>
        </w:numPr>
        <w:shd w:val="clear" w:color="auto"/>
        <w:spacing w:line="600" w:lineRule="exact"/>
        <w:ind w:firstLine="627" w:firstLineChars="196"/>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shd w:val="clear"/>
          <w:lang w:val="en-US" w:eastAsia="zh-CN"/>
        </w:rPr>
        <w:t>子基金储备项目情况介绍材料</w:t>
      </w:r>
      <w:r>
        <w:rPr>
          <w:rFonts w:hint="default" w:ascii="Times New Roman" w:hAnsi="Times New Roman" w:eastAsia="仿宋_GB2312" w:cs="Times New Roman"/>
          <w:sz w:val="32"/>
          <w:szCs w:val="32"/>
        </w:rPr>
        <w:t>；</w:t>
      </w:r>
    </w:p>
    <w:p w14:paraId="20040C36">
      <w:pPr>
        <w:widowControl/>
        <w:numPr>
          <w:ilvl w:val="0"/>
          <w:numId w:val="5"/>
        </w:numPr>
        <w:shd w:val="clear" w:color="auto"/>
        <w:spacing w:line="600" w:lineRule="exact"/>
        <w:ind w:firstLine="627" w:firstLineChars="196"/>
        <w:rPr>
          <w:rFonts w:hint="default" w:ascii="Times New Roman" w:hAnsi="Times New Roman" w:eastAsia="仿宋_GB2312" w:cs="Times New Roman"/>
          <w:bCs/>
          <w:sz w:val="32"/>
          <w:szCs w:val="32"/>
        </w:rPr>
      </w:pPr>
      <w:r>
        <w:rPr>
          <w:rFonts w:hint="eastAsia" w:ascii="Times New Roman" w:hAnsi="Times New Roman" w:eastAsia="仿宋_GB2312" w:cs="Times New Roman"/>
          <w:sz w:val="32"/>
          <w:szCs w:val="32"/>
          <w:lang w:val="en-US" w:eastAsia="zh-CN"/>
        </w:rPr>
        <w:t>母</w:t>
      </w:r>
      <w:r>
        <w:rPr>
          <w:rFonts w:hint="default" w:ascii="Times New Roman" w:hAnsi="Times New Roman" w:eastAsia="仿宋_GB2312" w:cs="Times New Roman"/>
          <w:sz w:val="32"/>
          <w:szCs w:val="32"/>
        </w:rPr>
        <w:t>基金管理人认为应当提交的其他材料。</w:t>
      </w:r>
    </w:p>
    <w:p w14:paraId="7130A2E1">
      <w:pPr>
        <w:widowControl/>
        <w:shd w:val="clear" w:color="auto"/>
        <w:spacing w:line="600" w:lineRule="exact"/>
        <w:ind w:firstLine="643" w:firstLineChars="200"/>
        <w:outlineLvl w:val="1"/>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 xml:space="preserve">（二）初审立项 </w:t>
      </w:r>
    </w:p>
    <w:p w14:paraId="22447567">
      <w:pPr>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申报材料报送至母基金管理人后，由母基金管理人对提交的材料内容进行形式审查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初审合格的，由母基金管理人召开立项会予以立项。 </w:t>
      </w:r>
    </w:p>
    <w:p w14:paraId="377CA7E7">
      <w:pPr>
        <w:spacing w:line="600" w:lineRule="exact"/>
        <w:ind w:firstLine="643" w:firstLineChars="200"/>
        <w:outlineLvl w:val="1"/>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（三）尽职调查</w:t>
      </w:r>
    </w:p>
    <w:p w14:paraId="7A6B4841">
      <w:pPr>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立项通过的，母基金管理人独立或委托第三方机构对子基金管理机构开展尽职调查，编制尽职调查报告，并提出投资建议。</w:t>
      </w:r>
    </w:p>
    <w:p w14:paraId="0B3FBF17">
      <w:pPr>
        <w:spacing w:line="600" w:lineRule="exact"/>
        <w:ind w:firstLine="643" w:firstLineChars="200"/>
        <w:outlineLvl w:val="1"/>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 xml:space="preserve">（四）商务谈判 </w:t>
      </w:r>
    </w:p>
    <w:p w14:paraId="137028C9">
      <w:pPr>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尽职调查后符合初步投资条件的，母基金管理人与子基金管理机构就投资方案、合伙协议条款等进行谈判，形成投资方案。 </w:t>
      </w:r>
    </w:p>
    <w:p w14:paraId="55B6D0E1">
      <w:pPr>
        <w:spacing w:line="600" w:lineRule="exact"/>
        <w:ind w:firstLine="643" w:firstLineChars="200"/>
        <w:outlineLvl w:val="1"/>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 xml:space="preserve">（五）基金内核 </w:t>
      </w:r>
    </w:p>
    <w:p w14:paraId="702875D1">
      <w:pPr>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商务谈判结束后，由母基金管理人核实、审查尽职调查报告</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投资方案等，对子基金投资方案进行内核。</w:t>
      </w:r>
    </w:p>
    <w:p w14:paraId="7B5342B4">
      <w:pPr>
        <w:spacing w:line="600" w:lineRule="exact"/>
        <w:ind w:firstLine="643" w:firstLineChars="200"/>
        <w:outlineLvl w:val="1"/>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（六）投资决策</w:t>
      </w:r>
    </w:p>
    <w:p w14:paraId="798B98CC">
      <w:pPr>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内核通过的，由母基金管理人召开母基金投资决策委员会会议，对子基金投资方案进行审议决策。</w:t>
      </w:r>
    </w:p>
    <w:p w14:paraId="0F7E5DAA">
      <w:pPr>
        <w:spacing w:line="600" w:lineRule="exact"/>
        <w:ind w:firstLine="643" w:firstLineChars="200"/>
        <w:outlineLvl w:val="1"/>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（七）法律文件的签署和资金拨付</w:t>
      </w:r>
    </w:p>
    <w:p w14:paraId="0667BBEB">
      <w:pPr>
        <w:snapToGrid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投资决策通过后，母基金管理人及时与子基金各出资方协商并办理子基金合伙协议（或公司章程）等各项法律文件的签署和资金拨付。</w:t>
      </w:r>
    </w:p>
    <w:p w14:paraId="0A6234A1">
      <w:pPr>
        <w:spacing w:line="600" w:lineRule="exact"/>
        <w:ind w:firstLine="643" w:firstLineChars="200"/>
        <w:outlineLvl w:val="1"/>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（八）投资后管理及退出</w:t>
      </w:r>
    </w:p>
    <w:p w14:paraId="6F2E38EF">
      <w:pPr>
        <w:widowControl/>
        <w:shd w:val="clear" w:color="auto"/>
        <w:spacing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母基金管理人负责开展投后管理，办理投资回收与退出。子基金投资项目须即退即分，到期进行子基金清算。</w:t>
      </w:r>
    </w:p>
    <w:p w14:paraId="508F191C">
      <w:pPr>
        <w:bidi w:val="0"/>
        <w:rPr>
          <w:rFonts w:hint="default"/>
        </w:rPr>
      </w:pPr>
      <w:bookmarkStart w:id="2" w:name="_GoBack"/>
      <w:bookmarkEnd w:id="2"/>
    </w:p>
    <w:p w14:paraId="4BB997FF">
      <w:pPr>
        <w:pStyle w:val="5"/>
        <w:wordWrap w:val="0"/>
        <w:spacing w:after="0"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湖南省财信产业基金管理有限公司</w:t>
      </w:r>
    </w:p>
    <w:p w14:paraId="518D0271">
      <w:pPr>
        <w:bidi w:val="0"/>
        <w:jc w:val="right"/>
        <w:rPr>
          <w:rFonts w:hint="default"/>
          <w:lang w:val="en-US" w:eastAsia="zh-CN"/>
        </w:rPr>
      </w:pPr>
      <w:r>
        <w:rPr>
          <w:rFonts w:hint="default"/>
          <w:lang w:val="en-US" w:eastAsia="zh-CN"/>
        </w:rPr>
        <w:t xml:space="preserve">                  </w:t>
      </w:r>
      <w:r>
        <w:rPr>
          <w:rFonts w:hint="default" w:ascii="Times New Roman" w:hAnsi="Times New Roman" w:eastAsia="仿宋_GB2312" w:cs="Times New Roman"/>
          <w:kern w:val="2"/>
          <w:sz w:val="32"/>
          <w:szCs w:val="32"/>
          <w:lang w:val="en-US" w:eastAsia="zh-CN" w:bidi="ar-SA"/>
        </w:rPr>
        <w:t xml:space="preserve">       202</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lang w:val="en-US" w:eastAsia="zh-CN" w:bidi="ar-SA"/>
        </w:rPr>
        <w:t>8</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4日</w:t>
      </w:r>
    </w:p>
    <w:p w14:paraId="31DB98BA">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4C658682">
      <w:pPr>
        <w:widowControl/>
        <w:shd w:val="clear" w:color="auto"/>
        <w:spacing w:line="560" w:lineRule="exact"/>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附件1</w:t>
      </w:r>
    </w:p>
    <w:p w14:paraId="06B6BA2B">
      <w:pPr>
        <w:pStyle w:val="5"/>
        <w:rPr>
          <w:rFonts w:hint="default" w:ascii="Times New Roman" w:hAnsi="Times New Roman" w:cs="Times New Roman"/>
        </w:rPr>
      </w:pPr>
    </w:p>
    <w:p w14:paraId="7CF30E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子基金申请表</w:t>
      </w:r>
    </w:p>
    <w:tbl>
      <w:tblPr>
        <w:tblStyle w:val="14"/>
        <w:tblpPr w:leftFromText="180" w:rightFromText="180" w:vertAnchor="text" w:horzAnchor="page" w:tblpX="1447" w:tblpY="533"/>
        <w:tblOverlap w:val="never"/>
        <w:tblW w:w="93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753"/>
        <w:gridCol w:w="1225"/>
        <w:gridCol w:w="1984"/>
        <w:gridCol w:w="1843"/>
        <w:gridCol w:w="2536"/>
      </w:tblGrid>
      <w:tr w14:paraId="3A2CD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trPr>
        <w:tc>
          <w:tcPr>
            <w:tcW w:w="9341" w:type="dxa"/>
            <w:gridSpan w:val="5"/>
            <w:shd w:val="clear" w:color="auto" w:fill="auto"/>
            <w:vAlign w:val="center"/>
          </w:tcPr>
          <w:p w14:paraId="6711E933">
            <w:pPr>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kern w:val="0"/>
                <w:sz w:val="24"/>
                <w:szCs w:val="24"/>
                <w:lang w:val="zh-CN"/>
              </w:rPr>
            </w:pPr>
            <w:r>
              <w:rPr>
                <w:rFonts w:hint="default" w:ascii="Times New Roman" w:hAnsi="Times New Roman" w:eastAsia="黑体" w:cs="Times New Roman"/>
                <w:kern w:val="0"/>
                <w:sz w:val="24"/>
                <w:szCs w:val="24"/>
                <w:lang w:val="zh-CN"/>
              </w:rPr>
              <w:t>一、申请机构</w:t>
            </w:r>
          </w:p>
        </w:tc>
      </w:tr>
      <w:tr w14:paraId="2EF0A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1753" w:type="dxa"/>
            <w:shd w:val="clear" w:color="auto" w:fill="auto"/>
            <w:vAlign w:val="center"/>
          </w:tcPr>
          <w:p w14:paraId="0378FBE0">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机构名称</w:t>
            </w:r>
          </w:p>
        </w:tc>
        <w:tc>
          <w:tcPr>
            <w:tcW w:w="3209" w:type="dxa"/>
            <w:gridSpan w:val="2"/>
            <w:shd w:val="clear" w:color="auto" w:fill="auto"/>
            <w:vAlign w:val="center"/>
          </w:tcPr>
          <w:p w14:paraId="1CD24003">
            <w:pPr>
              <w:keepNext/>
              <w:keepLines/>
              <w:pageBreakBefore w:val="0"/>
              <w:widowControl w:val="0"/>
              <w:kinsoku/>
              <w:wordWrap/>
              <w:overflowPunct/>
              <w:topLinePunct w:val="0"/>
              <w:autoSpaceDE w:val="0"/>
              <w:autoSpaceDN w:val="0"/>
              <w:bidi w:val="0"/>
              <w:adjustRightInd w:val="0"/>
              <w:snapToGrid/>
              <w:spacing w:before="260" w:after="260" w:line="240" w:lineRule="auto"/>
              <w:textAlignment w:val="auto"/>
              <w:rPr>
                <w:rFonts w:hint="default" w:ascii="Times New Roman" w:hAnsi="Times New Roman" w:cs="Times New Roman"/>
                <w:kern w:val="0"/>
                <w:sz w:val="24"/>
                <w:szCs w:val="24"/>
                <w:lang w:val="zh-CN"/>
              </w:rPr>
            </w:pPr>
          </w:p>
        </w:tc>
        <w:tc>
          <w:tcPr>
            <w:tcW w:w="1843" w:type="dxa"/>
            <w:shd w:val="clear" w:color="auto" w:fill="auto"/>
            <w:vAlign w:val="center"/>
          </w:tcPr>
          <w:p w14:paraId="4645976C">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法定代表人</w:t>
            </w:r>
            <w:r>
              <w:rPr>
                <w:rFonts w:hint="default" w:ascii="Times New Roman" w:hAnsi="Times New Roman" w:cs="Times New Roman"/>
                <w:kern w:val="0"/>
                <w:sz w:val="24"/>
                <w:szCs w:val="24"/>
              </w:rPr>
              <w:t>/</w:t>
            </w:r>
            <w:r>
              <w:rPr>
                <w:rFonts w:hint="default" w:ascii="Times New Roman" w:hAnsi="Times New Roman" w:cs="Times New Roman"/>
                <w:kern w:val="0"/>
                <w:sz w:val="24"/>
                <w:szCs w:val="24"/>
                <w:lang w:val="zh-CN"/>
              </w:rPr>
              <w:t>执行事务合伙人</w:t>
            </w:r>
          </w:p>
        </w:tc>
        <w:tc>
          <w:tcPr>
            <w:tcW w:w="2536" w:type="dxa"/>
            <w:shd w:val="clear" w:color="auto" w:fill="auto"/>
            <w:vAlign w:val="center"/>
          </w:tcPr>
          <w:p w14:paraId="6DDB5A7E">
            <w:pPr>
              <w:keepNext/>
              <w:keepLines/>
              <w:pageBreakBefore w:val="0"/>
              <w:widowControl w:val="0"/>
              <w:kinsoku/>
              <w:wordWrap/>
              <w:overflowPunct/>
              <w:topLinePunct w:val="0"/>
              <w:autoSpaceDE w:val="0"/>
              <w:autoSpaceDN w:val="0"/>
              <w:bidi w:val="0"/>
              <w:adjustRightInd w:val="0"/>
              <w:snapToGrid/>
              <w:spacing w:before="260" w:after="260" w:line="240" w:lineRule="auto"/>
              <w:textAlignment w:val="auto"/>
              <w:rPr>
                <w:rFonts w:hint="default" w:ascii="Times New Roman" w:hAnsi="Times New Roman" w:cs="Times New Roman"/>
                <w:kern w:val="0"/>
                <w:sz w:val="24"/>
                <w:szCs w:val="24"/>
                <w:lang w:val="zh-CN"/>
              </w:rPr>
            </w:pPr>
          </w:p>
        </w:tc>
      </w:tr>
      <w:tr w14:paraId="37444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753" w:type="dxa"/>
            <w:shd w:val="clear" w:color="auto" w:fill="auto"/>
            <w:vAlign w:val="center"/>
          </w:tcPr>
          <w:p w14:paraId="60E4BFE9">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注册地址</w:t>
            </w:r>
          </w:p>
        </w:tc>
        <w:tc>
          <w:tcPr>
            <w:tcW w:w="3209" w:type="dxa"/>
            <w:gridSpan w:val="2"/>
            <w:shd w:val="clear" w:color="auto" w:fill="auto"/>
            <w:vAlign w:val="center"/>
          </w:tcPr>
          <w:p w14:paraId="14147045">
            <w:pPr>
              <w:keepNext/>
              <w:keepLines/>
              <w:pageBreakBefore w:val="0"/>
              <w:widowControl w:val="0"/>
              <w:kinsoku/>
              <w:wordWrap/>
              <w:overflowPunct/>
              <w:topLinePunct w:val="0"/>
              <w:autoSpaceDE w:val="0"/>
              <w:autoSpaceDN w:val="0"/>
              <w:bidi w:val="0"/>
              <w:adjustRightInd w:val="0"/>
              <w:snapToGrid/>
              <w:spacing w:before="260" w:after="260" w:line="240" w:lineRule="auto"/>
              <w:textAlignment w:val="auto"/>
              <w:rPr>
                <w:rFonts w:hint="default" w:ascii="Times New Roman" w:hAnsi="Times New Roman" w:cs="Times New Roman"/>
                <w:kern w:val="0"/>
                <w:sz w:val="24"/>
                <w:szCs w:val="24"/>
                <w:lang w:val="zh-CN"/>
              </w:rPr>
            </w:pPr>
          </w:p>
        </w:tc>
        <w:tc>
          <w:tcPr>
            <w:tcW w:w="1843" w:type="dxa"/>
            <w:shd w:val="clear" w:color="auto" w:fill="auto"/>
            <w:vAlign w:val="center"/>
          </w:tcPr>
          <w:p w14:paraId="08558087">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统一社会信用代码</w:t>
            </w:r>
          </w:p>
        </w:tc>
        <w:tc>
          <w:tcPr>
            <w:tcW w:w="2536" w:type="dxa"/>
            <w:shd w:val="clear" w:color="auto" w:fill="auto"/>
            <w:vAlign w:val="center"/>
          </w:tcPr>
          <w:p w14:paraId="42F7A89C">
            <w:pPr>
              <w:keepNext/>
              <w:keepLines/>
              <w:pageBreakBefore w:val="0"/>
              <w:widowControl w:val="0"/>
              <w:kinsoku/>
              <w:wordWrap/>
              <w:overflowPunct/>
              <w:topLinePunct w:val="0"/>
              <w:autoSpaceDE w:val="0"/>
              <w:autoSpaceDN w:val="0"/>
              <w:bidi w:val="0"/>
              <w:adjustRightInd w:val="0"/>
              <w:snapToGrid/>
              <w:spacing w:before="260" w:after="260" w:line="240" w:lineRule="auto"/>
              <w:textAlignment w:val="auto"/>
              <w:rPr>
                <w:rFonts w:hint="default" w:ascii="Times New Roman" w:hAnsi="Times New Roman" w:cs="Times New Roman"/>
                <w:kern w:val="0"/>
                <w:sz w:val="24"/>
                <w:szCs w:val="24"/>
                <w:lang w:val="zh-CN"/>
              </w:rPr>
            </w:pPr>
          </w:p>
        </w:tc>
      </w:tr>
      <w:tr w14:paraId="46C41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1753" w:type="dxa"/>
            <w:shd w:val="clear" w:color="auto" w:fill="auto"/>
            <w:vAlign w:val="center"/>
          </w:tcPr>
          <w:p w14:paraId="479AC051">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注册资本</w:t>
            </w:r>
            <w:r>
              <w:rPr>
                <w:rFonts w:hint="default" w:ascii="Times New Roman" w:hAnsi="Times New Roman" w:cs="Times New Roman"/>
                <w:kern w:val="0"/>
                <w:sz w:val="24"/>
                <w:szCs w:val="24"/>
              </w:rPr>
              <w:t>/</w:t>
            </w:r>
            <w:r>
              <w:rPr>
                <w:rFonts w:hint="default" w:ascii="Times New Roman" w:hAnsi="Times New Roman" w:cs="Times New Roman"/>
                <w:kern w:val="0"/>
                <w:sz w:val="24"/>
                <w:szCs w:val="24"/>
                <w:lang w:val="zh-CN"/>
              </w:rPr>
              <w:t>认缴出资总额</w:t>
            </w:r>
          </w:p>
        </w:tc>
        <w:tc>
          <w:tcPr>
            <w:tcW w:w="3209" w:type="dxa"/>
            <w:gridSpan w:val="2"/>
            <w:shd w:val="clear" w:color="auto" w:fill="auto"/>
            <w:vAlign w:val="center"/>
          </w:tcPr>
          <w:p w14:paraId="0CC5E250">
            <w:pPr>
              <w:pageBreakBefore w:val="0"/>
              <w:widowControl w:val="0"/>
              <w:kinsoku/>
              <w:wordWrap/>
              <w:overflowPunct/>
              <w:topLinePunct w:val="0"/>
              <w:autoSpaceDE w:val="0"/>
              <w:autoSpaceDN w:val="0"/>
              <w:bidi w:val="0"/>
              <w:adjustRightInd w:val="0"/>
              <w:snapToGrid/>
              <w:spacing w:line="240" w:lineRule="auto"/>
              <w:jc w:val="right"/>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万元</w:t>
            </w:r>
          </w:p>
        </w:tc>
        <w:tc>
          <w:tcPr>
            <w:tcW w:w="1843" w:type="dxa"/>
            <w:shd w:val="clear" w:color="auto" w:fill="auto"/>
            <w:vAlign w:val="center"/>
          </w:tcPr>
          <w:p w14:paraId="0168A661">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实缴资本</w:t>
            </w:r>
          </w:p>
        </w:tc>
        <w:tc>
          <w:tcPr>
            <w:tcW w:w="2536" w:type="dxa"/>
            <w:shd w:val="clear" w:color="auto" w:fill="auto"/>
            <w:vAlign w:val="center"/>
          </w:tcPr>
          <w:p w14:paraId="3162D88B">
            <w:pPr>
              <w:pageBreakBefore w:val="0"/>
              <w:widowControl w:val="0"/>
              <w:kinsoku/>
              <w:wordWrap/>
              <w:overflowPunct/>
              <w:topLinePunct w:val="0"/>
              <w:autoSpaceDE w:val="0"/>
              <w:autoSpaceDN w:val="0"/>
              <w:bidi w:val="0"/>
              <w:adjustRightInd w:val="0"/>
              <w:snapToGrid/>
              <w:spacing w:line="240" w:lineRule="auto"/>
              <w:jc w:val="right"/>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万元</w:t>
            </w:r>
          </w:p>
        </w:tc>
      </w:tr>
      <w:tr w14:paraId="4BAF5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1753" w:type="dxa"/>
            <w:vMerge w:val="restart"/>
            <w:shd w:val="clear" w:color="auto" w:fill="auto"/>
            <w:vAlign w:val="center"/>
          </w:tcPr>
          <w:p w14:paraId="33CE387E">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联系人</w:t>
            </w:r>
          </w:p>
        </w:tc>
        <w:tc>
          <w:tcPr>
            <w:tcW w:w="1225" w:type="dxa"/>
            <w:shd w:val="clear" w:color="auto" w:fill="auto"/>
            <w:vAlign w:val="center"/>
          </w:tcPr>
          <w:p w14:paraId="76E43D6D">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姓名</w:t>
            </w:r>
          </w:p>
        </w:tc>
        <w:tc>
          <w:tcPr>
            <w:tcW w:w="1984" w:type="dxa"/>
            <w:shd w:val="clear" w:color="auto" w:fill="auto"/>
            <w:vAlign w:val="center"/>
          </w:tcPr>
          <w:p w14:paraId="7F5F7D35">
            <w:pPr>
              <w:keepNext/>
              <w:keepLines/>
              <w:pageBreakBefore w:val="0"/>
              <w:widowControl w:val="0"/>
              <w:kinsoku/>
              <w:wordWrap/>
              <w:overflowPunct/>
              <w:topLinePunct w:val="0"/>
              <w:autoSpaceDE w:val="0"/>
              <w:autoSpaceDN w:val="0"/>
              <w:bidi w:val="0"/>
              <w:adjustRightInd w:val="0"/>
              <w:snapToGrid/>
              <w:spacing w:before="260" w:after="260" w:line="240" w:lineRule="auto"/>
              <w:textAlignment w:val="auto"/>
              <w:rPr>
                <w:rFonts w:hint="default" w:ascii="Times New Roman" w:hAnsi="Times New Roman" w:cs="Times New Roman"/>
                <w:kern w:val="0"/>
                <w:sz w:val="24"/>
                <w:szCs w:val="24"/>
                <w:lang w:val="zh-CN"/>
              </w:rPr>
            </w:pPr>
          </w:p>
        </w:tc>
        <w:tc>
          <w:tcPr>
            <w:tcW w:w="1843" w:type="dxa"/>
            <w:shd w:val="clear" w:color="auto" w:fill="auto"/>
            <w:vAlign w:val="center"/>
          </w:tcPr>
          <w:p w14:paraId="6CC05CC6">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职务</w:t>
            </w:r>
          </w:p>
        </w:tc>
        <w:tc>
          <w:tcPr>
            <w:tcW w:w="2536" w:type="dxa"/>
            <w:shd w:val="clear" w:color="auto" w:fill="auto"/>
            <w:vAlign w:val="center"/>
          </w:tcPr>
          <w:p w14:paraId="7803D436">
            <w:pPr>
              <w:keepNext/>
              <w:keepLines/>
              <w:pageBreakBefore w:val="0"/>
              <w:widowControl w:val="0"/>
              <w:kinsoku/>
              <w:wordWrap/>
              <w:overflowPunct/>
              <w:topLinePunct w:val="0"/>
              <w:autoSpaceDE w:val="0"/>
              <w:autoSpaceDN w:val="0"/>
              <w:bidi w:val="0"/>
              <w:adjustRightInd w:val="0"/>
              <w:snapToGrid/>
              <w:spacing w:before="260" w:after="260" w:line="240" w:lineRule="auto"/>
              <w:textAlignment w:val="auto"/>
              <w:rPr>
                <w:rFonts w:hint="default" w:ascii="Times New Roman" w:hAnsi="Times New Roman" w:cs="Times New Roman"/>
                <w:kern w:val="0"/>
                <w:sz w:val="24"/>
                <w:szCs w:val="24"/>
                <w:lang w:val="zh-CN"/>
              </w:rPr>
            </w:pPr>
          </w:p>
        </w:tc>
      </w:tr>
      <w:tr w14:paraId="63CDA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1753" w:type="dxa"/>
            <w:vMerge w:val="continue"/>
            <w:shd w:val="clear" w:color="auto" w:fill="auto"/>
            <w:vAlign w:val="center"/>
          </w:tcPr>
          <w:p w14:paraId="539AB09B">
            <w:pPr>
              <w:keepNext/>
              <w:keepLines/>
              <w:pageBreakBefore w:val="0"/>
              <w:widowControl w:val="0"/>
              <w:kinsoku/>
              <w:wordWrap/>
              <w:overflowPunct/>
              <w:topLinePunct w:val="0"/>
              <w:autoSpaceDE w:val="0"/>
              <w:autoSpaceDN w:val="0"/>
              <w:bidi w:val="0"/>
              <w:adjustRightInd w:val="0"/>
              <w:snapToGrid/>
              <w:spacing w:before="260" w:after="260" w:line="240" w:lineRule="auto"/>
              <w:textAlignment w:val="auto"/>
              <w:rPr>
                <w:rFonts w:hint="default" w:ascii="Times New Roman" w:hAnsi="Times New Roman" w:cs="Times New Roman"/>
                <w:kern w:val="0"/>
                <w:sz w:val="24"/>
                <w:szCs w:val="24"/>
                <w:lang w:val="zh-CN"/>
              </w:rPr>
            </w:pPr>
          </w:p>
        </w:tc>
        <w:tc>
          <w:tcPr>
            <w:tcW w:w="1225" w:type="dxa"/>
            <w:shd w:val="clear" w:color="auto" w:fill="auto"/>
            <w:vAlign w:val="center"/>
          </w:tcPr>
          <w:p w14:paraId="447A4040">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办公电话</w:t>
            </w:r>
          </w:p>
        </w:tc>
        <w:tc>
          <w:tcPr>
            <w:tcW w:w="1984" w:type="dxa"/>
            <w:shd w:val="clear" w:color="auto" w:fill="auto"/>
            <w:vAlign w:val="center"/>
          </w:tcPr>
          <w:p w14:paraId="462935BB">
            <w:pPr>
              <w:keepNext/>
              <w:keepLines/>
              <w:pageBreakBefore w:val="0"/>
              <w:widowControl w:val="0"/>
              <w:kinsoku/>
              <w:wordWrap/>
              <w:overflowPunct/>
              <w:topLinePunct w:val="0"/>
              <w:autoSpaceDE w:val="0"/>
              <w:autoSpaceDN w:val="0"/>
              <w:bidi w:val="0"/>
              <w:adjustRightInd w:val="0"/>
              <w:snapToGrid/>
              <w:spacing w:before="260" w:after="260" w:line="240" w:lineRule="auto"/>
              <w:textAlignment w:val="auto"/>
              <w:rPr>
                <w:rFonts w:hint="default" w:ascii="Times New Roman" w:hAnsi="Times New Roman" w:cs="Times New Roman"/>
                <w:kern w:val="0"/>
                <w:sz w:val="24"/>
                <w:szCs w:val="24"/>
                <w:lang w:val="zh-CN"/>
              </w:rPr>
            </w:pPr>
          </w:p>
        </w:tc>
        <w:tc>
          <w:tcPr>
            <w:tcW w:w="1843" w:type="dxa"/>
            <w:shd w:val="clear" w:color="auto" w:fill="auto"/>
            <w:vAlign w:val="center"/>
          </w:tcPr>
          <w:p w14:paraId="28166863">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手机</w:t>
            </w:r>
          </w:p>
        </w:tc>
        <w:tc>
          <w:tcPr>
            <w:tcW w:w="2536" w:type="dxa"/>
            <w:shd w:val="clear" w:color="auto" w:fill="auto"/>
            <w:vAlign w:val="center"/>
          </w:tcPr>
          <w:p w14:paraId="6E9A96F9">
            <w:pPr>
              <w:keepNext/>
              <w:keepLines/>
              <w:pageBreakBefore w:val="0"/>
              <w:widowControl w:val="0"/>
              <w:kinsoku/>
              <w:wordWrap/>
              <w:overflowPunct/>
              <w:topLinePunct w:val="0"/>
              <w:autoSpaceDE w:val="0"/>
              <w:autoSpaceDN w:val="0"/>
              <w:bidi w:val="0"/>
              <w:adjustRightInd w:val="0"/>
              <w:snapToGrid/>
              <w:spacing w:before="260" w:after="260" w:line="240" w:lineRule="auto"/>
              <w:textAlignment w:val="auto"/>
              <w:rPr>
                <w:rFonts w:hint="default" w:ascii="Times New Roman" w:hAnsi="Times New Roman" w:cs="Times New Roman"/>
                <w:kern w:val="0"/>
                <w:sz w:val="24"/>
                <w:szCs w:val="24"/>
                <w:lang w:val="zh-CN"/>
              </w:rPr>
            </w:pPr>
          </w:p>
        </w:tc>
      </w:tr>
      <w:tr w14:paraId="10D45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53" w:type="dxa"/>
            <w:vMerge w:val="continue"/>
            <w:shd w:val="clear" w:color="auto" w:fill="auto"/>
            <w:vAlign w:val="center"/>
          </w:tcPr>
          <w:p w14:paraId="41A25F10">
            <w:pPr>
              <w:keepNext/>
              <w:keepLines/>
              <w:pageBreakBefore w:val="0"/>
              <w:widowControl w:val="0"/>
              <w:kinsoku/>
              <w:wordWrap/>
              <w:overflowPunct/>
              <w:topLinePunct w:val="0"/>
              <w:autoSpaceDE w:val="0"/>
              <w:autoSpaceDN w:val="0"/>
              <w:bidi w:val="0"/>
              <w:adjustRightInd w:val="0"/>
              <w:snapToGrid/>
              <w:spacing w:before="260" w:after="260" w:line="240" w:lineRule="auto"/>
              <w:textAlignment w:val="auto"/>
              <w:rPr>
                <w:rFonts w:hint="default" w:ascii="Times New Roman" w:hAnsi="Times New Roman" w:cs="Times New Roman"/>
                <w:kern w:val="0"/>
                <w:sz w:val="24"/>
                <w:szCs w:val="24"/>
                <w:lang w:val="zh-CN"/>
              </w:rPr>
            </w:pPr>
          </w:p>
        </w:tc>
        <w:tc>
          <w:tcPr>
            <w:tcW w:w="1225" w:type="dxa"/>
            <w:shd w:val="clear" w:color="auto" w:fill="auto"/>
            <w:vAlign w:val="center"/>
          </w:tcPr>
          <w:p w14:paraId="7DB12F9E">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传真</w:t>
            </w:r>
          </w:p>
        </w:tc>
        <w:tc>
          <w:tcPr>
            <w:tcW w:w="1984" w:type="dxa"/>
            <w:shd w:val="clear" w:color="auto" w:fill="auto"/>
            <w:vAlign w:val="center"/>
          </w:tcPr>
          <w:p w14:paraId="14A56EE6">
            <w:pPr>
              <w:keepNext/>
              <w:keepLines/>
              <w:pageBreakBefore w:val="0"/>
              <w:widowControl w:val="0"/>
              <w:kinsoku/>
              <w:wordWrap/>
              <w:overflowPunct/>
              <w:topLinePunct w:val="0"/>
              <w:autoSpaceDE w:val="0"/>
              <w:autoSpaceDN w:val="0"/>
              <w:bidi w:val="0"/>
              <w:adjustRightInd w:val="0"/>
              <w:snapToGrid/>
              <w:spacing w:before="260" w:after="260" w:line="240" w:lineRule="auto"/>
              <w:textAlignment w:val="auto"/>
              <w:rPr>
                <w:rFonts w:hint="default" w:ascii="Times New Roman" w:hAnsi="Times New Roman" w:cs="Times New Roman"/>
                <w:kern w:val="0"/>
                <w:sz w:val="24"/>
                <w:szCs w:val="24"/>
                <w:lang w:val="zh-CN"/>
              </w:rPr>
            </w:pPr>
          </w:p>
        </w:tc>
        <w:tc>
          <w:tcPr>
            <w:tcW w:w="1843" w:type="dxa"/>
            <w:shd w:val="clear" w:color="auto" w:fill="auto"/>
            <w:vAlign w:val="center"/>
          </w:tcPr>
          <w:p w14:paraId="3B157BE1">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电子邮箱</w:t>
            </w:r>
          </w:p>
        </w:tc>
        <w:tc>
          <w:tcPr>
            <w:tcW w:w="2536" w:type="dxa"/>
            <w:shd w:val="clear" w:color="auto" w:fill="auto"/>
            <w:vAlign w:val="center"/>
          </w:tcPr>
          <w:p w14:paraId="6CA8F5EB">
            <w:pPr>
              <w:keepNext/>
              <w:keepLines/>
              <w:pageBreakBefore w:val="0"/>
              <w:widowControl w:val="0"/>
              <w:kinsoku/>
              <w:wordWrap/>
              <w:overflowPunct/>
              <w:topLinePunct w:val="0"/>
              <w:autoSpaceDE w:val="0"/>
              <w:autoSpaceDN w:val="0"/>
              <w:bidi w:val="0"/>
              <w:adjustRightInd w:val="0"/>
              <w:snapToGrid/>
              <w:spacing w:before="260" w:after="260" w:line="240" w:lineRule="auto"/>
              <w:textAlignment w:val="auto"/>
              <w:rPr>
                <w:rFonts w:hint="default" w:ascii="Times New Roman" w:hAnsi="Times New Roman" w:cs="Times New Roman"/>
                <w:kern w:val="0"/>
                <w:sz w:val="24"/>
                <w:szCs w:val="24"/>
                <w:lang w:val="zh-CN"/>
              </w:rPr>
            </w:pPr>
          </w:p>
        </w:tc>
      </w:tr>
      <w:tr w14:paraId="1A935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1753" w:type="dxa"/>
            <w:vMerge w:val="continue"/>
            <w:shd w:val="clear" w:color="auto" w:fill="auto"/>
            <w:vAlign w:val="center"/>
          </w:tcPr>
          <w:p w14:paraId="2CAF6DA2">
            <w:pPr>
              <w:keepNext/>
              <w:keepLines/>
              <w:pageBreakBefore w:val="0"/>
              <w:widowControl w:val="0"/>
              <w:kinsoku/>
              <w:wordWrap/>
              <w:overflowPunct/>
              <w:topLinePunct w:val="0"/>
              <w:autoSpaceDE w:val="0"/>
              <w:autoSpaceDN w:val="0"/>
              <w:bidi w:val="0"/>
              <w:adjustRightInd w:val="0"/>
              <w:snapToGrid/>
              <w:spacing w:before="260" w:after="260" w:line="240" w:lineRule="auto"/>
              <w:textAlignment w:val="auto"/>
              <w:rPr>
                <w:rFonts w:hint="default" w:ascii="Times New Roman" w:hAnsi="Times New Roman" w:cs="Times New Roman"/>
                <w:kern w:val="0"/>
                <w:sz w:val="24"/>
                <w:szCs w:val="24"/>
                <w:lang w:val="zh-CN"/>
              </w:rPr>
            </w:pPr>
          </w:p>
        </w:tc>
        <w:tc>
          <w:tcPr>
            <w:tcW w:w="1225" w:type="dxa"/>
            <w:shd w:val="clear" w:color="auto" w:fill="auto"/>
            <w:vAlign w:val="center"/>
          </w:tcPr>
          <w:p w14:paraId="58B0685A">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通信地址</w:t>
            </w:r>
          </w:p>
        </w:tc>
        <w:tc>
          <w:tcPr>
            <w:tcW w:w="1984" w:type="dxa"/>
            <w:shd w:val="clear" w:color="auto" w:fill="auto"/>
            <w:vAlign w:val="center"/>
          </w:tcPr>
          <w:p w14:paraId="42B28995">
            <w:pPr>
              <w:keepNext/>
              <w:keepLines/>
              <w:pageBreakBefore w:val="0"/>
              <w:widowControl w:val="0"/>
              <w:kinsoku/>
              <w:wordWrap/>
              <w:overflowPunct/>
              <w:topLinePunct w:val="0"/>
              <w:autoSpaceDE w:val="0"/>
              <w:autoSpaceDN w:val="0"/>
              <w:bidi w:val="0"/>
              <w:adjustRightInd w:val="0"/>
              <w:snapToGrid/>
              <w:spacing w:before="260" w:after="260" w:line="240" w:lineRule="auto"/>
              <w:textAlignment w:val="auto"/>
              <w:rPr>
                <w:rFonts w:hint="default" w:ascii="Times New Roman" w:hAnsi="Times New Roman" w:cs="Times New Roman"/>
                <w:kern w:val="0"/>
                <w:sz w:val="24"/>
                <w:szCs w:val="24"/>
                <w:lang w:val="zh-CN"/>
              </w:rPr>
            </w:pPr>
          </w:p>
        </w:tc>
        <w:tc>
          <w:tcPr>
            <w:tcW w:w="1843" w:type="dxa"/>
            <w:shd w:val="clear" w:color="auto" w:fill="auto"/>
            <w:vAlign w:val="center"/>
          </w:tcPr>
          <w:p w14:paraId="2B096653">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邮政编码</w:t>
            </w:r>
          </w:p>
        </w:tc>
        <w:tc>
          <w:tcPr>
            <w:tcW w:w="2536" w:type="dxa"/>
            <w:shd w:val="clear" w:color="auto" w:fill="auto"/>
            <w:vAlign w:val="center"/>
          </w:tcPr>
          <w:p w14:paraId="2359600E">
            <w:pPr>
              <w:keepNext/>
              <w:keepLines/>
              <w:pageBreakBefore w:val="0"/>
              <w:widowControl w:val="0"/>
              <w:kinsoku/>
              <w:wordWrap/>
              <w:overflowPunct/>
              <w:topLinePunct w:val="0"/>
              <w:autoSpaceDE w:val="0"/>
              <w:autoSpaceDN w:val="0"/>
              <w:bidi w:val="0"/>
              <w:adjustRightInd w:val="0"/>
              <w:snapToGrid/>
              <w:spacing w:before="260" w:after="260" w:line="240" w:lineRule="auto"/>
              <w:textAlignment w:val="auto"/>
              <w:rPr>
                <w:rFonts w:hint="default" w:ascii="Times New Roman" w:hAnsi="Times New Roman" w:cs="Times New Roman"/>
                <w:kern w:val="0"/>
                <w:sz w:val="24"/>
                <w:szCs w:val="24"/>
                <w:lang w:val="zh-CN"/>
              </w:rPr>
            </w:pPr>
          </w:p>
        </w:tc>
      </w:tr>
      <w:tr w14:paraId="65FBE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trPr>
        <w:tc>
          <w:tcPr>
            <w:tcW w:w="9341" w:type="dxa"/>
            <w:gridSpan w:val="5"/>
            <w:shd w:val="clear" w:color="auto" w:fill="auto"/>
            <w:vAlign w:val="center"/>
          </w:tcPr>
          <w:p w14:paraId="282029F2">
            <w:pPr>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kern w:val="0"/>
                <w:sz w:val="24"/>
                <w:szCs w:val="24"/>
                <w:lang w:val="zh-CN"/>
              </w:rPr>
            </w:pPr>
            <w:r>
              <w:rPr>
                <w:rFonts w:hint="default" w:ascii="Times New Roman" w:hAnsi="Times New Roman" w:eastAsia="黑体" w:cs="Times New Roman"/>
                <w:kern w:val="0"/>
                <w:sz w:val="24"/>
                <w:szCs w:val="24"/>
                <w:lang w:val="zh-CN"/>
              </w:rPr>
              <w:t>二、子基金</w:t>
            </w:r>
          </w:p>
        </w:tc>
      </w:tr>
      <w:tr w14:paraId="1C459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1753" w:type="dxa"/>
            <w:shd w:val="clear" w:color="auto" w:fill="auto"/>
            <w:vAlign w:val="center"/>
          </w:tcPr>
          <w:p w14:paraId="352E4165">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名称</w:t>
            </w:r>
          </w:p>
        </w:tc>
        <w:tc>
          <w:tcPr>
            <w:tcW w:w="3209" w:type="dxa"/>
            <w:gridSpan w:val="2"/>
            <w:shd w:val="clear" w:color="auto" w:fill="auto"/>
            <w:vAlign w:val="center"/>
          </w:tcPr>
          <w:p w14:paraId="2787A16E">
            <w:pPr>
              <w:keepNext/>
              <w:keepLines/>
              <w:pageBreakBefore w:val="0"/>
              <w:widowControl w:val="0"/>
              <w:kinsoku/>
              <w:wordWrap/>
              <w:overflowPunct/>
              <w:topLinePunct w:val="0"/>
              <w:autoSpaceDE w:val="0"/>
              <w:autoSpaceDN w:val="0"/>
              <w:bidi w:val="0"/>
              <w:adjustRightInd w:val="0"/>
              <w:snapToGrid/>
              <w:spacing w:before="260" w:after="260" w:line="240" w:lineRule="auto"/>
              <w:ind w:firstLine="1680"/>
              <w:textAlignment w:val="auto"/>
              <w:rPr>
                <w:rFonts w:hint="default" w:ascii="Times New Roman" w:hAnsi="Times New Roman" w:cs="Times New Roman"/>
                <w:kern w:val="0"/>
                <w:sz w:val="24"/>
                <w:szCs w:val="24"/>
                <w:lang w:val="zh-CN"/>
              </w:rPr>
            </w:pPr>
          </w:p>
        </w:tc>
        <w:tc>
          <w:tcPr>
            <w:tcW w:w="1843" w:type="dxa"/>
            <w:shd w:val="clear" w:color="auto" w:fill="auto"/>
            <w:vAlign w:val="center"/>
          </w:tcPr>
          <w:p w14:paraId="06D4EA44">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组织形式</w:t>
            </w:r>
          </w:p>
        </w:tc>
        <w:tc>
          <w:tcPr>
            <w:tcW w:w="2536" w:type="dxa"/>
            <w:shd w:val="clear" w:color="auto" w:fill="auto"/>
            <w:vAlign w:val="center"/>
          </w:tcPr>
          <w:p w14:paraId="6FF5D289">
            <w:pPr>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lang w:val="zh-CN"/>
              </w:rPr>
              <w:sym w:font="Wingdings 2" w:char="00A3"/>
            </w:r>
            <w:r>
              <w:rPr>
                <w:rFonts w:hint="default" w:ascii="Times New Roman" w:hAnsi="Times New Roman" w:cs="Times New Roman"/>
                <w:kern w:val="0"/>
                <w:sz w:val="24"/>
                <w:szCs w:val="24"/>
                <w:lang w:val="zh-CN"/>
              </w:rPr>
              <w:t>公司制</w:t>
            </w:r>
          </w:p>
          <w:p w14:paraId="64735568">
            <w:pPr>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sym w:font="Wingdings 2" w:char="00A3"/>
            </w:r>
            <w:r>
              <w:rPr>
                <w:rFonts w:hint="default" w:ascii="Times New Roman" w:hAnsi="Times New Roman" w:cs="Times New Roman"/>
                <w:kern w:val="0"/>
                <w:sz w:val="24"/>
                <w:szCs w:val="24"/>
                <w:lang w:val="zh-CN"/>
              </w:rPr>
              <w:t>有限合伙制</w:t>
            </w:r>
          </w:p>
        </w:tc>
      </w:tr>
      <w:tr w14:paraId="633ED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2" w:hRule="atLeast"/>
        </w:trPr>
        <w:tc>
          <w:tcPr>
            <w:tcW w:w="1753" w:type="dxa"/>
            <w:shd w:val="clear" w:color="auto" w:fill="auto"/>
            <w:vAlign w:val="center"/>
          </w:tcPr>
          <w:p w14:paraId="6C0C4D02">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注册地址</w:t>
            </w:r>
          </w:p>
        </w:tc>
        <w:tc>
          <w:tcPr>
            <w:tcW w:w="3209" w:type="dxa"/>
            <w:gridSpan w:val="2"/>
            <w:shd w:val="clear" w:color="auto" w:fill="auto"/>
            <w:vAlign w:val="center"/>
          </w:tcPr>
          <w:p w14:paraId="51E54FAE">
            <w:pPr>
              <w:keepNext/>
              <w:keepLines/>
              <w:pageBreakBefore w:val="0"/>
              <w:widowControl w:val="0"/>
              <w:kinsoku/>
              <w:wordWrap/>
              <w:overflowPunct/>
              <w:topLinePunct w:val="0"/>
              <w:autoSpaceDE w:val="0"/>
              <w:autoSpaceDN w:val="0"/>
              <w:bidi w:val="0"/>
              <w:adjustRightInd w:val="0"/>
              <w:snapToGrid/>
              <w:spacing w:before="260" w:after="260" w:line="240" w:lineRule="auto"/>
              <w:ind w:firstLine="1680"/>
              <w:textAlignment w:val="auto"/>
              <w:rPr>
                <w:rFonts w:hint="default" w:ascii="Times New Roman" w:hAnsi="Times New Roman" w:cs="Times New Roman"/>
                <w:kern w:val="0"/>
                <w:sz w:val="24"/>
                <w:szCs w:val="24"/>
                <w:lang w:val="zh-CN"/>
              </w:rPr>
            </w:pPr>
          </w:p>
        </w:tc>
        <w:tc>
          <w:tcPr>
            <w:tcW w:w="1843" w:type="dxa"/>
            <w:shd w:val="clear" w:color="auto" w:fill="auto"/>
            <w:vAlign w:val="center"/>
          </w:tcPr>
          <w:p w14:paraId="1E0AB88A">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存续期限</w:t>
            </w:r>
          </w:p>
        </w:tc>
        <w:tc>
          <w:tcPr>
            <w:tcW w:w="2536" w:type="dxa"/>
            <w:shd w:val="clear" w:color="auto" w:fill="auto"/>
            <w:vAlign w:val="center"/>
          </w:tcPr>
          <w:p w14:paraId="2963B0DB">
            <w:pPr>
              <w:keepNext/>
              <w:keepLines/>
              <w:pageBreakBefore w:val="0"/>
              <w:widowControl w:val="0"/>
              <w:kinsoku/>
              <w:wordWrap/>
              <w:overflowPunct/>
              <w:topLinePunct w:val="0"/>
              <w:autoSpaceDE w:val="0"/>
              <w:autoSpaceDN w:val="0"/>
              <w:bidi w:val="0"/>
              <w:adjustRightInd w:val="0"/>
              <w:snapToGrid/>
              <w:spacing w:before="260" w:after="260" w:line="240" w:lineRule="auto"/>
              <w:ind w:firstLine="1680"/>
              <w:textAlignment w:val="auto"/>
              <w:rPr>
                <w:rFonts w:hint="default" w:ascii="Times New Roman" w:hAnsi="Times New Roman" w:cs="Times New Roman"/>
                <w:kern w:val="0"/>
                <w:sz w:val="24"/>
                <w:szCs w:val="24"/>
                <w:lang w:val="zh-CN"/>
              </w:rPr>
            </w:pPr>
          </w:p>
        </w:tc>
      </w:tr>
      <w:tr w14:paraId="01E08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753" w:type="dxa"/>
            <w:shd w:val="clear" w:color="auto" w:fill="auto"/>
            <w:vAlign w:val="center"/>
          </w:tcPr>
          <w:p w14:paraId="0B0391D9">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lang w:val="zh-CN"/>
              </w:rPr>
              <w:t>投资领域（</w:t>
            </w:r>
            <w:r>
              <w:rPr>
                <w:rFonts w:hint="default" w:ascii="Times New Roman" w:hAnsi="Times New Roman" w:cs="Times New Roman"/>
                <w:kern w:val="0"/>
                <w:sz w:val="24"/>
                <w:szCs w:val="24"/>
              </w:rPr>
              <w:t>子基金在</w:t>
            </w:r>
            <w:r>
              <w:rPr>
                <w:rFonts w:hint="eastAsia" w:ascii="Times New Roman" w:hAnsi="Times New Roman" w:cs="Times New Roman"/>
                <w:kern w:val="0"/>
                <w:sz w:val="24"/>
                <w:szCs w:val="24"/>
                <w:lang w:eastAsia="zh"/>
                <w:woUserID w:val="2"/>
              </w:rPr>
              <w:t>湘西州</w:t>
            </w:r>
            <w:r>
              <w:rPr>
                <w:rFonts w:hint="default" w:ascii="Times New Roman" w:hAnsi="Times New Roman" w:cs="Times New Roman"/>
                <w:kern w:val="0"/>
                <w:sz w:val="24"/>
                <w:szCs w:val="24"/>
              </w:rPr>
              <w:t>产业</w:t>
            </w:r>
            <w:r>
              <w:rPr>
                <w:rFonts w:hint="default" w:ascii="Times New Roman" w:hAnsi="Times New Roman" w:cs="Times New Roman"/>
                <w:kern w:val="0"/>
                <w:sz w:val="24"/>
                <w:szCs w:val="24"/>
                <w:lang w:val="en-US" w:eastAsia="zh-CN"/>
              </w:rPr>
              <w:t>领域</w:t>
            </w:r>
            <w:r>
              <w:rPr>
                <w:rFonts w:hint="default" w:ascii="Times New Roman" w:hAnsi="Times New Roman" w:cs="Times New Roman"/>
                <w:kern w:val="0"/>
                <w:sz w:val="24"/>
                <w:szCs w:val="24"/>
                <w:lang w:val="zh-CN"/>
              </w:rPr>
              <w:t>）</w:t>
            </w:r>
          </w:p>
        </w:tc>
        <w:tc>
          <w:tcPr>
            <w:tcW w:w="7588" w:type="dxa"/>
            <w:gridSpan w:val="4"/>
            <w:shd w:val="clear" w:color="auto" w:fill="auto"/>
            <w:vAlign w:val="center"/>
          </w:tcPr>
          <w:p w14:paraId="6E80088E">
            <w:pPr>
              <w:keepNext/>
              <w:keepLines/>
              <w:pageBreakBefore w:val="0"/>
              <w:widowControl w:val="0"/>
              <w:kinsoku/>
              <w:wordWrap/>
              <w:overflowPunct/>
              <w:topLinePunct w:val="0"/>
              <w:autoSpaceDE w:val="0"/>
              <w:autoSpaceDN w:val="0"/>
              <w:bidi w:val="0"/>
              <w:adjustRightInd w:val="0"/>
              <w:snapToGrid/>
              <w:spacing w:before="260" w:after="260" w:line="240" w:lineRule="auto"/>
              <w:textAlignment w:val="auto"/>
              <w:rPr>
                <w:rFonts w:hint="default" w:ascii="Times New Roman" w:hAnsi="Times New Roman" w:cs="Times New Roman"/>
                <w:kern w:val="0"/>
                <w:sz w:val="24"/>
                <w:szCs w:val="24"/>
                <w:lang w:val="zh-CN"/>
              </w:rPr>
            </w:pPr>
          </w:p>
        </w:tc>
      </w:tr>
      <w:tr w14:paraId="4C004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1753" w:type="dxa"/>
            <w:shd w:val="clear" w:color="auto" w:fill="auto"/>
            <w:vAlign w:val="center"/>
          </w:tcPr>
          <w:p w14:paraId="68EEC3A8">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子基金规模</w:t>
            </w:r>
          </w:p>
        </w:tc>
        <w:tc>
          <w:tcPr>
            <w:tcW w:w="7588" w:type="dxa"/>
            <w:gridSpan w:val="4"/>
            <w:shd w:val="clear" w:color="auto" w:fill="auto"/>
            <w:vAlign w:val="center"/>
          </w:tcPr>
          <w:p w14:paraId="25821EDB">
            <w:pPr>
              <w:pageBreakBefore w:val="0"/>
              <w:widowControl w:val="0"/>
              <w:kinsoku/>
              <w:wordWrap/>
              <w:overflowPunct/>
              <w:topLinePunct w:val="0"/>
              <w:autoSpaceDE w:val="0"/>
              <w:autoSpaceDN w:val="0"/>
              <w:bidi w:val="0"/>
              <w:adjustRightInd w:val="0"/>
              <w:snapToGrid/>
              <w:spacing w:line="240" w:lineRule="auto"/>
              <w:ind w:firstLine="2640" w:firstLineChars="1100"/>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万元</w:t>
            </w:r>
          </w:p>
        </w:tc>
      </w:tr>
      <w:tr w14:paraId="55D89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3" w:hRule="atLeast"/>
        </w:trPr>
        <w:tc>
          <w:tcPr>
            <w:tcW w:w="1753" w:type="dxa"/>
            <w:shd w:val="clear" w:color="auto" w:fill="auto"/>
            <w:vAlign w:val="center"/>
          </w:tcPr>
          <w:p w14:paraId="5DF3671F">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已募集资金</w:t>
            </w:r>
          </w:p>
        </w:tc>
        <w:tc>
          <w:tcPr>
            <w:tcW w:w="3209" w:type="dxa"/>
            <w:gridSpan w:val="2"/>
            <w:shd w:val="clear" w:color="auto" w:fill="auto"/>
            <w:vAlign w:val="center"/>
          </w:tcPr>
          <w:p w14:paraId="03B2ADBF">
            <w:pPr>
              <w:pageBreakBefore w:val="0"/>
              <w:widowControl w:val="0"/>
              <w:kinsoku/>
              <w:wordWrap/>
              <w:overflowPunct/>
              <w:topLinePunct w:val="0"/>
              <w:autoSpaceDE w:val="0"/>
              <w:autoSpaceDN w:val="0"/>
              <w:bidi w:val="0"/>
              <w:adjustRightInd w:val="0"/>
              <w:snapToGrid/>
              <w:spacing w:line="240" w:lineRule="auto"/>
              <w:ind w:firstLine="2040" w:firstLineChars="850"/>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万元</w:t>
            </w:r>
          </w:p>
        </w:tc>
        <w:tc>
          <w:tcPr>
            <w:tcW w:w="1843" w:type="dxa"/>
            <w:shd w:val="clear" w:color="auto" w:fill="auto"/>
            <w:vAlign w:val="center"/>
          </w:tcPr>
          <w:p w14:paraId="4D588960">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子基金管理</w:t>
            </w:r>
          </w:p>
          <w:p w14:paraId="3D4191CC">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机构或其关联方承诺出资及占比</w:t>
            </w:r>
          </w:p>
        </w:tc>
        <w:tc>
          <w:tcPr>
            <w:tcW w:w="2536" w:type="dxa"/>
            <w:shd w:val="clear" w:color="auto" w:fill="auto"/>
            <w:vAlign w:val="center"/>
          </w:tcPr>
          <w:p w14:paraId="03F8AB2F">
            <w:pPr>
              <w:pageBreakBefore w:val="0"/>
              <w:widowControl w:val="0"/>
              <w:kinsoku/>
              <w:wordWrap/>
              <w:overflowPunct/>
              <w:topLinePunct w:val="0"/>
              <w:autoSpaceDE w:val="0"/>
              <w:autoSpaceDN w:val="0"/>
              <w:bidi w:val="0"/>
              <w:adjustRightInd w:val="0"/>
              <w:snapToGrid/>
              <w:spacing w:line="240" w:lineRule="auto"/>
              <w:ind w:firstLine="1320" w:firstLineChars="550"/>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万元</w:t>
            </w:r>
          </w:p>
          <w:p w14:paraId="05286D10">
            <w:pPr>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 xml:space="preserve">占比：   </w:t>
            </w:r>
            <w:r>
              <w:rPr>
                <w:rFonts w:hint="default" w:ascii="Times New Roman" w:hAnsi="Times New Roman" w:cs="Times New Roman"/>
                <w:kern w:val="0"/>
                <w:sz w:val="24"/>
                <w:szCs w:val="24"/>
              </w:rPr>
              <w:t xml:space="preserve">  </w:t>
            </w:r>
            <w:r>
              <w:rPr>
                <w:rFonts w:hint="default" w:ascii="Times New Roman" w:hAnsi="Times New Roman" w:cs="Times New Roman"/>
                <w:kern w:val="0"/>
                <w:sz w:val="24"/>
                <w:szCs w:val="24"/>
                <w:lang w:val="zh-CN"/>
              </w:rPr>
              <w:t>%</w:t>
            </w:r>
          </w:p>
        </w:tc>
      </w:tr>
      <w:tr w14:paraId="101E9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8" w:hRule="atLeast"/>
        </w:trPr>
        <w:tc>
          <w:tcPr>
            <w:tcW w:w="1753" w:type="dxa"/>
            <w:shd w:val="clear" w:color="auto" w:fill="auto"/>
            <w:vAlign w:val="center"/>
          </w:tcPr>
          <w:p w14:paraId="584C1CA0">
            <w:pPr>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zh-CN"/>
              </w:rPr>
              <w:t>申请</w:t>
            </w:r>
            <w:r>
              <w:rPr>
                <w:rFonts w:hint="eastAsia" w:ascii="Times New Roman" w:hAnsi="Times New Roman" w:cs="Times New Roman"/>
                <w:kern w:val="0"/>
                <w:sz w:val="24"/>
                <w:szCs w:val="24"/>
                <w:lang w:val="zh-CN" w:eastAsia="zh"/>
                <w:woUserID w:val="2"/>
              </w:rPr>
              <w:t>湘西金芙蓉</w:t>
            </w:r>
          </w:p>
          <w:p w14:paraId="50673362">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母基金金额</w:t>
            </w:r>
          </w:p>
        </w:tc>
        <w:tc>
          <w:tcPr>
            <w:tcW w:w="3209" w:type="dxa"/>
            <w:gridSpan w:val="2"/>
            <w:shd w:val="clear" w:color="auto" w:fill="auto"/>
            <w:vAlign w:val="center"/>
          </w:tcPr>
          <w:p w14:paraId="0E02F2A5">
            <w:pPr>
              <w:pageBreakBefore w:val="0"/>
              <w:widowControl w:val="0"/>
              <w:kinsoku/>
              <w:wordWrap/>
              <w:overflowPunct/>
              <w:topLinePunct w:val="0"/>
              <w:autoSpaceDE w:val="0"/>
              <w:autoSpaceDN w:val="0"/>
              <w:bidi w:val="0"/>
              <w:adjustRightInd w:val="0"/>
              <w:snapToGrid/>
              <w:spacing w:line="240" w:lineRule="auto"/>
              <w:ind w:firstLine="2040" w:firstLineChars="850"/>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万元</w:t>
            </w:r>
          </w:p>
        </w:tc>
        <w:tc>
          <w:tcPr>
            <w:tcW w:w="1843" w:type="dxa"/>
            <w:shd w:val="clear" w:color="auto" w:fill="auto"/>
            <w:vAlign w:val="center"/>
          </w:tcPr>
          <w:p w14:paraId="723BB470">
            <w:pPr>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kern w:val="0"/>
                <w:sz w:val="24"/>
                <w:szCs w:val="24"/>
                <w:lang w:val="zh-CN"/>
              </w:rPr>
            </w:pPr>
            <w:r>
              <w:rPr>
                <w:rFonts w:hint="eastAsia" w:ascii="Times New Roman" w:hAnsi="Times New Roman" w:cs="Times New Roman"/>
                <w:kern w:val="0"/>
                <w:sz w:val="24"/>
                <w:szCs w:val="24"/>
                <w:lang w:val="en-US" w:eastAsia="zh"/>
                <w:woUserID w:val="2"/>
              </w:rPr>
              <w:t>湘西金芙蓉</w:t>
            </w:r>
            <w:r>
              <w:rPr>
                <w:rFonts w:hint="default" w:ascii="Times New Roman" w:hAnsi="Times New Roman" w:cs="Times New Roman"/>
                <w:kern w:val="0"/>
                <w:sz w:val="24"/>
                <w:szCs w:val="24"/>
                <w:lang w:val="zh-CN"/>
              </w:rPr>
              <w:t>母基金出资比例</w:t>
            </w:r>
          </w:p>
        </w:tc>
        <w:tc>
          <w:tcPr>
            <w:tcW w:w="2536" w:type="dxa"/>
            <w:shd w:val="clear" w:color="auto" w:fill="auto"/>
            <w:vAlign w:val="center"/>
          </w:tcPr>
          <w:p w14:paraId="0E670FCF">
            <w:pPr>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kern w:val="0"/>
                <w:sz w:val="24"/>
                <w:szCs w:val="24"/>
              </w:rPr>
              <w:t xml:space="preserve">  %</w:t>
            </w:r>
          </w:p>
        </w:tc>
      </w:tr>
    </w:tbl>
    <w:p w14:paraId="705BC20F">
      <w:pPr>
        <w:spacing w:line="560" w:lineRule="exact"/>
        <w:jc w:val="right"/>
        <w:rPr>
          <w:rFonts w:hint="default" w:ascii="Times New Roman" w:hAnsi="Times New Roman" w:eastAsia="黑体" w:cs="Times New Roman"/>
          <w:sz w:val="24"/>
        </w:rPr>
      </w:pPr>
      <w:r>
        <w:rPr>
          <w:rFonts w:hint="default" w:ascii="Times New Roman" w:hAnsi="Times New Roman" w:eastAsia="黑体" w:cs="Times New Roman"/>
          <w:sz w:val="24"/>
        </w:rPr>
        <w:t>（</w:t>
      </w:r>
      <w:r>
        <w:rPr>
          <w:rFonts w:hint="default" w:ascii="Times New Roman" w:hAnsi="Times New Roman" w:cs="Times New Roman"/>
          <w:sz w:val="24"/>
        </w:rPr>
        <w:t>公章</w:t>
      </w:r>
      <w:r>
        <w:rPr>
          <w:rFonts w:hint="default" w:ascii="Times New Roman" w:hAnsi="Times New Roman" w:eastAsia="黑体" w:cs="Times New Roman"/>
          <w:sz w:val="24"/>
        </w:rPr>
        <w:t>）</w:t>
      </w:r>
    </w:p>
    <w:p w14:paraId="79CB7762">
      <w:pPr>
        <w:rPr>
          <w:rFonts w:hint="default" w:ascii="Times New Roman" w:hAnsi="Times New Roman" w:cs="Times New Roman"/>
        </w:rPr>
      </w:pPr>
      <w:r>
        <w:rPr>
          <w:rFonts w:hint="default" w:ascii="Times New Roman" w:hAnsi="Times New Roman" w:cs="Times New Roman"/>
        </w:rPr>
        <w:br w:type="page"/>
      </w:r>
    </w:p>
    <w:p w14:paraId="3D7548B8">
      <w:pPr>
        <w:spacing w:line="600" w:lineRule="exac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附件2</w:t>
      </w:r>
      <w:bookmarkStart w:id="0" w:name="OLE_LINK2"/>
      <w:bookmarkStart w:id="1" w:name="OLE_LINK1"/>
    </w:p>
    <w:p w14:paraId="49B584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申请机构须提供包括但不限于以下相关材料：</w:t>
      </w:r>
      <w:bookmarkEnd w:id="0"/>
      <w:bookmarkEnd w:id="1"/>
    </w:p>
    <w:p w14:paraId="590D6568">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子基金申请表（附件一）；</w:t>
      </w:r>
    </w:p>
    <w:p w14:paraId="6CBACF34">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子基金管理机构（管理团队）管理经验和管理业绩的证明材料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需证明子基金管理机构或核心管理成员（1）</w:t>
      </w:r>
      <w:r>
        <w:rPr>
          <w:rFonts w:hint="default" w:ascii="Times New Roman" w:hAnsi="Times New Roman" w:eastAsia="仿宋_GB2312" w:cs="Times New Roman"/>
          <w:sz w:val="32"/>
          <w:szCs w:val="32"/>
          <w:lang w:eastAsia="zh-CN"/>
        </w:rPr>
        <w:t>过去</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年累计投资金额不低于</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亿元；（</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在其所申报的产业链领域中主导的成功投资并退出案例不少于</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个，</w:t>
      </w:r>
      <w:r>
        <w:rPr>
          <w:rFonts w:hint="default" w:ascii="Times New Roman" w:hAnsi="Times New Roman" w:eastAsia="仿宋_GB2312" w:cs="Times New Roman"/>
          <w:sz w:val="32"/>
          <w:szCs w:val="32"/>
          <w:lang w:val="en-US" w:eastAsia="zh-CN"/>
        </w:rPr>
        <w:t>或管理2</w:t>
      </w:r>
      <w:r>
        <w:rPr>
          <w:rFonts w:hint="eastAsia" w:ascii="Times New Roman" w:hAnsi="Times New Roman" w:eastAsia="仿宋_GB2312" w:cs="Times New Roman"/>
          <w:sz w:val="32"/>
          <w:szCs w:val="32"/>
          <w:lang w:val="en-US" w:eastAsia="zh-CN"/>
        </w:rPr>
        <w:t>支</w:t>
      </w:r>
      <w:r>
        <w:rPr>
          <w:rFonts w:hint="default" w:ascii="Times New Roman" w:hAnsi="Times New Roman" w:eastAsia="仿宋_GB2312" w:cs="Times New Roman"/>
          <w:sz w:val="32"/>
          <w:szCs w:val="32"/>
          <w:lang w:val="en-US" w:eastAsia="zh-CN"/>
        </w:rPr>
        <w:t>以上的基金</w:t>
      </w:r>
      <w:r>
        <w:rPr>
          <w:rFonts w:hint="default" w:ascii="Times New Roman" w:hAnsi="Times New Roman" w:eastAsia="仿宋_GB2312" w:cs="Times New Roman"/>
          <w:sz w:val="32"/>
          <w:szCs w:val="32"/>
          <w:lang w:eastAsia="zh-CN"/>
        </w:rPr>
        <w:t>年化综合收益率</w:t>
      </w:r>
      <w:r>
        <w:rPr>
          <w:rFonts w:hint="default" w:ascii="Times New Roman" w:hAnsi="Times New Roman" w:eastAsia="仿宋_GB2312" w:cs="Times New Roman"/>
          <w:sz w:val="32"/>
          <w:szCs w:val="32"/>
          <w:lang w:val="en-US" w:eastAsia="zh-CN"/>
        </w:rPr>
        <w:t>均</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0%以上；（</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累计管理的股权投资基金实缴规模不低于</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亿元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）高管人员已取得良好的管理业绩，有3个以上基金投资成功案例。</w:t>
      </w:r>
    </w:p>
    <w:p w14:paraId="59815753">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申请机构</w:t>
      </w:r>
      <w:r>
        <w:rPr>
          <w:rFonts w:hint="default" w:ascii="Times New Roman" w:hAnsi="Times New Roman" w:eastAsia="仿宋_GB2312" w:cs="Times New Roman"/>
          <w:sz w:val="32"/>
          <w:szCs w:val="32"/>
        </w:rPr>
        <w:t>营业执照</w:t>
      </w:r>
      <w:r>
        <w:rPr>
          <w:rFonts w:hint="default" w:ascii="Times New Roman" w:hAnsi="Times New Roman" w:eastAsia="仿宋_GB2312" w:cs="Times New Roman"/>
          <w:sz w:val="32"/>
          <w:szCs w:val="32"/>
          <w:lang w:val="en-US" w:eastAsia="zh-CN"/>
        </w:rPr>
        <w:t>复印件</w:t>
      </w:r>
      <w:r>
        <w:rPr>
          <w:rFonts w:hint="default" w:ascii="Times New Roman" w:hAnsi="Times New Roman" w:eastAsia="仿宋_GB2312" w:cs="Times New Roman"/>
          <w:sz w:val="32"/>
          <w:szCs w:val="32"/>
          <w:lang w:eastAsia="zh-CN"/>
        </w:rPr>
        <w:t>；</w:t>
      </w:r>
    </w:p>
    <w:p w14:paraId="777D9775">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申请机构法定代表人身份证明及其有效身份证（授权代表参加申报的，需提供法定代表人授权委托书及授权代表有效身份证）；</w:t>
      </w:r>
    </w:p>
    <w:p w14:paraId="114D774E">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申请机构具备中国证券投资基金业协会私募基金管理人资格的证明，可提供中国证券投资基金业协会备案截图或出具在母基金首期实际出资前完成基金管理人登记的承诺函；</w:t>
      </w:r>
    </w:p>
    <w:p w14:paraId="1D206E60">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申请机构及其董事、监事、高级管理人员及其他从业人员在最近三年无重大违纪违法行为且未受到相关监管部门行政处罚，可提供证明材料及承诺函；</w:t>
      </w:r>
    </w:p>
    <w:p w14:paraId="48C627E5">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申请机构设置固定办公场所证明，提供租赁合同或产权证明复印件；</w:t>
      </w:r>
    </w:p>
    <w:p w14:paraId="28E472A9">
      <w:pPr>
        <w:pStyle w:val="13"/>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 申请机构实收资本不低于1000万元人民币的证明；</w:t>
      </w:r>
    </w:p>
    <w:p w14:paraId="3DFFAE93">
      <w:pPr>
        <w:pStyle w:val="13"/>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 申请机构投资管理、风险控制、财务管理、项目遴选和投资决策机制等相关制度文件；</w:t>
      </w:r>
    </w:p>
    <w:p w14:paraId="261DD882">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10. </w:t>
      </w:r>
      <w:r>
        <w:rPr>
          <w:rFonts w:hint="default" w:ascii="Times New Roman" w:hAnsi="Times New Roman" w:eastAsia="仿宋_GB2312" w:cs="Times New Roman"/>
          <w:sz w:val="32"/>
          <w:szCs w:val="32"/>
        </w:rPr>
        <w:t>子基金设立或增资方案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参考附件四）</w:t>
      </w:r>
      <w:r>
        <w:rPr>
          <w:rFonts w:hint="default" w:ascii="Times New Roman" w:hAnsi="Times New Roman" w:eastAsia="仿宋_GB2312" w:cs="Times New Roman"/>
          <w:sz w:val="32"/>
          <w:szCs w:val="32"/>
        </w:rPr>
        <w:t>；</w:t>
      </w:r>
    </w:p>
    <w:p w14:paraId="5305EBF7">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11. </w:t>
      </w:r>
      <w:r>
        <w:rPr>
          <w:rFonts w:hint="default" w:ascii="Times New Roman" w:hAnsi="Times New Roman" w:eastAsia="仿宋_GB2312" w:cs="Times New Roman"/>
          <w:sz w:val="32"/>
          <w:szCs w:val="32"/>
        </w:rPr>
        <w:t>子基金主要出资人的出资意向函或出资证明；</w:t>
      </w:r>
    </w:p>
    <w:p w14:paraId="00F849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 子基金</w:t>
      </w:r>
      <w:r>
        <w:rPr>
          <w:rFonts w:hint="default" w:ascii="Times New Roman" w:hAnsi="Times New Roman" w:eastAsia="仿宋_GB2312" w:cs="Times New Roman"/>
          <w:sz w:val="32"/>
          <w:szCs w:val="32"/>
        </w:rPr>
        <w:t>登记备案证明（如有）；</w:t>
      </w:r>
    </w:p>
    <w:p w14:paraId="445BB5B6">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13. 子基金</w:t>
      </w:r>
      <w:r>
        <w:rPr>
          <w:rFonts w:hint="default" w:ascii="Times New Roman" w:hAnsi="Times New Roman" w:eastAsia="仿宋_GB2312" w:cs="Times New Roman"/>
          <w:sz w:val="32"/>
          <w:szCs w:val="32"/>
        </w:rPr>
        <w:t>合伙协议（如有）</w:t>
      </w:r>
      <w:r>
        <w:rPr>
          <w:rFonts w:hint="default" w:ascii="Times New Roman" w:hAnsi="Times New Roman" w:eastAsia="仿宋_GB2312" w:cs="Times New Roman"/>
          <w:sz w:val="32"/>
          <w:szCs w:val="32"/>
          <w:lang w:eastAsia="zh-CN"/>
        </w:rPr>
        <w:t>；</w:t>
      </w:r>
    </w:p>
    <w:p w14:paraId="77033189">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 母</w:t>
      </w:r>
      <w:r>
        <w:rPr>
          <w:rFonts w:hint="default" w:ascii="Times New Roman" w:hAnsi="Times New Roman" w:eastAsia="仿宋_GB2312" w:cs="Times New Roman"/>
          <w:sz w:val="32"/>
          <w:szCs w:val="32"/>
        </w:rPr>
        <w:t>基金管理人认为应当提交的其他材料。</w:t>
      </w:r>
    </w:p>
    <w:p w14:paraId="7DE54956">
      <w:pPr>
        <w:spacing w:line="560" w:lineRule="exact"/>
        <w:outlineLvl w:val="0"/>
        <w:rPr>
          <w:rFonts w:hint="default" w:ascii="Times New Roman" w:hAnsi="Times New Roman" w:eastAsia="仿宋_GB2312" w:cs="Times New Roman"/>
          <w:sz w:val="32"/>
          <w:szCs w:val="32"/>
        </w:rPr>
      </w:pPr>
    </w:p>
    <w:p w14:paraId="2CF2CBF3">
      <w:pPr>
        <w:spacing w:after="120"/>
        <w:rPr>
          <w:rFonts w:hint="default" w:ascii="Times New Roman" w:hAnsi="Times New Roman" w:eastAsia="仿宋_GB2312" w:cs="Times New Roman"/>
          <w:szCs w:val="24"/>
        </w:rPr>
      </w:pPr>
    </w:p>
    <w:p w14:paraId="555A146D">
      <w:pPr>
        <w:spacing w:after="120"/>
        <w:rPr>
          <w:rFonts w:hint="default" w:ascii="Times New Roman" w:hAnsi="Times New Roman" w:eastAsia="仿宋_GB2312" w:cs="Times New Roman"/>
          <w:szCs w:val="24"/>
        </w:rPr>
      </w:pPr>
    </w:p>
    <w:p w14:paraId="16C2BEEE">
      <w:pPr>
        <w:rPr>
          <w:rFonts w:hint="default" w:ascii="Times New Roman" w:hAnsi="Times New Roman" w:eastAsia="仿宋_GB2312" w:cs="Times New Roman"/>
          <w:b/>
          <w:sz w:val="32"/>
          <w:szCs w:val="32"/>
        </w:rPr>
      </w:pPr>
    </w:p>
    <w:p w14:paraId="1E9D0D91">
      <w:pPr>
        <w:pStyle w:val="5"/>
        <w:rPr>
          <w:rFonts w:hint="default" w:ascii="Times New Roman" w:hAnsi="Times New Roman" w:cs="Times New Roman"/>
        </w:rPr>
      </w:pPr>
    </w:p>
    <w:p w14:paraId="2113BEA8">
      <w:pPr>
        <w:widowControl/>
        <w:spacing w:line="600" w:lineRule="exact"/>
        <w:jc w:val="left"/>
        <w:rPr>
          <w:rFonts w:hint="default" w:ascii="Times New Roman" w:hAnsi="Times New Roman" w:eastAsia="仿宋_GB2312" w:cs="Times New Roman"/>
          <w:sz w:val="32"/>
          <w:szCs w:val="32"/>
        </w:rPr>
        <w:sectPr>
          <w:footerReference r:id="rId3" w:type="default"/>
          <w:footerReference r:id="rId4" w:type="even"/>
          <w:pgSz w:w="11906" w:h="16838"/>
          <w:pgMar w:top="2154" w:right="1474" w:bottom="1984" w:left="1588" w:header="851" w:footer="992" w:gutter="0"/>
          <w:pgNumType w:fmt="decimal"/>
          <w:cols w:space="425" w:num="1"/>
          <w:docGrid w:linePitch="312" w:charSpace="0"/>
        </w:sectPr>
      </w:pPr>
    </w:p>
    <w:p w14:paraId="771CA7C4">
      <w:pPr>
        <w:rPr>
          <w:rFonts w:hint="eastAsia"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rPr>
        <w:t>附件</w:t>
      </w:r>
      <w:r>
        <w:rPr>
          <w:rFonts w:hint="eastAsia" w:ascii="Times New Roman" w:hAnsi="Times New Roman" w:eastAsia="仿宋_GB2312" w:cs="Times New Roman"/>
          <w:b/>
          <w:sz w:val="32"/>
          <w:szCs w:val="32"/>
          <w:lang w:val="en-US" w:eastAsia="zh-CN"/>
        </w:rPr>
        <w:t>3</w:t>
      </w:r>
    </w:p>
    <w:p w14:paraId="5535F84E">
      <w:pPr>
        <w:spacing w:line="560" w:lineRule="exact"/>
        <w:outlineLvl w:val="0"/>
        <w:rPr>
          <w:rFonts w:hint="default" w:ascii="Times New Roman" w:hAnsi="Times New Roman" w:eastAsia="仿宋_GB2312" w:cs="Times New Roman"/>
          <w:sz w:val="32"/>
          <w:szCs w:val="32"/>
        </w:rPr>
      </w:pPr>
    </w:p>
    <w:p w14:paraId="5575BAC3">
      <w:pPr>
        <w:pStyle w:val="5"/>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子基金申报材料（模板）</w:t>
      </w:r>
    </w:p>
    <w:p w14:paraId="70720CC2">
      <w:pPr>
        <w:spacing w:line="600" w:lineRule="exact"/>
        <w:rPr>
          <w:rFonts w:ascii="微软雅黑" w:hAnsi="微软雅黑" w:eastAsia="微软雅黑" w:cs="仿宋_GB2312"/>
          <w:sz w:val="32"/>
          <w:szCs w:val="32"/>
        </w:rPr>
      </w:pPr>
    </w:p>
    <w:p w14:paraId="099AC042">
      <w:pPr>
        <w:spacing w:line="600" w:lineRule="exact"/>
        <w:rPr>
          <w:rFonts w:hint="eastAsia" w:ascii="微软雅黑" w:hAnsi="微软雅黑" w:eastAsia="微软雅黑" w:cs="仿宋_GB2312"/>
          <w:sz w:val="32"/>
          <w:szCs w:val="32"/>
          <w:lang w:bidi="ar"/>
        </w:rPr>
      </w:pPr>
      <w:r>
        <w:rPr>
          <w:rFonts w:hint="eastAsia" w:ascii="微软雅黑" w:hAnsi="微软雅黑" w:eastAsia="微软雅黑" w:cs="仿宋_GB2312"/>
          <w:sz w:val="32"/>
          <w:szCs w:val="32"/>
          <w:lang w:bidi="ar"/>
        </w:rPr>
        <w:t xml:space="preserve"> </w:t>
      </w:r>
    </w:p>
    <w:p w14:paraId="3E6EAE00">
      <w:pPr>
        <w:pStyle w:val="13"/>
        <w:rPr>
          <w:rFonts w:hint="eastAsia" w:ascii="微软雅黑" w:hAnsi="微软雅黑" w:eastAsia="微软雅黑" w:cs="仿宋_GB2312"/>
          <w:sz w:val="32"/>
          <w:szCs w:val="32"/>
          <w:lang w:bidi="ar"/>
        </w:rPr>
      </w:pPr>
    </w:p>
    <w:p w14:paraId="2FDFC915">
      <w:pPr>
        <w:pStyle w:val="13"/>
        <w:rPr>
          <w:rFonts w:hint="eastAsia" w:ascii="微软雅黑" w:hAnsi="微软雅黑" w:eastAsia="微软雅黑" w:cs="仿宋_GB2312"/>
          <w:sz w:val="32"/>
          <w:szCs w:val="32"/>
          <w:lang w:bidi="ar"/>
        </w:rPr>
      </w:pPr>
    </w:p>
    <w:p w14:paraId="4198B379">
      <w:pPr>
        <w:pStyle w:val="13"/>
        <w:rPr>
          <w:rFonts w:hint="eastAsia" w:ascii="微软雅黑" w:hAnsi="微软雅黑" w:eastAsia="微软雅黑" w:cs="仿宋_GB2312"/>
          <w:sz w:val="32"/>
          <w:szCs w:val="32"/>
          <w:lang w:bidi="ar"/>
        </w:rPr>
      </w:pPr>
    </w:p>
    <w:tbl>
      <w:tblPr>
        <w:tblStyle w:val="14"/>
        <w:tblpPr w:leftFromText="180" w:rightFromText="180" w:vertAnchor="text" w:horzAnchor="page" w:tblpX="1580" w:tblpY="5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5519"/>
      </w:tblGrid>
      <w:tr w14:paraId="7929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977" w:type="dxa"/>
            <w:tcBorders>
              <w:top w:val="nil"/>
              <w:left w:val="nil"/>
              <w:bottom w:val="nil"/>
              <w:right w:val="nil"/>
              <w:tl2br w:val="nil"/>
              <w:tr2bl w:val="nil"/>
            </w:tcBorders>
            <w:vAlign w:val="center"/>
          </w:tcPr>
          <w:p w14:paraId="13D7D061">
            <w:pPr>
              <w:autoSpaceDE w:val="0"/>
              <w:snapToGrid w:val="0"/>
              <w:jc w:val="distribut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基金申报名称：</w:t>
            </w:r>
          </w:p>
        </w:tc>
        <w:tc>
          <w:tcPr>
            <w:tcW w:w="5519" w:type="dxa"/>
            <w:tcBorders>
              <w:top w:val="nil"/>
              <w:left w:val="nil"/>
              <w:bottom w:val="single" w:color="auto" w:sz="4" w:space="0"/>
              <w:right w:val="nil"/>
              <w:tl2br w:val="nil"/>
              <w:tr2bl w:val="nil"/>
            </w:tcBorders>
            <w:vAlign w:val="center"/>
          </w:tcPr>
          <w:p w14:paraId="6BA7405F">
            <w:pPr>
              <w:autoSpaceDE w:val="0"/>
              <w:snapToGrid w:val="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（请填写拟设立子基金名称）</w:t>
            </w:r>
          </w:p>
        </w:tc>
      </w:tr>
      <w:tr w14:paraId="721A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977" w:type="dxa"/>
            <w:tcBorders>
              <w:top w:val="nil"/>
              <w:left w:val="nil"/>
              <w:bottom w:val="nil"/>
              <w:right w:val="nil"/>
              <w:tl2br w:val="nil"/>
              <w:tr2bl w:val="nil"/>
            </w:tcBorders>
            <w:vAlign w:val="center"/>
          </w:tcPr>
          <w:p w14:paraId="6D392D4F">
            <w:pPr>
              <w:autoSpaceDE w:val="0"/>
              <w:snapToGrid w:val="0"/>
              <w:jc w:val="distribut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申报机构：</w:t>
            </w:r>
          </w:p>
        </w:tc>
        <w:tc>
          <w:tcPr>
            <w:tcW w:w="5519" w:type="dxa"/>
            <w:tcBorders>
              <w:top w:val="single" w:color="auto" w:sz="4" w:space="0"/>
              <w:left w:val="nil"/>
              <w:bottom w:val="single" w:color="auto" w:sz="4" w:space="0"/>
              <w:right w:val="nil"/>
              <w:tl2br w:val="nil"/>
              <w:tr2bl w:val="nil"/>
            </w:tcBorders>
            <w:vAlign w:val="center"/>
          </w:tcPr>
          <w:p w14:paraId="2CE8AAA9">
            <w:pPr>
              <w:autoSpaceDE w:val="0"/>
              <w:snapToGrid w:val="0"/>
              <w:jc w:val="righ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（盖章）</w:t>
            </w:r>
          </w:p>
        </w:tc>
      </w:tr>
      <w:tr w14:paraId="3BF0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2977" w:type="dxa"/>
            <w:tcBorders>
              <w:top w:val="nil"/>
              <w:left w:val="nil"/>
              <w:bottom w:val="nil"/>
              <w:right w:val="nil"/>
              <w:tl2br w:val="nil"/>
              <w:tr2bl w:val="nil"/>
            </w:tcBorders>
            <w:vAlign w:val="center"/>
          </w:tcPr>
          <w:p w14:paraId="78AB403F">
            <w:pPr>
              <w:autoSpaceDE w:val="0"/>
              <w:snapToGrid w:val="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法定代表人/执行事务合伙人委派代表</w:t>
            </w:r>
          </w:p>
          <w:p w14:paraId="11C42AEE">
            <w:pPr>
              <w:autoSpaceDE w:val="0"/>
              <w:snapToGrid w:val="0"/>
              <w:jc w:val="distribut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或授权代表：</w:t>
            </w:r>
          </w:p>
        </w:tc>
        <w:tc>
          <w:tcPr>
            <w:tcW w:w="5519" w:type="dxa"/>
            <w:tcBorders>
              <w:top w:val="single" w:color="auto" w:sz="4" w:space="0"/>
              <w:left w:val="nil"/>
              <w:bottom w:val="single" w:color="auto" w:sz="4" w:space="0"/>
              <w:right w:val="nil"/>
              <w:tl2br w:val="nil"/>
              <w:tr2bl w:val="nil"/>
            </w:tcBorders>
            <w:vAlign w:val="center"/>
          </w:tcPr>
          <w:p w14:paraId="555B66D2">
            <w:pPr>
              <w:autoSpaceDE w:val="0"/>
              <w:snapToGrid w:val="0"/>
              <w:jc w:val="righ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（签字）</w:t>
            </w:r>
          </w:p>
        </w:tc>
      </w:tr>
    </w:tbl>
    <w:p w14:paraId="2A6EE9B4">
      <w:pPr>
        <w:spacing w:line="600" w:lineRule="exact"/>
        <w:rPr>
          <w:rFonts w:ascii="微软雅黑" w:hAnsi="微软雅黑" w:eastAsia="微软雅黑" w:cs="仿宋_GB2312"/>
          <w:sz w:val="28"/>
          <w:szCs w:val="28"/>
        </w:rPr>
      </w:pPr>
      <w:r>
        <w:rPr>
          <w:rFonts w:hint="eastAsia" w:ascii="微软雅黑" w:hAnsi="微软雅黑" w:eastAsia="微软雅黑" w:cs="仿宋_GB2312"/>
          <w:sz w:val="28"/>
          <w:szCs w:val="28"/>
          <w:lang w:bidi="ar"/>
        </w:rPr>
        <w:t xml:space="preserve"> </w:t>
      </w:r>
    </w:p>
    <w:p w14:paraId="4C0B7BD7">
      <w:pPr>
        <w:spacing w:line="600" w:lineRule="exact"/>
        <w:ind w:left="1"/>
        <w:jc w:val="center"/>
        <w:rPr>
          <w:rFonts w:ascii="微软雅黑" w:hAnsi="微软雅黑" w:eastAsia="微软雅黑" w:cs="仿宋_GB2312"/>
          <w:sz w:val="28"/>
          <w:szCs w:val="28"/>
        </w:rPr>
      </w:pPr>
      <w:r>
        <w:rPr>
          <w:rFonts w:hint="eastAsia" w:ascii="微软雅黑" w:hAnsi="微软雅黑" w:eastAsia="微软雅黑" w:cs="仿宋_GB2312"/>
          <w:sz w:val="28"/>
          <w:szCs w:val="28"/>
          <w:lang w:bidi="ar"/>
        </w:rPr>
        <w:t xml:space="preserve"> </w:t>
      </w:r>
    </w:p>
    <w:p w14:paraId="5C8ED77F">
      <w:pPr>
        <w:spacing w:line="600" w:lineRule="exact"/>
        <w:ind w:left="1"/>
        <w:jc w:val="center"/>
        <w:rPr>
          <w:rFonts w:ascii="微软雅黑" w:hAnsi="微软雅黑" w:eastAsia="微软雅黑" w:cs="仿宋_GB2312"/>
          <w:sz w:val="28"/>
          <w:szCs w:val="28"/>
        </w:rPr>
      </w:pPr>
      <w:r>
        <w:rPr>
          <w:rFonts w:hint="eastAsia" w:ascii="微软雅黑" w:hAnsi="微软雅黑" w:eastAsia="微软雅黑" w:cs="仿宋_GB2312"/>
          <w:sz w:val="28"/>
          <w:szCs w:val="28"/>
          <w:lang w:bidi="ar"/>
        </w:rPr>
        <w:t xml:space="preserve"> </w:t>
      </w:r>
    </w:p>
    <w:p w14:paraId="754E65B7">
      <w:pPr>
        <w:spacing w:line="600" w:lineRule="exact"/>
        <w:ind w:left="1"/>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年    月    日</w:t>
      </w:r>
    </w:p>
    <w:p w14:paraId="1D83FB27">
      <w:pPr>
        <w:pStyle w:val="13"/>
        <w:rPr>
          <w:rFonts w:hint="eastAsia" w:ascii="仿宋_GB2312" w:hAnsi="仿宋_GB2312" w:eastAsia="仿宋_GB2312" w:cs="仿宋_GB2312"/>
          <w:sz w:val="28"/>
          <w:szCs w:val="28"/>
          <w:lang w:bidi="ar"/>
        </w:rPr>
      </w:pPr>
    </w:p>
    <w:p w14:paraId="2C1C19A3">
      <w:pPr>
        <w:pStyle w:val="13"/>
        <w:rPr>
          <w:rFonts w:hint="eastAsia" w:ascii="仿宋_GB2312" w:hAnsi="仿宋_GB2312" w:eastAsia="仿宋_GB2312" w:cs="仿宋_GB2312"/>
          <w:sz w:val="28"/>
          <w:szCs w:val="28"/>
          <w:lang w:bidi="ar"/>
        </w:rPr>
      </w:pPr>
    </w:p>
    <w:p w14:paraId="77CF136B">
      <w:pPr>
        <w:pStyle w:val="13"/>
        <w:ind w:left="0" w:leftChars="0" w:right="0" w:rightChars="0" w:firstLine="0" w:firstLineChars="0"/>
        <w:jc w:val="center"/>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目录</w:t>
      </w:r>
    </w:p>
    <w:p w14:paraId="1BEEAE34">
      <w:pPr>
        <w:pStyle w:val="1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（请申请机构根据申报材料内容完善目录）</w:t>
      </w:r>
    </w:p>
    <w:p w14:paraId="2B5D57F7">
      <w:pPr>
        <w:pStyle w:val="1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eastAsia" w:ascii="仿宋_GB2312" w:hAnsi="仿宋_GB2312" w:eastAsia="仿宋_GB2312" w:cs="仿宋_GB2312"/>
          <w:sz w:val="28"/>
          <w:szCs w:val="28"/>
          <w:lang w:val="en-US" w:eastAsia="zh-CN" w:bidi="ar"/>
        </w:rPr>
      </w:pPr>
    </w:p>
    <w:p w14:paraId="4C6275BD">
      <w:pPr>
        <w:spacing w:line="600" w:lineRule="exact"/>
        <w:jc w:val="left"/>
        <w:rPr>
          <w:rFonts w:ascii="微软雅黑" w:hAnsi="微软雅黑" w:eastAsia="微软雅黑" w:cs="仿宋_GB2312"/>
          <w:sz w:val="28"/>
          <w:szCs w:val="28"/>
        </w:rPr>
      </w:pPr>
      <w:r>
        <w:rPr>
          <w:rFonts w:hint="eastAsia" w:ascii="微软雅黑" w:hAnsi="微软雅黑" w:eastAsia="微软雅黑" w:cs="仿宋_GB2312"/>
          <w:sz w:val="28"/>
          <w:szCs w:val="28"/>
          <w:lang w:bidi="ar"/>
        </w:rPr>
        <w:br w:type="page"/>
      </w:r>
    </w:p>
    <w:p w14:paraId="2DDECA28">
      <w:pPr>
        <w:rPr>
          <w:rFonts w:hint="eastAsia"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rPr>
        <w:t>附件</w:t>
      </w:r>
      <w:r>
        <w:rPr>
          <w:rFonts w:hint="eastAsia" w:ascii="Times New Roman" w:hAnsi="Times New Roman" w:eastAsia="仿宋_GB2312" w:cs="Times New Roman"/>
          <w:b/>
          <w:sz w:val="32"/>
          <w:szCs w:val="32"/>
          <w:lang w:val="en-US" w:eastAsia="zh-CN"/>
        </w:rPr>
        <w:t>4</w:t>
      </w:r>
    </w:p>
    <w:p w14:paraId="68A38D0E">
      <w:pPr>
        <w:spacing w:line="560" w:lineRule="exact"/>
        <w:outlineLvl w:val="0"/>
        <w:rPr>
          <w:rFonts w:hint="default" w:ascii="Times New Roman" w:hAnsi="Times New Roman" w:eastAsia="仿宋_GB2312" w:cs="Times New Roman"/>
          <w:sz w:val="32"/>
          <w:szCs w:val="32"/>
        </w:rPr>
      </w:pPr>
    </w:p>
    <w:p w14:paraId="3A038844">
      <w:pPr>
        <w:pStyle w:val="5"/>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子基金设立/增资方案（模板）</w:t>
      </w:r>
    </w:p>
    <w:p w14:paraId="5A3CF94D">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一、基金核心要素</w:t>
      </w:r>
    </w:p>
    <w:p w14:paraId="1CB36ED7">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（一）基金基本要素</w:t>
      </w:r>
    </w:p>
    <w:p w14:paraId="67B14DCD">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 基金名称。</w:t>
      </w:r>
    </w:p>
    <w:p w14:paraId="73469A92">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 基金规模。</w:t>
      </w:r>
    </w:p>
    <w:p w14:paraId="435C351C">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 基金组织形式。</w:t>
      </w:r>
    </w:p>
    <w:p w14:paraId="0AC112F3">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 基金注册地址。</w:t>
      </w:r>
    </w:p>
    <w:p w14:paraId="2B70F66C">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 基金存续期限，需明确投资期与退出期及延长期安排。</w:t>
      </w:r>
    </w:p>
    <w:p w14:paraId="5A6AA52D">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（二）资金募集情况</w:t>
      </w:r>
    </w:p>
    <w:p w14:paraId="683C0842">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 基金出资人名单及其出资金额、出资比例。</w:t>
      </w:r>
    </w:p>
    <w:p w14:paraId="36B75353">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 确保各出资人出资到位的措施、出资人出资不到位的补救预案。</w:t>
      </w:r>
    </w:p>
    <w:p w14:paraId="47004216">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3.如采用委托管理方式，应说明基金管理机构与执行事务合伙人的实质性关联关系。</w:t>
      </w:r>
    </w:p>
    <w:p w14:paraId="26E522DD">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（三）基金投资</w:t>
      </w:r>
    </w:p>
    <w:p w14:paraId="178B0DCE">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 基金投资方式。</w:t>
      </w:r>
    </w:p>
    <w:p w14:paraId="545259D2">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 基金主要投资领域。</w:t>
      </w:r>
    </w:p>
    <w:p w14:paraId="1C790627">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 基金投资地域。</w:t>
      </w:r>
    </w:p>
    <w:p w14:paraId="47BD3D08">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 基金投资策略。</w:t>
      </w:r>
    </w:p>
    <w:p w14:paraId="0AAEB725">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 基金投决机制。</w:t>
      </w:r>
    </w:p>
    <w:p w14:paraId="2A3C82EE">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 基金拟投资行业的行业分析。</w:t>
      </w:r>
    </w:p>
    <w:p w14:paraId="07AFE155">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 储备项目情况。</w:t>
      </w:r>
    </w:p>
    <w:p w14:paraId="05AD6BE5">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（四）基金管理费及收益分配</w:t>
      </w:r>
    </w:p>
    <w:p w14:paraId="6E60B563">
      <w:pPr>
        <w:spacing w:line="600" w:lineRule="exact"/>
        <w:rPr>
          <w:rFonts w:hint="default"/>
          <w:lang w:val="en-US" w:eastAsia="zh-CN"/>
        </w:rPr>
      </w:pPr>
      <w:r>
        <w:rPr>
          <w:rFonts w:hint="eastAsia" w:ascii="Times New Roman" w:hAnsi="Times New Roman" w:eastAsia="仿宋_GB2312" w:cs="Times New Roman"/>
          <w:sz w:val="28"/>
          <w:szCs w:val="28"/>
          <w:lang w:val="en-US" w:eastAsia="zh-CN"/>
        </w:rPr>
        <w:t>（五）基金增资方案（如有）</w:t>
      </w:r>
    </w:p>
    <w:p w14:paraId="158B5181">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二、申报机构及管理团队基本情况</w:t>
      </w:r>
    </w:p>
    <w:p w14:paraId="14640AF0">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（一）申报机构基本情况</w:t>
      </w:r>
    </w:p>
    <w:p w14:paraId="55166C5D">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 申报机构基本概况，包括但不限于机构名称、注册地址、认缴及实缴出资、历史沿革、股权结构（附图）、治理架构（附图）、高管人员、私募基金管理人登记情况等。</w:t>
      </w:r>
    </w:p>
    <w:p w14:paraId="261FA524">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 申报机构</w:t>
      </w:r>
      <w:r>
        <w:rPr>
          <w:rFonts w:hint="eastAsia" w:eastAsia="仿宋_GB2312" w:cs="Times New Roman"/>
          <w:sz w:val="28"/>
          <w:szCs w:val="28"/>
          <w:lang w:val="en-US" w:eastAsia="zh-CN"/>
        </w:rPr>
        <w:t>或核心管理团队</w:t>
      </w:r>
      <w:r>
        <w:rPr>
          <w:rFonts w:hint="default" w:ascii="Times New Roman" w:hAnsi="Times New Roman" w:eastAsia="仿宋_GB2312" w:cs="Times New Roman"/>
          <w:sz w:val="28"/>
          <w:szCs w:val="28"/>
          <w:lang w:val="en-US" w:eastAsia="zh-CN"/>
        </w:rPr>
        <w:t>管理业绩，包括在管基金和过往管理基金业绩等（应包括成立以来管理的所有私募股权基金，并重点介绍符合申报基金投资领域、地域、阶段的管理业绩）。</w:t>
      </w:r>
    </w:p>
    <w:p w14:paraId="35E03E57">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 申报机构或核心管理团队的投资业绩，包括但不限于投资的项目及其效益情况、为湖南省导入资源情况（如有）等。</w:t>
      </w:r>
    </w:p>
    <w:p w14:paraId="38BFA9F8">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 申报机构核心优势，包括但不限于产业、行业和专业等方面。</w:t>
      </w:r>
    </w:p>
    <w:p w14:paraId="280C5CC6">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lang w:val="en-US" w:eastAsia="zh-CN"/>
        </w:rPr>
        <w:t>. 申报机构所获荣誉。</w:t>
      </w:r>
    </w:p>
    <w:p w14:paraId="514C127F">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w:t>
      </w:r>
      <w:r>
        <w:rPr>
          <w:rFonts w:hint="eastAsia" w:eastAsia="仿宋_GB2312" w:cs="Times New Roman"/>
          <w:sz w:val="28"/>
          <w:szCs w:val="28"/>
          <w:lang w:val="en-US" w:eastAsia="zh-CN"/>
        </w:rPr>
        <w:t>子基金</w:t>
      </w:r>
      <w:r>
        <w:rPr>
          <w:rFonts w:hint="default" w:ascii="Times New Roman" w:hAnsi="Times New Roman" w:eastAsia="仿宋_GB2312" w:cs="Times New Roman"/>
          <w:sz w:val="28"/>
          <w:szCs w:val="28"/>
          <w:lang w:val="en-US" w:eastAsia="zh-CN"/>
        </w:rPr>
        <w:t>管理团队基本情况</w:t>
      </w:r>
    </w:p>
    <w:p w14:paraId="533AE716">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 管理团队组成情况。</w:t>
      </w:r>
    </w:p>
    <w:p w14:paraId="7B8C46FB">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 为本基金配备专属管理团队的组成情况。</w:t>
      </w:r>
    </w:p>
    <w:p w14:paraId="23483D22">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 管理团队分工及精力分配情况。</w:t>
      </w:r>
    </w:p>
    <w:p w14:paraId="07EC925D">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 管理团队成员之间合作经历介绍。</w:t>
      </w:r>
    </w:p>
    <w:p w14:paraId="417A62D5">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 管理团队核心优势，包括但不限于产业、行业和专业优势等。</w:t>
      </w:r>
    </w:p>
    <w:p w14:paraId="74ECA553">
      <w:pPr>
        <w:pStyle w:val="6"/>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 管理团队核心人员在申报基金所属投资领域的成功投资案例具体情况。</w:t>
      </w:r>
    </w:p>
    <w:p w14:paraId="79331C8E">
      <w:pPr>
        <w:pStyle w:val="6"/>
        <w:spacing w:line="600" w:lineRule="exact"/>
        <w:ind w:left="0" w:leftChars="0"/>
        <w:rPr>
          <w:rFonts w:hint="default" w:ascii="Times New Roman" w:hAnsi="Times New Roman" w:eastAsia="仿宋_GB2312" w:cs="Times New Roman"/>
          <w:sz w:val="28"/>
          <w:szCs w:val="28"/>
          <w:lang w:val="en-US" w:eastAsia="zh-CN"/>
        </w:rPr>
      </w:pPr>
    </w:p>
    <w:sectPr>
      <w:pgSz w:w="11906" w:h="16838"/>
      <w:pgMar w:top="2154" w:right="1474" w:bottom="1984" w:left="158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3FE8AF-8DAC-4B06-BE43-F91C454CF1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98641C81-A89F-4F72-A154-68B8A638DBAE}"/>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135324FD-C8E6-4601-84FA-92FEC043196D}"/>
  </w:font>
  <w:font w:name="TimesNewRomanPSMT">
    <w:altName w:val="Times New Roman"/>
    <w:panose1 w:val="00000000000000000000"/>
    <w:charset w:val="00"/>
    <w:family w:val="auto"/>
    <w:pitch w:val="default"/>
    <w:sig w:usb0="00000000" w:usb1="00000000" w:usb2="00000000" w:usb3="00000000" w:csb0="00000000" w:csb1="00000000"/>
    <w:embedRegular r:id="rId4" w:fontKey="{7E5246E9-711F-4B27-9D4D-DC4CF096960A}"/>
  </w:font>
  <w:font w:name="楷体_GB2312">
    <w:altName w:val="楷体"/>
    <w:panose1 w:val="02010609030101010101"/>
    <w:charset w:val="86"/>
    <w:family w:val="auto"/>
    <w:pitch w:val="default"/>
    <w:sig w:usb0="00000000" w:usb1="00000000" w:usb2="00000000" w:usb3="00000000" w:csb0="00040000" w:csb1="00000000"/>
    <w:embedRegular r:id="rId5" w:fontKey="{6CD79E83-877C-4E7E-AF4F-E1ACF42AA23D}"/>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6" w:fontKey="{E02D1A8E-3560-4742-97B8-C6D4492982B4}"/>
  </w:font>
  <w:font w:name="微软雅黑">
    <w:panose1 w:val="020B0503020204020204"/>
    <w:charset w:val="86"/>
    <w:family w:val="auto"/>
    <w:pitch w:val="default"/>
    <w:sig w:usb0="80000287" w:usb1="2ACF3C50" w:usb2="00000016" w:usb3="00000000" w:csb0="0004001F" w:csb1="00000000"/>
    <w:embedRegular r:id="rId7" w:fontKey="{F1D20548-1812-4E79-8A26-591E3CCE4D28}"/>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12382">
    <w:pPr>
      <w:pStyle w:val="9"/>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A8972">
                          <w:pPr>
                            <w:pStyle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DA8972">
                    <w:pPr>
                      <w:pStyle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EC0B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A0F3D">
                          <w:pPr>
                            <w:pStyle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FA0F3D">
                    <w:pPr>
                      <w:pStyle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2E9F2"/>
    <w:multiLevelType w:val="singleLevel"/>
    <w:tmpl w:val="A912E9F2"/>
    <w:lvl w:ilvl="0" w:tentative="0">
      <w:start w:val="1"/>
      <w:numFmt w:val="decimal"/>
      <w:suff w:val="space"/>
      <w:lvlText w:val="%1."/>
      <w:lvlJc w:val="left"/>
    </w:lvl>
  </w:abstractNum>
  <w:abstractNum w:abstractNumId="1">
    <w:nsid w:val="C43805A4"/>
    <w:multiLevelType w:val="singleLevel"/>
    <w:tmpl w:val="C43805A4"/>
    <w:lvl w:ilvl="0" w:tentative="0">
      <w:start w:val="1"/>
      <w:numFmt w:val="chineseCounting"/>
      <w:suff w:val="nothing"/>
      <w:lvlText w:val="%1、"/>
      <w:lvlJc w:val="left"/>
      <w:rPr>
        <w:rFonts w:hint="eastAsia"/>
      </w:rPr>
    </w:lvl>
  </w:abstractNum>
  <w:abstractNum w:abstractNumId="2">
    <w:nsid w:val="E40D46A3"/>
    <w:multiLevelType w:val="singleLevel"/>
    <w:tmpl w:val="E40D46A3"/>
    <w:lvl w:ilvl="0" w:tentative="0">
      <w:start w:val="1"/>
      <w:numFmt w:val="decimal"/>
      <w:suff w:val="space"/>
      <w:lvlText w:val="%1."/>
      <w:lvlJc w:val="left"/>
    </w:lvl>
  </w:abstractNum>
  <w:abstractNum w:abstractNumId="3">
    <w:nsid w:val="ED7EB530"/>
    <w:multiLevelType w:val="singleLevel"/>
    <w:tmpl w:val="ED7EB530"/>
    <w:lvl w:ilvl="0" w:tentative="0">
      <w:start w:val="1"/>
      <w:numFmt w:val="decimal"/>
      <w:suff w:val="space"/>
      <w:lvlText w:val="%1."/>
      <w:lvlJc w:val="left"/>
    </w:lvl>
  </w:abstractNum>
  <w:abstractNum w:abstractNumId="4">
    <w:nsid w:val="F99AEFDA"/>
    <w:multiLevelType w:val="singleLevel"/>
    <w:tmpl w:val="F99AEFDA"/>
    <w:lvl w:ilvl="0" w:tentative="0">
      <w:start w:val="1"/>
      <w:numFmt w:val="decimal"/>
      <w:suff w:val="space"/>
      <w:lvlText w:val="%1."/>
      <w:lvlJc w:val="left"/>
    </w:lvl>
  </w:abstractNum>
  <w:abstractNum w:abstractNumId="5">
    <w:nsid w:val="48E8CDD7"/>
    <w:multiLevelType w:val="singleLevel"/>
    <w:tmpl w:val="48E8CDD7"/>
    <w:lvl w:ilvl="0" w:tentative="0">
      <w:start w:val="1"/>
      <w:numFmt w:val="decimal"/>
      <w:suff w:val="space"/>
      <w:lvlText w:val="%1."/>
      <w:lvlJc w:val="left"/>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hN2QzNzc1MGY2NzQ0NWMwYzRkZDU5NjRmZTMxMjQifQ=="/>
  </w:docVars>
  <w:rsids>
    <w:rsidRoot w:val="00565E0D"/>
    <w:rsid w:val="000001E3"/>
    <w:rsid w:val="000002B7"/>
    <w:rsid w:val="00010724"/>
    <w:rsid w:val="00011073"/>
    <w:rsid w:val="00013DC8"/>
    <w:rsid w:val="000172CA"/>
    <w:rsid w:val="0001774D"/>
    <w:rsid w:val="00027264"/>
    <w:rsid w:val="0002755B"/>
    <w:rsid w:val="000318DD"/>
    <w:rsid w:val="00035734"/>
    <w:rsid w:val="00050654"/>
    <w:rsid w:val="00052F17"/>
    <w:rsid w:val="0005557E"/>
    <w:rsid w:val="0005629D"/>
    <w:rsid w:val="00056BC5"/>
    <w:rsid w:val="00057F77"/>
    <w:rsid w:val="00060B3B"/>
    <w:rsid w:val="0006249C"/>
    <w:rsid w:val="00072052"/>
    <w:rsid w:val="00077730"/>
    <w:rsid w:val="00080E80"/>
    <w:rsid w:val="000818F0"/>
    <w:rsid w:val="00083E32"/>
    <w:rsid w:val="00086847"/>
    <w:rsid w:val="00087177"/>
    <w:rsid w:val="000933CE"/>
    <w:rsid w:val="00093C88"/>
    <w:rsid w:val="0009700D"/>
    <w:rsid w:val="000A6408"/>
    <w:rsid w:val="000A7B39"/>
    <w:rsid w:val="000B0B2D"/>
    <w:rsid w:val="000B38B3"/>
    <w:rsid w:val="000B3B4B"/>
    <w:rsid w:val="000B4664"/>
    <w:rsid w:val="000B469F"/>
    <w:rsid w:val="000C173F"/>
    <w:rsid w:val="000C2F6D"/>
    <w:rsid w:val="000C3B7E"/>
    <w:rsid w:val="000C3D6D"/>
    <w:rsid w:val="000C59CD"/>
    <w:rsid w:val="000C601F"/>
    <w:rsid w:val="000C6CA2"/>
    <w:rsid w:val="000C7CE6"/>
    <w:rsid w:val="000D1D18"/>
    <w:rsid w:val="000D262C"/>
    <w:rsid w:val="000D36B0"/>
    <w:rsid w:val="000D4655"/>
    <w:rsid w:val="000D5DFB"/>
    <w:rsid w:val="000E2561"/>
    <w:rsid w:val="000E3213"/>
    <w:rsid w:val="000E44A9"/>
    <w:rsid w:val="000E4E20"/>
    <w:rsid w:val="000E56FE"/>
    <w:rsid w:val="000F491E"/>
    <w:rsid w:val="000F552C"/>
    <w:rsid w:val="000F73FC"/>
    <w:rsid w:val="0011260E"/>
    <w:rsid w:val="00125818"/>
    <w:rsid w:val="001308B0"/>
    <w:rsid w:val="00133783"/>
    <w:rsid w:val="00140C8A"/>
    <w:rsid w:val="00140EAB"/>
    <w:rsid w:val="001431CA"/>
    <w:rsid w:val="00147A7F"/>
    <w:rsid w:val="00147D09"/>
    <w:rsid w:val="00147D57"/>
    <w:rsid w:val="00151434"/>
    <w:rsid w:val="00153C3B"/>
    <w:rsid w:val="00160D86"/>
    <w:rsid w:val="0016353C"/>
    <w:rsid w:val="001642B3"/>
    <w:rsid w:val="00182879"/>
    <w:rsid w:val="001851C3"/>
    <w:rsid w:val="00185BFA"/>
    <w:rsid w:val="001929D8"/>
    <w:rsid w:val="0019302E"/>
    <w:rsid w:val="001966BC"/>
    <w:rsid w:val="001A12CD"/>
    <w:rsid w:val="001A2925"/>
    <w:rsid w:val="001A4415"/>
    <w:rsid w:val="001A4668"/>
    <w:rsid w:val="001A5118"/>
    <w:rsid w:val="001A5CB7"/>
    <w:rsid w:val="001A6C2E"/>
    <w:rsid w:val="001B1186"/>
    <w:rsid w:val="001B1E6C"/>
    <w:rsid w:val="001B25FB"/>
    <w:rsid w:val="001B329E"/>
    <w:rsid w:val="001B3900"/>
    <w:rsid w:val="001B6E38"/>
    <w:rsid w:val="001C0E9D"/>
    <w:rsid w:val="001C19E1"/>
    <w:rsid w:val="001D1E3F"/>
    <w:rsid w:val="001D4268"/>
    <w:rsid w:val="001D5A75"/>
    <w:rsid w:val="001D6A42"/>
    <w:rsid w:val="001E0AD1"/>
    <w:rsid w:val="001E53E6"/>
    <w:rsid w:val="001E5F30"/>
    <w:rsid w:val="001F039E"/>
    <w:rsid w:val="001F14E3"/>
    <w:rsid w:val="001F1D2C"/>
    <w:rsid w:val="001F692A"/>
    <w:rsid w:val="00200CCA"/>
    <w:rsid w:val="00201B52"/>
    <w:rsid w:val="002068FC"/>
    <w:rsid w:val="0020698A"/>
    <w:rsid w:val="00207E19"/>
    <w:rsid w:val="00213624"/>
    <w:rsid w:val="00213E46"/>
    <w:rsid w:val="00214111"/>
    <w:rsid w:val="00221CA8"/>
    <w:rsid w:val="00223A3E"/>
    <w:rsid w:val="0022598A"/>
    <w:rsid w:val="00231B51"/>
    <w:rsid w:val="00233075"/>
    <w:rsid w:val="002330C2"/>
    <w:rsid w:val="00233DD3"/>
    <w:rsid w:val="00233EBB"/>
    <w:rsid w:val="00234401"/>
    <w:rsid w:val="00247735"/>
    <w:rsid w:val="0025315F"/>
    <w:rsid w:val="00255FA6"/>
    <w:rsid w:val="00256C81"/>
    <w:rsid w:val="00260D03"/>
    <w:rsid w:val="00266B30"/>
    <w:rsid w:val="00274CC8"/>
    <w:rsid w:val="00281161"/>
    <w:rsid w:val="00281C9D"/>
    <w:rsid w:val="00283A2F"/>
    <w:rsid w:val="002862B8"/>
    <w:rsid w:val="00290D09"/>
    <w:rsid w:val="002A36F6"/>
    <w:rsid w:val="002A558A"/>
    <w:rsid w:val="002B6B71"/>
    <w:rsid w:val="002C0243"/>
    <w:rsid w:val="002C05FC"/>
    <w:rsid w:val="002C1AF8"/>
    <w:rsid w:val="002C4AED"/>
    <w:rsid w:val="002C52FF"/>
    <w:rsid w:val="002C62E8"/>
    <w:rsid w:val="002D0FD0"/>
    <w:rsid w:val="002D306E"/>
    <w:rsid w:val="002E010A"/>
    <w:rsid w:val="002E3892"/>
    <w:rsid w:val="002E3D73"/>
    <w:rsid w:val="002E5A11"/>
    <w:rsid w:val="002E6FFC"/>
    <w:rsid w:val="002F0336"/>
    <w:rsid w:val="002F114C"/>
    <w:rsid w:val="002F3265"/>
    <w:rsid w:val="002F3CF3"/>
    <w:rsid w:val="002F45CE"/>
    <w:rsid w:val="00300CC4"/>
    <w:rsid w:val="00312AF2"/>
    <w:rsid w:val="00322356"/>
    <w:rsid w:val="003252F7"/>
    <w:rsid w:val="003276F8"/>
    <w:rsid w:val="00330B1F"/>
    <w:rsid w:val="00345BA5"/>
    <w:rsid w:val="00345F64"/>
    <w:rsid w:val="00350355"/>
    <w:rsid w:val="00350425"/>
    <w:rsid w:val="00353703"/>
    <w:rsid w:val="00355E54"/>
    <w:rsid w:val="003604A4"/>
    <w:rsid w:val="0037380C"/>
    <w:rsid w:val="003742A3"/>
    <w:rsid w:val="00376EF0"/>
    <w:rsid w:val="00377A7E"/>
    <w:rsid w:val="003833E7"/>
    <w:rsid w:val="0038476A"/>
    <w:rsid w:val="003854E4"/>
    <w:rsid w:val="00386044"/>
    <w:rsid w:val="00390DE9"/>
    <w:rsid w:val="0039410E"/>
    <w:rsid w:val="003B4F4F"/>
    <w:rsid w:val="003C1071"/>
    <w:rsid w:val="003D0520"/>
    <w:rsid w:val="003D0F33"/>
    <w:rsid w:val="003D6D48"/>
    <w:rsid w:val="003E204D"/>
    <w:rsid w:val="003E2621"/>
    <w:rsid w:val="003E3D97"/>
    <w:rsid w:val="003E5090"/>
    <w:rsid w:val="003E6078"/>
    <w:rsid w:val="003F1FD9"/>
    <w:rsid w:val="003F2AFC"/>
    <w:rsid w:val="003F50D8"/>
    <w:rsid w:val="003F54BB"/>
    <w:rsid w:val="003F72D7"/>
    <w:rsid w:val="004072FD"/>
    <w:rsid w:val="004120F3"/>
    <w:rsid w:val="00417054"/>
    <w:rsid w:val="00421507"/>
    <w:rsid w:val="00425D69"/>
    <w:rsid w:val="00430BB0"/>
    <w:rsid w:val="00434028"/>
    <w:rsid w:val="00435A35"/>
    <w:rsid w:val="004415A2"/>
    <w:rsid w:val="00441809"/>
    <w:rsid w:val="00445A3C"/>
    <w:rsid w:val="004503BF"/>
    <w:rsid w:val="004516DE"/>
    <w:rsid w:val="00451D9C"/>
    <w:rsid w:val="004526F8"/>
    <w:rsid w:val="004608A7"/>
    <w:rsid w:val="004624EF"/>
    <w:rsid w:val="00472040"/>
    <w:rsid w:val="00473F73"/>
    <w:rsid w:val="0047637D"/>
    <w:rsid w:val="0047681B"/>
    <w:rsid w:val="00477FCE"/>
    <w:rsid w:val="00482CA2"/>
    <w:rsid w:val="004906F4"/>
    <w:rsid w:val="00491DE0"/>
    <w:rsid w:val="0049260D"/>
    <w:rsid w:val="004939AF"/>
    <w:rsid w:val="00494465"/>
    <w:rsid w:val="004A5000"/>
    <w:rsid w:val="004A635C"/>
    <w:rsid w:val="004A6C29"/>
    <w:rsid w:val="004A7096"/>
    <w:rsid w:val="004B4DB9"/>
    <w:rsid w:val="004B563D"/>
    <w:rsid w:val="004B67A6"/>
    <w:rsid w:val="004C1067"/>
    <w:rsid w:val="004C228E"/>
    <w:rsid w:val="004C4372"/>
    <w:rsid w:val="004C509C"/>
    <w:rsid w:val="004C7AA6"/>
    <w:rsid w:val="004D2B67"/>
    <w:rsid w:val="004E304B"/>
    <w:rsid w:val="004F0EEA"/>
    <w:rsid w:val="004F1181"/>
    <w:rsid w:val="004F238A"/>
    <w:rsid w:val="004F2F06"/>
    <w:rsid w:val="004F2FFB"/>
    <w:rsid w:val="005032DA"/>
    <w:rsid w:val="00507B16"/>
    <w:rsid w:val="00513ECD"/>
    <w:rsid w:val="00514894"/>
    <w:rsid w:val="00515706"/>
    <w:rsid w:val="0051652E"/>
    <w:rsid w:val="00520720"/>
    <w:rsid w:val="00522164"/>
    <w:rsid w:val="005236D5"/>
    <w:rsid w:val="0052767B"/>
    <w:rsid w:val="00531808"/>
    <w:rsid w:val="005379C5"/>
    <w:rsid w:val="00537BAA"/>
    <w:rsid w:val="0054195C"/>
    <w:rsid w:val="00543E1F"/>
    <w:rsid w:val="0055058A"/>
    <w:rsid w:val="00552135"/>
    <w:rsid w:val="00554133"/>
    <w:rsid w:val="005551E3"/>
    <w:rsid w:val="00557E8E"/>
    <w:rsid w:val="00562BE0"/>
    <w:rsid w:val="00564189"/>
    <w:rsid w:val="00565E0D"/>
    <w:rsid w:val="00572279"/>
    <w:rsid w:val="00573698"/>
    <w:rsid w:val="00574D00"/>
    <w:rsid w:val="005750DB"/>
    <w:rsid w:val="00581646"/>
    <w:rsid w:val="005843CC"/>
    <w:rsid w:val="0059108F"/>
    <w:rsid w:val="00592218"/>
    <w:rsid w:val="00592C0E"/>
    <w:rsid w:val="00593F46"/>
    <w:rsid w:val="00597ABD"/>
    <w:rsid w:val="00597C1C"/>
    <w:rsid w:val="005A09A3"/>
    <w:rsid w:val="005A3B87"/>
    <w:rsid w:val="005A6071"/>
    <w:rsid w:val="005A7F23"/>
    <w:rsid w:val="005B0DB6"/>
    <w:rsid w:val="005B1094"/>
    <w:rsid w:val="005B2011"/>
    <w:rsid w:val="005B2CA9"/>
    <w:rsid w:val="005B44E9"/>
    <w:rsid w:val="005B557D"/>
    <w:rsid w:val="005C4314"/>
    <w:rsid w:val="005C5B75"/>
    <w:rsid w:val="005D1117"/>
    <w:rsid w:val="005D42C5"/>
    <w:rsid w:val="005F15F6"/>
    <w:rsid w:val="005F3EB8"/>
    <w:rsid w:val="005F6352"/>
    <w:rsid w:val="005F7FD8"/>
    <w:rsid w:val="00606192"/>
    <w:rsid w:val="00607524"/>
    <w:rsid w:val="00607896"/>
    <w:rsid w:val="00615224"/>
    <w:rsid w:val="00615A0D"/>
    <w:rsid w:val="00620E2F"/>
    <w:rsid w:val="006238FE"/>
    <w:rsid w:val="00625672"/>
    <w:rsid w:val="0063395C"/>
    <w:rsid w:val="00633F19"/>
    <w:rsid w:val="0063610B"/>
    <w:rsid w:val="00640E72"/>
    <w:rsid w:val="006455DF"/>
    <w:rsid w:val="00651EE5"/>
    <w:rsid w:val="006526E2"/>
    <w:rsid w:val="006604AD"/>
    <w:rsid w:val="0066106A"/>
    <w:rsid w:val="00663946"/>
    <w:rsid w:val="00666401"/>
    <w:rsid w:val="00667A25"/>
    <w:rsid w:val="00667F0D"/>
    <w:rsid w:val="00676D83"/>
    <w:rsid w:val="00677AB8"/>
    <w:rsid w:val="00680A84"/>
    <w:rsid w:val="00684D90"/>
    <w:rsid w:val="006926CB"/>
    <w:rsid w:val="0069573B"/>
    <w:rsid w:val="006A00B3"/>
    <w:rsid w:val="006A1974"/>
    <w:rsid w:val="006A3524"/>
    <w:rsid w:val="006B1247"/>
    <w:rsid w:val="006B2404"/>
    <w:rsid w:val="006C3891"/>
    <w:rsid w:val="006C6259"/>
    <w:rsid w:val="006C700E"/>
    <w:rsid w:val="006C7690"/>
    <w:rsid w:val="006D2D78"/>
    <w:rsid w:val="006D47E8"/>
    <w:rsid w:val="006E0B55"/>
    <w:rsid w:val="006E5E92"/>
    <w:rsid w:val="006E67BB"/>
    <w:rsid w:val="006E6DAB"/>
    <w:rsid w:val="006F2F5A"/>
    <w:rsid w:val="006F7901"/>
    <w:rsid w:val="00700314"/>
    <w:rsid w:val="007019AF"/>
    <w:rsid w:val="0070227E"/>
    <w:rsid w:val="007044CA"/>
    <w:rsid w:val="0070593E"/>
    <w:rsid w:val="00706E54"/>
    <w:rsid w:val="007102FF"/>
    <w:rsid w:val="0071070A"/>
    <w:rsid w:val="007154AA"/>
    <w:rsid w:val="00722C47"/>
    <w:rsid w:val="007234F7"/>
    <w:rsid w:val="00724693"/>
    <w:rsid w:val="00726385"/>
    <w:rsid w:val="00736911"/>
    <w:rsid w:val="00740A5E"/>
    <w:rsid w:val="0074536A"/>
    <w:rsid w:val="00746FDF"/>
    <w:rsid w:val="00752857"/>
    <w:rsid w:val="00752E65"/>
    <w:rsid w:val="0075498A"/>
    <w:rsid w:val="0075738C"/>
    <w:rsid w:val="00765E6F"/>
    <w:rsid w:val="007671E5"/>
    <w:rsid w:val="007701EF"/>
    <w:rsid w:val="00780048"/>
    <w:rsid w:val="00781C47"/>
    <w:rsid w:val="007830A2"/>
    <w:rsid w:val="00784DB2"/>
    <w:rsid w:val="00785004"/>
    <w:rsid w:val="00791A41"/>
    <w:rsid w:val="007923A1"/>
    <w:rsid w:val="00794C9B"/>
    <w:rsid w:val="0079534D"/>
    <w:rsid w:val="0079587E"/>
    <w:rsid w:val="00797CC2"/>
    <w:rsid w:val="007A08C4"/>
    <w:rsid w:val="007A0FC8"/>
    <w:rsid w:val="007A14FC"/>
    <w:rsid w:val="007A1E7D"/>
    <w:rsid w:val="007A275F"/>
    <w:rsid w:val="007A4BCC"/>
    <w:rsid w:val="007A59A5"/>
    <w:rsid w:val="007B1D9B"/>
    <w:rsid w:val="007B4A52"/>
    <w:rsid w:val="007B5006"/>
    <w:rsid w:val="007B747D"/>
    <w:rsid w:val="007C2A1A"/>
    <w:rsid w:val="007C76A0"/>
    <w:rsid w:val="007D6A00"/>
    <w:rsid w:val="007D7EBB"/>
    <w:rsid w:val="007E248C"/>
    <w:rsid w:val="007F4B11"/>
    <w:rsid w:val="007F5BEC"/>
    <w:rsid w:val="007F63BC"/>
    <w:rsid w:val="008074AE"/>
    <w:rsid w:val="0081086B"/>
    <w:rsid w:val="00810A45"/>
    <w:rsid w:val="00810D63"/>
    <w:rsid w:val="00812D2A"/>
    <w:rsid w:val="008132A9"/>
    <w:rsid w:val="00814484"/>
    <w:rsid w:val="0081461B"/>
    <w:rsid w:val="00815918"/>
    <w:rsid w:val="00827161"/>
    <w:rsid w:val="00827230"/>
    <w:rsid w:val="00827AF0"/>
    <w:rsid w:val="00831685"/>
    <w:rsid w:val="00832AE4"/>
    <w:rsid w:val="00840FFB"/>
    <w:rsid w:val="00844CD4"/>
    <w:rsid w:val="00846BD1"/>
    <w:rsid w:val="00846F83"/>
    <w:rsid w:val="008532A5"/>
    <w:rsid w:val="00856701"/>
    <w:rsid w:val="00860C67"/>
    <w:rsid w:val="008642F2"/>
    <w:rsid w:val="00870FA5"/>
    <w:rsid w:val="00871793"/>
    <w:rsid w:val="0087345F"/>
    <w:rsid w:val="00876C28"/>
    <w:rsid w:val="00886EEC"/>
    <w:rsid w:val="00891F4C"/>
    <w:rsid w:val="008936A8"/>
    <w:rsid w:val="0089384A"/>
    <w:rsid w:val="00895788"/>
    <w:rsid w:val="008A21D8"/>
    <w:rsid w:val="008A6C16"/>
    <w:rsid w:val="008A6EB5"/>
    <w:rsid w:val="008A71FA"/>
    <w:rsid w:val="008B0BB2"/>
    <w:rsid w:val="008B320D"/>
    <w:rsid w:val="008B5962"/>
    <w:rsid w:val="008B6673"/>
    <w:rsid w:val="008C01A9"/>
    <w:rsid w:val="008C078F"/>
    <w:rsid w:val="008C1A55"/>
    <w:rsid w:val="008C29B3"/>
    <w:rsid w:val="008C3AF2"/>
    <w:rsid w:val="008C6C97"/>
    <w:rsid w:val="008D21DB"/>
    <w:rsid w:val="008D42EC"/>
    <w:rsid w:val="008D5837"/>
    <w:rsid w:val="008D76C0"/>
    <w:rsid w:val="008E27DE"/>
    <w:rsid w:val="008E57C9"/>
    <w:rsid w:val="008F0373"/>
    <w:rsid w:val="008F0BA3"/>
    <w:rsid w:val="0090177A"/>
    <w:rsid w:val="009106B9"/>
    <w:rsid w:val="00910CB6"/>
    <w:rsid w:val="00911FCC"/>
    <w:rsid w:val="00916336"/>
    <w:rsid w:val="009171A9"/>
    <w:rsid w:val="009205B6"/>
    <w:rsid w:val="00920E62"/>
    <w:rsid w:val="00923285"/>
    <w:rsid w:val="00931E49"/>
    <w:rsid w:val="009322A0"/>
    <w:rsid w:val="009406C6"/>
    <w:rsid w:val="0094546E"/>
    <w:rsid w:val="00947F7C"/>
    <w:rsid w:val="009512F3"/>
    <w:rsid w:val="00951E04"/>
    <w:rsid w:val="00954340"/>
    <w:rsid w:val="00961C89"/>
    <w:rsid w:val="0096244D"/>
    <w:rsid w:val="00971D7A"/>
    <w:rsid w:val="00972928"/>
    <w:rsid w:val="00984A6D"/>
    <w:rsid w:val="00985DA4"/>
    <w:rsid w:val="00991DA4"/>
    <w:rsid w:val="00991E30"/>
    <w:rsid w:val="009929A0"/>
    <w:rsid w:val="00996B61"/>
    <w:rsid w:val="009A3802"/>
    <w:rsid w:val="009A6F86"/>
    <w:rsid w:val="009A7FAB"/>
    <w:rsid w:val="009B1B7B"/>
    <w:rsid w:val="009B1E56"/>
    <w:rsid w:val="009B2269"/>
    <w:rsid w:val="009B5325"/>
    <w:rsid w:val="009B533D"/>
    <w:rsid w:val="009B5DCE"/>
    <w:rsid w:val="009C0ECF"/>
    <w:rsid w:val="009C5283"/>
    <w:rsid w:val="009C773A"/>
    <w:rsid w:val="009C7FBC"/>
    <w:rsid w:val="009D0D2F"/>
    <w:rsid w:val="009D13F9"/>
    <w:rsid w:val="009D27C1"/>
    <w:rsid w:val="009D425E"/>
    <w:rsid w:val="009D4F50"/>
    <w:rsid w:val="009D69E9"/>
    <w:rsid w:val="009E5FED"/>
    <w:rsid w:val="009F05A5"/>
    <w:rsid w:val="00A00F6C"/>
    <w:rsid w:val="00A147AE"/>
    <w:rsid w:val="00A15154"/>
    <w:rsid w:val="00A15397"/>
    <w:rsid w:val="00A2328D"/>
    <w:rsid w:val="00A247DF"/>
    <w:rsid w:val="00A3043B"/>
    <w:rsid w:val="00A3355F"/>
    <w:rsid w:val="00A33805"/>
    <w:rsid w:val="00A34FBC"/>
    <w:rsid w:val="00A35AF5"/>
    <w:rsid w:val="00A43988"/>
    <w:rsid w:val="00A43D5F"/>
    <w:rsid w:val="00A47369"/>
    <w:rsid w:val="00A47373"/>
    <w:rsid w:val="00A50A06"/>
    <w:rsid w:val="00A51C8F"/>
    <w:rsid w:val="00A52366"/>
    <w:rsid w:val="00A62FF2"/>
    <w:rsid w:val="00A64C3E"/>
    <w:rsid w:val="00A65B0B"/>
    <w:rsid w:val="00A72704"/>
    <w:rsid w:val="00A734AF"/>
    <w:rsid w:val="00A814C1"/>
    <w:rsid w:val="00A817D5"/>
    <w:rsid w:val="00A83C8F"/>
    <w:rsid w:val="00A8402B"/>
    <w:rsid w:val="00A85A30"/>
    <w:rsid w:val="00A85C3A"/>
    <w:rsid w:val="00A93974"/>
    <w:rsid w:val="00A95F4F"/>
    <w:rsid w:val="00AA3434"/>
    <w:rsid w:val="00AA4A26"/>
    <w:rsid w:val="00AA4F37"/>
    <w:rsid w:val="00AA7652"/>
    <w:rsid w:val="00AA7B10"/>
    <w:rsid w:val="00AB09C2"/>
    <w:rsid w:val="00AB5CC8"/>
    <w:rsid w:val="00AB7B53"/>
    <w:rsid w:val="00AC1952"/>
    <w:rsid w:val="00AC2B24"/>
    <w:rsid w:val="00AC58CC"/>
    <w:rsid w:val="00AD11F9"/>
    <w:rsid w:val="00AE17C4"/>
    <w:rsid w:val="00AE7126"/>
    <w:rsid w:val="00AF014E"/>
    <w:rsid w:val="00AF7373"/>
    <w:rsid w:val="00B05B49"/>
    <w:rsid w:val="00B064A1"/>
    <w:rsid w:val="00B065C7"/>
    <w:rsid w:val="00B06633"/>
    <w:rsid w:val="00B11039"/>
    <w:rsid w:val="00B111B4"/>
    <w:rsid w:val="00B115CC"/>
    <w:rsid w:val="00B1216C"/>
    <w:rsid w:val="00B130BF"/>
    <w:rsid w:val="00B13BAA"/>
    <w:rsid w:val="00B13E0D"/>
    <w:rsid w:val="00B2307A"/>
    <w:rsid w:val="00B23701"/>
    <w:rsid w:val="00B303CF"/>
    <w:rsid w:val="00B3041B"/>
    <w:rsid w:val="00B3188E"/>
    <w:rsid w:val="00B42735"/>
    <w:rsid w:val="00B42CE9"/>
    <w:rsid w:val="00B455F6"/>
    <w:rsid w:val="00B46C89"/>
    <w:rsid w:val="00B52448"/>
    <w:rsid w:val="00B52F3C"/>
    <w:rsid w:val="00B542F7"/>
    <w:rsid w:val="00B5520D"/>
    <w:rsid w:val="00B55A9B"/>
    <w:rsid w:val="00B56D54"/>
    <w:rsid w:val="00B61D44"/>
    <w:rsid w:val="00B63944"/>
    <w:rsid w:val="00B71158"/>
    <w:rsid w:val="00B7469D"/>
    <w:rsid w:val="00B8224D"/>
    <w:rsid w:val="00B8412B"/>
    <w:rsid w:val="00B905FB"/>
    <w:rsid w:val="00B91100"/>
    <w:rsid w:val="00B91F56"/>
    <w:rsid w:val="00B92BE8"/>
    <w:rsid w:val="00B93EEB"/>
    <w:rsid w:val="00B95703"/>
    <w:rsid w:val="00BA2AEF"/>
    <w:rsid w:val="00BA413C"/>
    <w:rsid w:val="00BA7925"/>
    <w:rsid w:val="00BB3B34"/>
    <w:rsid w:val="00BB5E0D"/>
    <w:rsid w:val="00BC1649"/>
    <w:rsid w:val="00BC1CBA"/>
    <w:rsid w:val="00BC6218"/>
    <w:rsid w:val="00BC7A5F"/>
    <w:rsid w:val="00BD1961"/>
    <w:rsid w:val="00BD1A4B"/>
    <w:rsid w:val="00BD6329"/>
    <w:rsid w:val="00BD7715"/>
    <w:rsid w:val="00BE1890"/>
    <w:rsid w:val="00BF0F72"/>
    <w:rsid w:val="00BF4B67"/>
    <w:rsid w:val="00BF6770"/>
    <w:rsid w:val="00C014D6"/>
    <w:rsid w:val="00C021D6"/>
    <w:rsid w:val="00C07F95"/>
    <w:rsid w:val="00C13C5C"/>
    <w:rsid w:val="00C14164"/>
    <w:rsid w:val="00C1519E"/>
    <w:rsid w:val="00C157A1"/>
    <w:rsid w:val="00C15EAA"/>
    <w:rsid w:val="00C200FC"/>
    <w:rsid w:val="00C25BC5"/>
    <w:rsid w:val="00C334F9"/>
    <w:rsid w:val="00C406FE"/>
    <w:rsid w:val="00C41D96"/>
    <w:rsid w:val="00C44AC9"/>
    <w:rsid w:val="00C50591"/>
    <w:rsid w:val="00C57EA6"/>
    <w:rsid w:val="00C7171A"/>
    <w:rsid w:val="00C8000A"/>
    <w:rsid w:val="00C938AA"/>
    <w:rsid w:val="00C96EBC"/>
    <w:rsid w:val="00CA304D"/>
    <w:rsid w:val="00CA5906"/>
    <w:rsid w:val="00CA5E72"/>
    <w:rsid w:val="00CA6B00"/>
    <w:rsid w:val="00CB0998"/>
    <w:rsid w:val="00CB41A6"/>
    <w:rsid w:val="00CB7E5D"/>
    <w:rsid w:val="00CC5300"/>
    <w:rsid w:val="00CC7F96"/>
    <w:rsid w:val="00CD6E3E"/>
    <w:rsid w:val="00CE2078"/>
    <w:rsid w:val="00CE3D23"/>
    <w:rsid w:val="00CE652E"/>
    <w:rsid w:val="00CF0980"/>
    <w:rsid w:val="00CF3A46"/>
    <w:rsid w:val="00CF45CC"/>
    <w:rsid w:val="00CF46C5"/>
    <w:rsid w:val="00CF7183"/>
    <w:rsid w:val="00D000A5"/>
    <w:rsid w:val="00D03019"/>
    <w:rsid w:val="00D050CD"/>
    <w:rsid w:val="00D05A3B"/>
    <w:rsid w:val="00D060A3"/>
    <w:rsid w:val="00D1247E"/>
    <w:rsid w:val="00D1440C"/>
    <w:rsid w:val="00D1580C"/>
    <w:rsid w:val="00D15DEF"/>
    <w:rsid w:val="00D20481"/>
    <w:rsid w:val="00D2130A"/>
    <w:rsid w:val="00D223CF"/>
    <w:rsid w:val="00D2396D"/>
    <w:rsid w:val="00D303ED"/>
    <w:rsid w:val="00D34B98"/>
    <w:rsid w:val="00D35792"/>
    <w:rsid w:val="00D35A46"/>
    <w:rsid w:val="00D43E75"/>
    <w:rsid w:val="00D44A75"/>
    <w:rsid w:val="00D454F4"/>
    <w:rsid w:val="00D466A5"/>
    <w:rsid w:val="00D47704"/>
    <w:rsid w:val="00D51249"/>
    <w:rsid w:val="00D544D7"/>
    <w:rsid w:val="00D56F49"/>
    <w:rsid w:val="00D62E77"/>
    <w:rsid w:val="00D70805"/>
    <w:rsid w:val="00D7258F"/>
    <w:rsid w:val="00D73333"/>
    <w:rsid w:val="00D7436F"/>
    <w:rsid w:val="00D7629D"/>
    <w:rsid w:val="00D80073"/>
    <w:rsid w:val="00D80F5D"/>
    <w:rsid w:val="00D856AD"/>
    <w:rsid w:val="00D85D06"/>
    <w:rsid w:val="00D86561"/>
    <w:rsid w:val="00D90E83"/>
    <w:rsid w:val="00D93464"/>
    <w:rsid w:val="00D9589D"/>
    <w:rsid w:val="00DA3633"/>
    <w:rsid w:val="00DA6FE6"/>
    <w:rsid w:val="00DB20C8"/>
    <w:rsid w:val="00DB7D7C"/>
    <w:rsid w:val="00DC4CF2"/>
    <w:rsid w:val="00DC6B44"/>
    <w:rsid w:val="00DC79DD"/>
    <w:rsid w:val="00DD1A3A"/>
    <w:rsid w:val="00DD3203"/>
    <w:rsid w:val="00DD782C"/>
    <w:rsid w:val="00DE3BAC"/>
    <w:rsid w:val="00DE5B95"/>
    <w:rsid w:val="00DE75F4"/>
    <w:rsid w:val="00DF0582"/>
    <w:rsid w:val="00DF120E"/>
    <w:rsid w:val="00DF281B"/>
    <w:rsid w:val="00DF485C"/>
    <w:rsid w:val="00DF6FF3"/>
    <w:rsid w:val="00DF71A6"/>
    <w:rsid w:val="00E00083"/>
    <w:rsid w:val="00E027E9"/>
    <w:rsid w:val="00E10452"/>
    <w:rsid w:val="00E12E4A"/>
    <w:rsid w:val="00E16A01"/>
    <w:rsid w:val="00E22375"/>
    <w:rsid w:val="00E249BE"/>
    <w:rsid w:val="00E32D5A"/>
    <w:rsid w:val="00E33457"/>
    <w:rsid w:val="00E35E9E"/>
    <w:rsid w:val="00E401E7"/>
    <w:rsid w:val="00E42F2F"/>
    <w:rsid w:val="00E506BA"/>
    <w:rsid w:val="00E50AB5"/>
    <w:rsid w:val="00E5693E"/>
    <w:rsid w:val="00E661DE"/>
    <w:rsid w:val="00E71180"/>
    <w:rsid w:val="00E7303E"/>
    <w:rsid w:val="00E75BA5"/>
    <w:rsid w:val="00E8206B"/>
    <w:rsid w:val="00E82292"/>
    <w:rsid w:val="00E824B9"/>
    <w:rsid w:val="00E8381E"/>
    <w:rsid w:val="00E873EF"/>
    <w:rsid w:val="00E95668"/>
    <w:rsid w:val="00EA2678"/>
    <w:rsid w:val="00EA64B7"/>
    <w:rsid w:val="00EB0210"/>
    <w:rsid w:val="00EB484C"/>
    <w:rsid w:val="00EC15F9"/>
    <w:rsid w:val="00ED08AC"/>
    <w:rsid w:val="00ED4B60"/>
    <w:rsid w:val="00ED4E06"/>
    <w:rsid w:val="00EE07EF"/>
    <w:rsid w:val="00EE62A5"/>
    <w:rsid w:val="00EF4903"/>
    <w:rsid w:val="00EF5030"/>
    <w:rsid w:val="00EF54ED"/>
    <w:rsid w:val="00EF6945"/>
    <w:rsid w:val="00F005B5"/>
    <w:rsid w:val="00F02A97"/>
    <w:rsid w:val="00F23BC3"/>
    <w:rsid w:val="00F30B4D"/>
    <w:rsid w:val="00F30D1E"/>
    <w:rsid w:val="00F31B5A"/>
    <w:rsid w:val="00F3315D"/>
    <w:rsid w:val="00F37C42"/>
    <w:rsid w:val="00F411DC"/>
    <w:rsid w:val="00F4252A"/>
    <w:rsid w:val="00F43772"/>
    <w:rsid w:val="00F45D73"/>
    <w:rsid w:val="00F52B69"/>
    <w:rsid w:val="00F54405"/>
    <w:rsid w:val="00F558AD"/>
    <w:rsid w:val="00F57B33"/>
    <w:rsid w:val="00F602CE"/>
    <w:rsid w:val="00F6371A"/>
    <w:rsid w:val="00F7078B"/>
    <w:rsid w:val="00F7438E"/>
    <w:rsid w:val="00F82CD5"/>
    <w:rsid w:val="00F85E2E"/>
    <w:rsid w:val="00F93AB1"/>
    <w:rsid w:val="00FA3607"/>
    <w:rsid w:val="00FA4B70"/>
    <w:rsid w:val="00FB4555"/>
    <w:rsid w:val="00FC4BD2"/>
    <w:rsid w:val="00FD092E"/>
    <w:rsid w:val="00FD29F1"/>
    <w:rsid w:val="00FE4E78"/>
    <w:rsid w:val="00FF1965"/>
    <w:rsid w:val="00FF1D74"/>
    <w:rsid w:val="00FF2E17"/>
    <w:rsid w:val="00FF31F7"/>
    <w:rsid w:val="01005953"/>
    <w:rsid w:val="01100DB6"/>
    <w:rsid w:val="0127533C"/>
    <w:rsid w:val="013C690E"/>
    <w:rsid w:val="01AA1AC9"/>
    <w:rsid w:val="01ED7BE6"/>
    <w:rsid w:val="01EF3980"/>
    <w:rsid w:val="022623D3"/>
    <w:rsid w:val="0239375A"/>
    <w:rsid w:val="02AA0D5E"/>
    <w:rsid w:val="02DF23B3"/>
    <w:rsid w:val="02E903CF"/>
    <w:rsid w:val="03634626"/>
    <w:rsid w:val="037A04B1"/>
    <w:rsid w:val="03F4527E"/>
    <w:rsid w:val="04657F2A"/>
    <w:rsid w:val="047F4CE4"/>
    <w:rsid w:val="04A02746"/>
    <w:rsid w:val="04AF192D"/>
    <w:rsid w:val="050A1187"/>
    <w:rsid w:val="0515496C"/>
    <w:rsid w:val="054A07EF"/>
    <w:rsid w:val="05604E9F"/>
    <w:rsid w:val="05D90BCF"/>
    <w:rsid w:val="06085010"/>
    <w:rsid w:val="062C0CFF"/>
    <w:rsid w:val="0684226E"/>
    <w:rsid w:val="06BF3F2A"/>
    <w:rsid w:val="06C158EB"/>
    <w:rsid w:val="06CE1DB6"/>
    <w:rsid w:val="06DF1110"/>
    <w:rsid w:val="070677A2"/>
    <w:rsid w:val="07A3368B"/>
    <w:rsid w:val="07DD7C89"/>
    <w:rsid w:val="07ED3DDA"/>
    <w:rsid w:val="08595E47"/>
    <w:rsid w:val="08DD09D6"/>
    <w:rsid w:val="09581E0B"/>
    <w:rsid w:val="0963712E"/>
    <w:rsid w:val="098470A4"/>
    <w:rsid w:val="09C676BC"/>
    <w:rsid w:val="0A7D53C7"/>
    <w:rsid w:val="0ADD6A6C"/>
    <w:rsid w:val="0AF8471C"/>
    <w:rsid w:val="0B246449"/>
    <w:rsid w:val="0B550CF8"/>
    <w:rsid w:val="0B882E7B"/>
    <w:rsid w:val="0BA650B0"/>
    <w:rsid w:val="0BCE560B"/>
    <w:rsid w:val="0BE43E2A"/>
    <w:rsid w:val="0C460641"/>
    <w:rsid w:val="0C5821E5"/>
    <w:rsid w:val="0C712EE4"/>
    <w:rsid w:val="0C9936F9"/>
    <w:rsid w:val="0CAC6154"/>
    <w:rsid w:val="0CE95B9C"/>
    <w:rsid w:val="0D0C53E6"/>
    <w:rsid w:val="0D1349C7"/>
    <w:rsid w:val="0D416D84"/>
    <w:rsid w:val="0D975457"/>
    <w:rsid w:val="0DC03E2A"/>
    <w:rsid w:val="0E422384"/>
    <w:rsid w:val="0EB2020F"/>
    <w:rsid w:val="0F022F45"/>
    <w:rsid w:val="0F6406CF"/>
    <w:rsid w:val="0F6E6A60"/>
    <w:rsid w:val="10056A22"/>
    <w:rsid w:val="100920B1"/>
    <w:rsid w:val="10546557"/>
    <w:rsid w:val="107240FA"/>
    <w:rsid w:val="108F6A88"/>
    <w:rsid w:val="109C7737"/>
    <w:rsid w:val="10DD5A17"/>
    <w:rsid w:val="1102033E"/>
    <w:rsid w:val="114B5E4B"/>
    <w:rsid w:val="11637C73"/>
    <w:rsid w:val="118A2253"/>
    <w:rsid w:val="11AE4CBE"/>
    <w:rsid w:val="11E20E0C"/>
    <w:rsid w:val="121A05A5"/>
    <w:rsid w:val="122431D2"/>
    <w:rsid w:val="122F223E"/>
    <w:rsid w:val="125C0BBE"/>
    <w:rsid w:val="1279351E"/>
    <w:rsid w:val="12E60488"/>
    <w:rsid w:val="13031039"/>
    <w:rsid w:val="132F62D2"/>
    <w:rsid w:val="13337B71"/>
    <w:rsid w:val="137F5BB2"/>
    <w:rsid w:val="13D529D6"/>
    <w:rsid w:val="13F015BE"/>
    <w:rsid w:val="13F05A62"/>
    <w:rsid w:val="13F7060C"/>
    <w:rsid w:val="14830684"/>
    <w:rsid w:val="14D7452C"/>
    <w:rsid w:val="1590060B"/>
    <w:rsid w:val="15C10C2A"/>
    <w:rsid w:val="162F4567"/>
    <w:rsid w:val="164E081E"/>
    <w:rsid w:val="16587E18"/>
    <w:rsid w:val="169F551D"/>
    <w:rsid w:val="16FE45D7"/>
    <w:rsid w:val="17C3523B"/>
    <w:rsid w:val="17E458DD"/>
    <w:rsid w:val="18896266"/>
    <w:rsid w:val="18AE0E0D"/>
    <w:rsid w:val="18E90CD1"/>
    <w:rsid w:val="19057CCA"/>
    <w:rsid w:val="19090587"/>
    <w:rsid w:val="19874772"/>
    <w:rsid w:val="19C2100C"/>
    <w:rsid w:val="19CA28B1"/>
    <w:rsid w:val="1A246465"/>
    <w:rsid w:val="1A3318B1"/>
    <w:rsid w:val="1A9501BE"/>
    <w:rsid w:val="1B0460A7"/>
    <w:rsid w:val="1B0A6A4E"/>
    <w:rsid w:val="1B3020AA"/>
    <w:rsid w:val="1B642891"/>
    <w:rsid w:val="1B747941"/>
    <w:rsid w:val="1BA67C97"/>
    <w:rsid w:val="1BB01C4A"/>
    <w:rsid w:val="1BB47375"/>
    <w:rsid w:val="1BED2887"/>
    <w:rsid w:val="1C275D99"/>
    <w:rsid w:val="1CC31212"/>
    <w:rsid w:val="1D526E45"/>
    <w:rsid w:val="1DB01DBE"/>
    <w:rsid w:val="1DD82E36"/>
    <w:rsid w:val="1DDD7152"/>
    <w:rsid w:val="1EAE27A1"/>
    <w:rsid w:val="1ECE699F"/>
    <w:rsid w:val="1ED8648A"/>
    <w:rsid w:val="1F5642FC"/>
    <w:rsid w:val="1FC97167"/>
    <w:rsid w:val="1FD06747"/>
    <w:rsid w:val="1FE21111"/>
    <w:rsid w:val="201C7BDE"/>
    <w:rsid w:val="204038CD"/>
    <w:rsid w:val="206F7D0E"/>
    <w:rsid w:val="20B931CC"/>
    <w:rsid w:val="217640C9"/>
    <w:rsid w:val="219F63D1"/>
    <w:rsid w:val="21B52B49"/>
    <w:rsid w:val="2205092A"/>
    <w:rsid w:val="220A6445"/>
    <w:rsid w:val="221029F2"/>
    <w:rsid w:val="22B562CA"/>
    <w:rsid w:val="22C601F3"/>
    <w:rsid w:val="23490CEA"/>
    <w:rsid w:val="23BC498C"/>
    <w:rsid w:val="24021943"/>
    <w:rsid w:val="241E4176"/>
    <w:rsid w:val="248C2EE6"/>
    <w:rsid w:val="248C48CE"/>
    <w:rsid w:val="24CD1C80"/>
    <w:rsid w:val="24D10C3B"/>
    <w:rsid w:val="24D708E2"/>
    <w:rsid w:val="2504136D"/>
    <w:rsid w:val="25815F5C"/>
    <w:rsid w:val="259049AF"/>
    <w:rsid w:val="25BF7042"/>
    <w:rsid w:val="261633E0"/>
    <w:rsid w:val="26192BF6"/>
    <w:rsid w:val="261E3C8C"/>
    <w:rsid w:val="26782C7D"/>
    <w:rsid w:val="26897480"/>
    <w:rsid w:val="274A6DDF"/>
    <w:rsid w:val="27527607"/>
    <w:rsid w:val="27826579"/>
    <w:rsid w:val="278D24A1"/>
    <w:rsid w:val="281F026C"/>
    <w:rsid w:val="29051210"/>
    <w:rsid w:val="292D5153"/>
    <w:rsid w:val="29A44ECD"/>
    <w:rsid w:val="2A070C05"/>
    <w:rsid w:val="2A2B739C"/>
    <w:rsid w:val="2B0D4CF3"/>
    <w:rsid w:val="2B595843"/>
    <w:rsid w:val="2BFD6B16"/>
    <w:rsid w:val="2C4A5124"/>
    <w:rsid w:val="2C4D3779"/>
    <w:rsid w:val="2C9C24CB"/>
    <w:rsid w:val="2CC31AFF"/>
    <w:rsid w:val="2CD02995"/>
    <w:rsid w:val="2CD2313D"/>
    <w:rsid w:val="2CF3191C"/>
    <w:rsid w:val="2D093197"/>
    <w:rsid w:val="2D0D4B37"/>
    <w:rsid w:val="2D452F54"/>
    <w:rsid w:val="2D522E91"/>
    <w:rsid w:val="2D746964"/>
    <w:rsid w:val="2DC12EEE"/>
    <w:rsid w:val="2DCC2C44"/>
    <w:rsid w:val="2E024EC2"/>
    <w:rsid w:val="2E582C20"/>
    <w:rsid w:val="2E675F08"/>
    <w:rsid w:val="2E6D7F83"/>
    <w:rsid w:val="2EBE26C3"/>
    <w:rsid w:val="2EEB534C"/>
    <w:rsid w:val="2F3E7AF1"/>
    <w:rsid w:val="2F4405B8"/>
    <w:rsid w:val="2F46399F"/>
    <w:rsid w:val="2F8A246F"/>
    <w:rsid w:val="2FCD67FF"/>
    <w:rsid w:val="2FEA115F"/>
    <w:rsid w:val="2FEA5603"/>
    <w:rsid w:val="30825925"/>
    <w:rsid w:val="30A56EA8"/>
    <w:rsid w:val="30BF083E"/>
    <w:rsid w:val="30DA7426"/>
    <w:rsid w:val="31722CBF"/>
    <w:rsid w:val="31D06241"/>
    <w:rsid w:val="32180206"/>
    <w:rsid w:val="327C2C35"/>
    <w:rsid w:val="32D6161D"/>
    <w:rsid w:val="32E60304"/>
    <w:rsid w:val="333F7A14"/>
    <w:rsid w:val="335336C1"/>
    <w:rsid w:val="33572FB0"/>
    <w:rsid w:val="33576B0C"/>
    <w:rsid w:val="3361798A"/>
    <w:rsid w:val="33EC67DF"/>
    <w:rsid w:val="3403178A"/>
    <w:rsid w:val="342C7F98"/>
    <w:rsid w:val="34321327"/>
    <w:rsid w:val="347F1C84"/>
    <w:rsid w:val="34AB36CA"/>
    <w:rsid w:val="34C0554D"/>
    <w:rsid w:val="34D643A8"/>
    <w:rsid w:val="34F75D34"/>
    <w:rsid w:val="35040F15"/>
    <w:rsid w:val="35BD61F5"/>
    <w:rsid w:val="35EE63BC"/>
    <w:rsid w:val="35FB037B"/>
    <w:rsid w:val="368340BC"/>
    <w:rsid w:val="369F7453"/>
    <w:rsid w:val="36B45DB4"/>
    <w:rsid w:val="36D81E78"/>
    <w:rsid w:val="372238D5"/>
    <w:rsid w:val="37313B18"/>
    <w:rsid w:val="37646801"/>
    <w:rsid w:val="376E08C8"/>
    <w:rsid w:val="377203B8"/>
    <w:rsid w:val="382B67B9"/>
    <w:rsid w:val="385C3F07"/>
    <w:rsid w:val="38730D47"/>
    <w:rsid w:val="388365F5"/>
    <w:rsid w:val="388F4F9A"/>
    <w:rsid w:val="38BC7926"/>
    <w:rsid w:val="392A002C"/>
    <w:rsid w:val="39882115"/>
    <w:rsid w:val="399D36E6"/>
    <w:rsid w:val="39F36371"/>
    <w:rsid w:val="3A0A19D1"/>
    <w:rsid w:val="3A802DEC"/>
    <w:rsid w:val="3A864276"/>
    <w:rsid w:val="3ADC7A8D"/>
    <w:rsid w:val="3AF13CEA"/>
    <w:rsid w:val="3B491430"/>
    <w:rsid w:val="3B8B15B8"/>
    <w:rsid w:val="3BF188C0"/>
    <w:rsid w:val="3C096E11"/>
    <w:rsid w:val="3C4257CA"/>
    <w:rsid w:val="3CD16DF5"/>
    <w:rsid w:val="3CE65E70"/>
    <w:rsid w:val="3D23371B"/>
    <w:rsid w:val="3DA54918"/>
    <w:rsid w:val="3E191CFA"/>
    <w:rsid w:val="3E375EB7"/>
    <w:rsid w:val="3E8B7FB1"/>
    <w:rsid w:val="3EC314F9"/>
    <w:rsid w:val="3F173D71"/>
    <w:rsid w:val="3F2226C4"/>
    <w:rsid w:val="3FA84900"/>
    <w:rsid w:val="3FE82CCE"/>
    <w:rsid w:val="3FF102E8"/>
    <w:rsid w:val="3FFF2BF2"/>
    <w:rsid w:val="403B0F00"/>
    <w:rsid w:val="404B79F8"/>
    <w:rsid w:val="40706104"/>
    <w:rsid w:val="40766A74"/>
    <w:rsid w:val="40E30BE5"/>
    <w:rsid w:val="40EF2A79"/>
    <w:rsid w:val="415C210B"/>
    <w:rsid w:val="41AF3FB7"/>
    <w:rsid w:val="41F4499C"/>
    <w:rsid w:val="42310697"/>
    <w:rsid w:val="4290203A"/>
    <w:rsid w:val="42A31D6D"/>
    <w:rsid w:val="42C341BE"/>
    <w:rsid w:val="43D83C99"/>
    <w:rsid w:val="440C749E"/>
    <w:rsid w:val="44170B63"/>
    <w:rsid w:val="4441183E"/>
    <w:rsid w:val="44421112"/>
    <w:rsid w:val="445552E9"/>
    <w:rsid w:val="446C618F"/>
    <w:rsid w:val="4491620A"/>
    <w:rsid w:val="44C1638D"/>
    <w:rsid w:val="44CB55AC"/>
    <w:rsid w:val="44DA240E"/>
    <w:rsid w:val="451900C5"/>
    <w:rsid w:val="45D55AA5"/>
    <w:rsid w:val="461B7F67"/>
    <w:rsid w:val="46671C28"/>
    <w:rsid w:val="46E42955"/>
    <w:rsid w:val="47504033"/>
    <w:rsid w:val="479D4749"/>
    <w:rsid w:val="47B71E17"/>
    <w:rsid w:val="47CA5D6C"/>
    <w:rsid w:val="48147269"/>
    <w:rsid w:val="48567BBA"/>
    <w:rsid w:val="486E2920"/>
    <w:rsid w:val="488579A8"/>
    <w:rsid w:val="48A04659"/>
    <w:rsid w:val="48C22BFF"/>
    <w:rsid w:val="48EE7ABB"/>
    <w:rsid w:val="493354CD"/>
    <w:rsid w:val="493E6095"/>
    <w:rsid w:val="49492F43"/>
    <w:rsid w:val="498875C7"/>
    <w:rsid w:val="498B5309"/>
    <w:rsid w:val="49B74350"/>
    <w:rsid w:val="49BF3765"/>
    <w:rsid w:val="49FB0E9C"/>
    <w:rsid w:val="4A595408"/>
    <w:rsid w:val="4AE8150F"/>
    <w:rsid w:val="4B0C247A"/>
    <w:rsid w:val="4B856EC5"/>
    <w:rsid w:val="4C4C3A34"/>
    <w:rsid w:val="4C6265C2"/>
    <w:rsid w:val="4CE20FB3"/>
    <w:rsid w:val="4CF12974"/>
    <w:rsid w:val="4DD54DA5"/>
    <w:rsid w:val="4DF91D24"/>
    <w:rsid w:val="4E1845E8"/>
    <w:rsid w:val="4E1C4782"/>
    <w:rsid w:val="4E326931"/>
    <w:rsid w:val="4E3D04F4"/>
    <w:rsid w:val="4E3E294A"/>
    <w:rsid w:val="4E557C94"/>
    <w:rsid w:val="4E970213"/>
    <w:rsid w:val="4E9F5C6F"/>
    <w:rsid w:val="4EEF1F8C"/>
    <w:rsid w:val="4F3A8E8B"/>
    <w:rsid w:val="4F8545A9"/>
    <w:rsid w:val="4FD333BD"/>
    <w:rsid w:val="50225C84"/>
    <w:rsid w:val="503E4E84"/>
    <w:rsid w:val="50680152"/>
    <w:rsid w:val="5091245A"/>
    <w:rsid w:val="50A15412"/>
    <w:rsid w:val="5108493A"/>
    <w:rsid w:val="51506877"/>
    <w:rsid w:val="515801C7"/>
    <w:rsid w:val="51C23B5A"/>
    <w:rsid w:val="51E05EB9"/>
    <w:rsid w:val="51E332DC"/>
    <w:rsid w:val="51EB2DE9"/>
    <w:rsid w:val="520C2D5F"/>
    <w:rsid w:val="521B7502"/>
    <w:rsid w:val="523E560F"/>
    <w:rsid w:val="525766D1"/>
    <w:rsid w:val="52CF6DA2"/>
    <w:rsid w:val="53034162"/>
    <w:rsid w:val="53407165"/>
    <w:rsid w:val="536F73C2"/>
    <w:rsid w:val="538E6122"/>
    <w:rsid w:val="53AFA3FA"/>
    <w:rsid w:val="53C134E3"/>
    <w:rsid w:val="5402266C"/>
    <w:rsid w:val="542B1BC3"/>
    <w:rsid w:val="542E4D92"/>
    <w:rsid w:val="546E5437"/>
    <w:rsid w:val="549E4761"/>
    <w:rsid w:val="54F40040"/>
    <w:rsid w:val="553C5568"/>
    <w:rsid w:val="553E1482"/>
    <w:rsid w:val="555E38D2"/>
    <w:rsid w:val="55903D8A"/>
    <w:rsid w:val="55C54829"/>
    <w:rsid w:val="56233DE8"/>
    <w:rsid w:val="564D17F1"/>
    <w:rsid w:val="56530930"/>
    <w:rsid w:val="567F1D52"/>
    <w:rsid w:val="56837A94"/>
    <w:rsid w:val="570F5142"/>
    <w:rsid w:val="578869E5"/>
    <w:rsid w:val="57DA7B88"/>
    <w:rsid w:val="58B62FDA"/>
    <w:rsid w:val="58B8154B"/>
    <w:rsid w:val="58D565A1"/>
    <w:rsid w:val="58DF4622"/>
    <w:rsid w:val="591E5852"/>
    <w:rsid w:val="59657925"/>
    <w:rsid w:val="597B1964"/>
    <w:rsid w:val="597E4543"/>
    <w:rsid w:val="59AD307A"/>
    <w:rsid w:val="59C90F04"/>
    <w:rsid w:val="5A330905"/>
    <w:rsid w:val="5A530D01"/>
    <w:rsid w:val="5A736072"/>
    <w:rsid w:val="5AD05BCC"/>
    <w:rsid w:val="5AD92379"/>
    <w:rsid w:val="5AF076C2"/>
    <w:rsid w:val="5B37709F"/>
    <w:rsid w:val="5B4C1EBB"/>
    <w:rsid w:val="5B5F2EAE"/>
    <w:rsid w:val="5B8B207C"/>
    <w:rsid w:val="5BA069F2"/>
    <w:rsid w:val="5BC7251F"/>
    <w:rsid w:val="5BC92AEC"/>
    <w:rsid w:val="5C225659"/>
    <w:rsid w:val="5CC318B9"/>
    <w:rsid w:val="5CFF690A"/>
    <w:rsid w:val="5D4F4D46"/>
    <w:rsid w:val="5D5A0E23"/>
    <w:rsid w:val="5D616655"/>
    <w:rsid w:val="5D6F00C7"/>
    <w:rsid w:val="5D8A795A"/>
    <w:rsid w:val="5DD706A8"/>
    <w:rsid w:val="5DE97722"/>
    <w:rsid w:val="5DEB0D50"/>
    <w:rsid w:val="5E203FF8"/>
    <w:rsid w:val="5E2A4B91"/>
    <w:rsid w:val="5EE60C58"/>
    <w:rsid w:val="5F261904"/>
    <w:rsid w:val="5F4F0E5B"/>
    <w:rsid w:val="5FA7663E"/>
    <w:rsid w:val="60597BC3"/>
    <w:rsid w:val="60736193"/>
    <w:rsid w:val="60B62814"/>
    <w:rsid w:val="60E8429D"/>
    <w:rsid w:val="62113BDF"/>
    <w:rsid w:val="621760A0"/>
    <w:rsid w:val="62261C1B"/>
    <w:rsid w:val="62467BC8"/>
    <w:rsid w:val="62761849"/>
    <w:rsid w:val="62B2099E"/>
    <w:rsid w:val="62CA6A4B"/>
    <w:rsid w:val="62CB1F95"/>
    <w:rsid w:val="62EC6C22"/>
    <w:rsid w:val="6381582A"/>
    <w:rsid w:val="638C3D00"/>
    <w:rsid w:val="639C327D"/>
    <w:rsid w:val="639E1EA7"/>
    <w:rsid w:val="63CB2A7A"/>
    <w:rsid w:val="64ED11A3"/>
    <w:rsid w:val="65490008"/>
    <w:rsid w:val="657C227E"/>
    <w:rsid w:val="65E87314"/>
    <w:rsid w:val="662A2143"/>
    <w:rsid w:val="66784098"/>
    <w:rsid w:val="66A01EEA"/>
    <w:rsid w:val="672F50CE"/>
    <w:rsid w:val="6732696D"/>
    <w:rsid w:val="67335B2D"/>
    <w:rsid w:val="674A1F08"/>
    <w:rsid w:val="6780592A"/>
    <w:rsid w:val="678533E6"/>
    <w:rsid w:val="67855FCC"/>
    <w:rsid w:val="679D2438"/>
    <w:rsid w:val="68FE744E"/>
    <w:rsid w:val="692B7FA2"/>
    <w:rsid w:val="693365A4"/>
    <w:rsid w:val="694E189C"/>
    <w:rsid w:val="698F00A6"/>
    <w:rsid w:val="69951B60"/>
    <w:rsid w:val="69EC175E"/>
    <w:rsid w:val="6A2627B9"/>
    <w:rsid w:val="6A6D262D"/>
    <w:rsid w:val="6AC36259"/>
    <w:rsid w:val="6B362BB9"/>
    <w:rsid w:val="6B4FB0F7"/>
    <w:rsid w:val="6BA25945"/>
    <w:rsid w:val="6BC009EB"/>
    <w:rsid w:val="6C10523F"/>
    <w:rsid w:val="6C661592"/>
    <w:rsid w:val="6C852557"/>
    <w:rsid w:val="6CD8527C"/>
    <w:rsid w:val="6D382E30"/>
    <w:rsid w:val="6D4A2C62"/>
    <w:rsid w:val="6D540794"/>
    <w:rsid w:val="6D6D06AA"/>
    <w:rsid w:val="6D877A12"/>
    <w:rsid w:val="6E027099"/>
    <w:rsid w:val="6E47333C"/>
    <w:rsid w:val="6E4B2301"/>
    <w:rsid w:val="6E8B1784"/>
    <w:rsid w:val="6E9344D3"/>
    <w:rsid w:val="6E991117"/>
    <w:rsid w:val="6F0B6421"/>
    <w:rsid w:val="6F4436E1"/>
    <w:rsid w:val="6F4B4A6F"/>
    <w:rsid w:val="6F8C7562"/>
    <w:rsid w:val="6FEF1B60"/>
    <w:rsid w:val="6FF46E64"/>
    <w:rsid w:val="6FF869A5"/>
    <w:rsid w:val="706D455C"/>
    <w:rsid w:val="711141AC"/>
    <w:rsid w:val="71175551"/>
    <w:rsid w:val="711F61B4"/>
    <w:rsid w:val="71A87F57"/>
    <w:rsid w:val="71D62D16"/>
    <w:rsid w:val="71D84CE0"/>
    <w:rsid w:val="71D864EE"/>
    <w:rsid w:val="725400DF"/>
    <w:rsid w:val="727C24B1"/>
    <w:rsid w:val="728E76BE"/>
    <w:rsid w:val="73B13A3B"/>
    <w:rsid w:val="73B9469D"/>
    <w:rsid w:val="73C6500C"/>
    <w:rsid w:val="73EA181B"/>
    <w:rsid w:val="73F358A7"/>
    <w:rsid w:val="740578E3"/>
    <w:rsid w:val="7443040B"/>
    <w:rsid w:val="75185D99"/>
    <w:rsid w:val="7564688B"/>
    <w:rsid w:val="756E5C8B"/>
    <w:rsid w:val="75874327"/>
    <w:rsid w:val="75E214D5"/>
    <w:rsid w:val="7612431B"/>
    <w:rsid w:val="761E6A3A"/>
    <w:rsid w:val="76441E30"/>
    <w:rsid w:val="76562678"/>
    <w:rsid w:val="76E442A3"/>
    <w:rsid w:val="77124B1F"/>
    <w:rsid w:val="773A78A3"/>
    <w:rsid w:val="773B6FD2"/>
    <w:rsid w:val="77462732"/>
    <w:rsid w:val="77707769"/>
    <w:rsid w:val="780F0F07"/>
    <w:rsid w:val="78175E36"/>
    <w:rsid w:val="7819395D"/>
    <w:rsid w:val="78436C2C"/>
    <w:rsid w:val="785D5F3F"/>
    <w:rsid w:val="78C64775"/>
    <w:rsid w:val="78F041D9"/>
    <w:rsid w:val="793622EC"/>
    <w:rsid w:val="79501E29"/>
    <w:rsid w:val="797F1EE5"/>
    <w:rsid w:val="79882B23"/>
    <w:rsid w:val="79E473B8"/>
    <w:rsid w:val="7A184D02"/>
    <w:rsid w:val="7A3507F6"/>
    <w:rsid w:val="7A392094"/>
    <w:rsid w:val="7A513882"/>
    <w:rsid w:val="7B030B40"/>
    <w:rsid w:val="7B0A61F0"/>
    <w:rsid w:val="7B1A6C29"/>
    <w:rsid w:val="7B825304"/>
    <w:rsid w:val="7B8B2DC3"/>
    <w:rsid w:val="7BBC2712"/>
    <w:rsid w:val="7C792C1C"/>
    <w:rsid w:val="7C833A9B"/>
    <w:rsid w:val="7CBB668B"/>
    <w:rsid w:val="7CE73217"/>
    <w:rsid w:val="7CED1E2D"/>
    <w:rsid w:val="7CF46746"/>
    <w:rsid w:val="7D0411CC"/>
    <w:rsid w:val="7D781125"/>
    <w:rsid w:val="7D935F5F"/>
    <w:rsid w:val="7D93745B"/>
    <w:rsid w:val="7DA41F1A"/>
    <w:rsid w:val="7DC10D1E"/>
    <w:rsid w:val="7DE62533"/>
    <w:rsid w:val="7DFE2C22"/>
    <w:rsid w:val="7E176507"/>
    <w:rsid w:val="7E2F1ED9"/>
    <w:rsid w:val="7EBC09D3"/>
    <w:rsid w:val="7EF23159"/>
    <w:rsid w:val="7F233313"/>
    <w:rsid w:val="7F6979A4"/>
    <w:rsid w:val="7F8518D8"/>
    <w:rsid w:val="7F9F425C"/>
    <w:rsid w:val="7FFB02AB"/>
    <w:rsid w:val="9EDD5FF0"/>
    <w:rsid w:val="E377FFF3"/>
    <w:rsid w:val="F77F062D"/>
    <w:rsid w:val="F7FE911A"/>
    <w:rsid w:val="FBFF15E3"/>
    <w:rsid w:val="FDDF31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unhideWhenUsed/>
    <w:qFormat/>
    <w:uiPriority w:val="99"/>
    <w:pPr>
      <w:jc w:val="left"/>
    </w:pPr>
  </w:style>
  <w:style w:type="paragraph" w:styleId="5">
    <w:name w:val="Body Text"/>
    <w:basedOn w:val="1"/>
    <w:next w:val="6"/>
    <w:qFormat/>
    <w:uiPriority w:val="0"/>
    <w:pPr>
      <w:spacing w:after="120"/>
    </w:pPr>
    <w:rPr>
      <w:rFonts w:ascii="Times New Roman" w:hAnsi="Times New Roman"/>
      <w:szCs w:val="24"/>
    </w:rPr>
  </w:style>
  <w:style w:type="paragraph" w:styleId="6">
    <w:name w:val="toc 5"/>
    <w:basedOn w:val="1"/>
    <w:next w:val="1"/>
    <w:qFormat/>
    <w:uiPriority w:val="0"/>
    <w:pPr>
      <w:ind w:left="1680" w:leftChars="800"/>
    </w:pPr>
    <w:rPr>
      <w:rFonts w:ascii="Times New Roman" w:hAnsi="Times New Roman" w:eastAsia="宋体" w:cs="Times New Roman"/>
    </w:rPr>
  </w:style>
  <w:style w:type="paragraph" w:styleId="7">
    <w:name w:val="Body Text Indent"/>
    <w:basedOn w:val="1"/>
    <w:qFormat/>
    <w:uiPriority w:val="0"/>
    <w:pPr>
      <w:spacing w:after="120" w:afterLines="0" w:afterAutospacing="0"/>
      <w:ind w:left="420" w:leftChars="200"/>
    </w:pPr>
  </w:style>
  <w:style w:type="paragraph" w:styleId="8">
    <w:name w:val="Balloon Text"/>
    <w:basedOn w:val="1"/>
    <w:link w:val="23"/>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4"/>
    <w:next w:val="4"/>
    <w:link w:val="25"/>
    <w:semiHidden/>
    <w:unhideWhenUsed/>
    <w:qFormat/>
    <w:uiPriority w:val="99"/>
    <w:rPr>
      <w:b/>
      <w:bCs/>
    </w:rPr>
  </w:style>
  <w:style w:type="paragraph" w:styleId="13">
    <w:name w:val="Body Text First Indent 2"/>
    <w:basedOn w:val="7"/>
    <w:next w:val="1"/>
    <w:qFormat/>
    <w:uiPriority w:val="0"/>
    <w:pPr>
      <w:ind w:firstLine="420" w:firstLineChars="200"/>
    </w:pPr>
  </w:style>
  <w:style w:type="character" w:styleId="16">
    <w:name w:val="Hyperlink"/>
    <w:basedOn w:val="15"/>
    <w:semiHidden/>
    <w:unhideWhenUsed/>
    <w:qFormat/>
    <w:uiPriority w:val="99"/>
    <w:rPr>
      <w:color w:val="0000FF"/>
      <w:u w:val="single"/>
    </w:rPr>
  </w:style>
  <w:style w:type="character" w:styleId="17">
    <w:name w:val="annotation reference"/>
    <w:basedOn w:val="15"/>
    <w:semiHidden/>
    <w:unhideWhenUsed/>
    <w:qFormat/>
    <w:uiPriority w:val="99"/>
    <w:rPr>
      <w:sz w:val="21"/>
      <w:szCs w:val="21"/>
    </w:rPr>
  </w:style>
  <w:style w:type="paragraph" w:customStyle="1" w:styleId="18">
    <w:name w:val="正文文字"/>
    <w:basedOn w:val="1"/>
    <w:next w:val="1"/>
    <w:qFormat/>
    <w:uiPriority w:val="0"/>
    <w:pPr>
      <w:spacing w:after="120"/>
    </w:pPr>
    <w:rPr>
      <w:rFonts w:ascii="Calibri" w:hAnsi="Calibri" w:eastAsia="宋体" w:cs="Times New Roman"/>
    </w:rPr>
  </w:style>
  <w:style w:type="paragraph" w:customStyle="1" w:styleId="1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
    <w:name w:val="彩色列表 - 着色 11"/>
    <w:basedOn w:val="1"/>
    <w:qFormat/>
    <w:uiPriority w:val="34"/>
    <w:pPr>
      <w:spacing w:line="440" w:lineRule="exact"/>
      <w:ind w:firstLine="420" w:firstLineChars="200"/>
    </w:pPr>
    <w:rPr>
      <w:rFonts w:ascii="Arial" w:hAnsi="Arial"/>
      <w:szCs w:val="24"/>
    </w:rPr>
  </w:style>
  <w:style w:type="character" w:customStyle="1" w:styleId="21">
    <w:name w:val="页眉 Char"/>
    <w:basedOn w:val="15"/>
    <w:link w:val="10"/>
    <w:qFormat/>
    <w:uiPriority w:val="99"/>
    <w:rPr>
      <w:rFonts w:ascii="Calibri" w:hAnsi="Calibri" w:eastAsia="宋体" w:cs="Times New Roman"/>
      <w:sz w:val="18"/>
      <w:szCs w:val="18"/>
    </w:rPr>
  </w:style>
  <w:style w:type="character" w:customStyle="1" w:styleId="22">
    <w:name w:val="页脚 Char"/>
    <w:basedOn w:val="15"/>
    <w:link w:val="9"/>
    <w:qFormat/>
    <w:uiPriority w:val="99"/>
    <w:rPr>
      <w:rFonts w:ascii="Calibri" w:hAnsi="Calibri" w:eastAsia="宋体" w:cs="Times New Roman"/>
      <w:sz w:val="18"/>
      <w:szCs w:val="18"/>
    </w:rPr>
  </w:style>
  <w:style w:type="character" w:customStyle="1" w:styleId="23">
    <w:name w:val="批注框文本 Char"/>
    <w:basedOn w:val="15"/>
    <w:link w:val="8"/>
    <w:semiHidden/>
    <w:qFormat/>
    <w:uiPriority w:val="99"/>
    <w:rPr>
      <w:rFonts w:ascii="Calibri" w:hAnsi="Calibri" w:eastAsia="宋体" w:cs="Times New Roman"/>
      <w:sz w:val="18"/>
      <w:szCs w:val="18"/>
    </w:rPr>
  </w:style>
  <w:style w:type="character" w:customStyle="1" w:styleId="24">
    <w:name w:val="批注文字 Char"/>
    <w:basedOn w:val="15"/>
    <w:link w:val="4"/>
    <w:qFormat/>
    <w:uiPriority w:val="99"/>
    <w:rPr>
      <w:rFonts w:ascii="Calibri" w:hAnsi="Calibri" w:eastAsia="宋体" w:cs="Times New Roman"/>
    </w:rPr>
  </w:style>
  <w:style w:type="character" w:customStyle="1" w:styleId="25">
    <w:name w:val="批注主题 Char"/>
    <w:basedOn w:val="24"/>
    <w:link w:val="12"/>
    <w:semiHidden/>
    <w:qFormat/>
    <w:uiPriority w:val="99"/>
    <w:rPr>
      <w:rFonts w:ascii="Calibri" w:hAnsi="Calibri" w:eastAsia="宋体" w:cs="Times New Roman"/>
      <w:b/>
      <w:bCs/>
    </w:rPr>
  </w:style>
  <w:style w:type="paragraph" w:styleId="26">
    <w:name w:val="List Paragraph"/>
    <w:basedOn w:val="1"/>
    <w:qFormat/>
    <w:uiPriority w:val="34"/>
    <w:pPr>
      <w:ind w:firstLine="420" w:firstLineChars="200"/>
    </w:pPr>
  </w:style>
  <w:style w:type="paragraph" w:customStyle="1" w:styleId="27">
    <w:name w:val="修订1"/>
    <w:hidden/>
    <w:semiHidden/>
    <w:qFormat/>
    <w:uiPriority w:val="99"/>
    <w:rPr>
      <w:rFonts w:ascii="Calibri" w:hAnsi="Calibri" w:eastAsia="宋体" w:cs="Times New Roman"/>
      <w:kern w:val="2"/>
      <w:sz w:val="21"/>
      <w:szCs w:val="22"/>
      <w:lang w:val="en-US" w:eastAsia="zh-CN" w:bidi="ar-SA"/>
    </w:rPr>
  </w:style>
  <w:style w:type="paragraph" w:customStyle="1" w:styleId="28">
    <w:name w:val="修订2"/>
    <w:hidden/>
    <w:semiHidden/>
    <w:qFormat/>
    <w:uiPriority w:val="99"/>
    <w:rPr>
      <w:rFonts w:ascii="Calibri" w:hAnsi="Calibri" w:eastAsia="宋体" w:cs="Times New Roman"/>
      <w:kern w:val="2"/>
      <w:sz w:val="21"/>
      <w:szCs w:val="22"/>
      <w:lang w:val="en-US" w:eastAsia="zh-CN" w:bidi="ar-SA"/>
    </w:rPr>
  </w:style>
  <w:style w:type="character" w:customStyle="1" w:styleId="29">
    <w:name w:val="font11"/>
    <w:basedOn w:val="15"/>
    <w:qFormat/>
    <w:uiPriority w:val="0"/>
    <w:rPr>
      <w:rFonts w:hint="eastAsia" w:ascii="仿宋_GB2312" w:eastAsia="仿宋_GB2312" w:cs="仿宋_GB2312"/>
      <w:color w:val="000000"/>
      <w:sz w:val="24"/>
      <w:szCs w:val="24"/>
      <w:u w:val="none"/>
    </w:rPr>
  </w:style>
  <w:style w:type="paragraph" w:customStyle="1" w:styleId="30">
    <w:name w:val="列出段落11"/>
    <w:basedOn w:val="1"/>
    <w:qFormat/>
    <w:uiPriority w:val="99"/>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19</Pages>
  <Words>5909</Words>
  <Characters>5986</Characters>
  <Lines>31</Lines>
  <Paragraphs>8</Paragraphs>
  <TotalTime>38</TotalTime>
  <ScaleCrop>false</ScaleCrop>
  <LinksUpToDate>false</LinksUpToDate>
  <CharactersWithSpaces>6103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2023-03-23T08:43:00Z</dcterms:created>
  <dc:creator>任俊学</dc:creator>
  <cp:lastModifiedBy>WPS_1463621685</cp:lastModifiedBy>
  <cp:lastPrinted>2025-07-11T02:52:00Z</cp:lastPrinted>
  <dcterms:modified xsi:type="dcterms:W3CDTF">2025-08-04T08:20:47Z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06777EB61946467F940FC2D1AFE4BD76_13</vt:lpwstr>
  </property>
  <property fmtid="{D5CDD505-2E9C-101B-9397-08002B2CF9AE}" pid="4" name="KSOTemplateDocerSaveRecord">
    <vt:lpwstr>eyJoZGlkIjoiZGFhOGM3YjRhOTQ5MzI4ODk2YmJjYjVlNWY4ZmU2YTEiLCJ1c2VySWQiOiIyMTU4NDY5MDAifQ==</vt:lpwstr>
  </property>
</Properties>
</file>