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7D49A">
      <w:pPr>
        <w:pStyle w:val="3"/>
        <w:spacing w:line="360" w:lineRule="auto"/>
        <w:jc w:val="left"/>
        <w:rPr>
          <w:rFonts w:eastAsia="仿宋_GB2312"/>
          <w:color w:val="000000"/>
          <w:sz w:val="32"/>
          <w:szCs w:val="32"/>
        </w:rPr>
      </w:pPr>
      <w:r>
        <w:rPr>
          <w:rFonts w:hint="eastAsia" w:eastAsia="仿宋_GB2312"/>
          <w:color w:val="000000"/>
          <w:sz w:val="32"/>
          <w:szCs w:val="32"/>
        </w:rPr>
        <w:t>附件1：</w:t>
      </w:r>
    </w:p>
    <w:p w14:paraId="1863160A">
      <w:pPr>
        <w:widowControl/>
        <w:spacing w:line="360" w:lineRule="auto"/>
        <w:jc w:val="center"/>
        <w:outlineLvl w:val="0"/>
        <w:rPr>
          <w:rFonts w:hint="eastAsia" w:ascii="Times New Roman Regular" w:hAnsi="Times New Roman Regular" w:eastAsia="方正小标宋简体" w:cs="Times New Roman Regular"/>
          <w:sz w:val="44"/>
          <w:szCs w:val="44"/>
        </w:rPr>
      </w:pPr>
      <w:r>
        <w:rPr>
          <w:rFonts w:ascii="Times New Roman Regular" w:hAnsi="Times New Roman Regular" w:eastAsia="方正小标宋简体" w:cs="Times New Roman Regular"/>
          <w:color w:val="000000"/>
          <w:kern w:val="0"/>
          <w:sz w:val="44"/>
          <w:szCs w:val="44"/>
          <w:lang w:eastAsia="zh-Hans" w:bidi="ar"/>
        </w:rPr>
        <w:t>申报指南</w:t>
      </w:r>
    </w:p>
    <w:p w14:paraId="02480C1F">
      <w:pPr>
        <w:spacing w:line="360" w:lineRule="auto"/>
        <w:ind w:firstLine="640" w:firstLineChars="200"/>
        <w:rPr>
          <w:rFonts w:hint="eastAsia" w:ascii="Times New Roman Regular" w:hAnsi="Times New Roman Regular" w:eastAsia="仿宋_GB2312" w:cs="Times New Roman Regular"/>
          <w:sz w:val="32"/>
          <w:szCs w:val="32"/>
        </w:rPr>
      </w:pPr>
    </w:p>
    <w:p w14:paraId="461D20FF">
      <w:pPr>
        <w:spacing w:line="360" w:lineRule="auto"/>
        <w:ind w:firstLine="640" w:firstLineChars="200"/>
        <w:rPr>
          <w:rFonts w:hint="eastAsia" w:ascii="黑体" w:hAnsi="黑体" w:eastAsia="黑体" w:cs="Times New Roman Regular"/>
          <w:sz w:val="32"/>
          <w:szCs w:val="32"/>
          <w:lang w:eastAsia="zh-Hans"/>
        </w:rPr>
      </w:pPr>
      <w:r>
        <w:rPr>
          <w:rFonts w:hint="eastAsia" w:ascii="黑体" w:hAnsi="黑体" w:eastAsia="黑体" w:cs="Times New Roman Regular"/>
          <w:sz w:val="32"/>
          <w:szCs w:val="32"/>
          <w:lang w:eastAsia="zh-Hans"/>
        </w:rPr>
        <w:t>一、</w:t>
      </w:r>
      <w:r>
        <w:rPr>
          <w:rFonts w:ascii="黑体" w:hAnsi="黑体" w:eastAsia="黑体" w:cs="Times New Roman Regular"/>
          <w:sz w:val="32"/>
          <w:szCs w:val="32"/>
          <w:lang w:eastAsia="zh-Hans"/>
        </w:rPr>
        <w:t>人才发展母基金定位</w:t>
      </w:r>
    </w:p>
    <w:p w14:paraId="24FDCE0D">
      <w:pPr>
        <w:spacing w:line="360" w:lineRule="auto"/>
        <w:ind w:firstLine="640" w:firstLineChars="200"/>
        <w:rPr>
          <w:rFonts w:hint="eastAsia"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河南省人才发展基金合伙企业（有限合伙）（</w:t>
      </w:r>
      <w:r>
        <w:rPr>
          <w:rFonts w:ascii="Times New Roman Regular" w:hAnsi="Times New Roman Regular" w:eastAsia="仿宋_GB2312" w:cs="Times New Roman Regular"/>
          <w:sz w:val="32"/>
          <w:szCs w:val="32"/>
          <w:lang w:eastAsia="zh-Hans"/>
        </w:rPr>
        <w:t>以下简称“</w:t>
      </w:r>
      <w:r>
        <w:rPr>
          <w:rFonts w:ascii="Times New Roman Regular" w:hAnsi="Times New Roman Regular" w:eastAsia="仿宋_GB2312" w:cs="Times New Roman Regular"/>
          <w:sz w:val="32"/>
          <w:szCs w:val="32"/>
        </w:rPr>
        <w:t>人才发展母基金</w:t>
      </w:r>
      <w:r>
        <w:rPr>
          <w:rFonts w:ascii="Times New Roman Regular" w:hAnsi="Times New Roman Regular" w:eastAsia="仿宋_GB2312" w:cs="Times New Roman Regular"/>
          <w:sz w:val="32"/>
          <w:szCs w:val="32"/>
          <w:lang w:eastAsia="zh-Hans"/>
        </w:rPr>
        <w:t>”）</w:t>
      </w:r>
      <w:r>
        <w:rPr>
          <w:rFonts w:ascii="Times New Roman Regular" w:hAnsi="Times New Roman Regular" w:eastAsia="仿宋_GB2312" w:cs="Times New Roman Regular"/>
          <w:sz w:val="32"/>
          <w:szCs w:val="32"/>
        </w:rPr>
        <w:t xml:space="preserve">是河南省创业投资引导基金下设的以人才为主题的母基金，基金管理人为河南投资集团汇融基金管理有限公司（以下简称“汇融基金”或“母基金管理机构”）。基金按照市场化方式运作，主要通过投资各类人才子基金，通过财政资金的引导放大作用引导社会资本支持人才创新创业和早期科技成果转化项目，促进河南省建设人才科创高地。 </w:t>
      </w:r>
    </w:p>
    <w:p w14:paraId="1207A244">
      <w:pPr>
        <w:spacing w:line="360" w:lineRule="auto"/>
        <w:ind w:firstLine="640" w:firstLineChars="200"/>
        <w:rPr>
          <w:rFonts w:hint="eastAsia" w:ascii="黑体" w:hAnsi="黑体" w:eastAsia="黑体" w:cs="Times New Roman Regular"/>
          <w:sz w:val="32"/>
          <w:szCs w:val="32"/>
          <w:lang w:eastAsia="zh-Hans"/>
        </w:rPr>
      </w:pPr>
      <w:r>
        <w:rPr>
          <w:rFonts w:hint="eastAsia" w:ascii="黑体" w:hAnsi="黑体" w:eastAsia="黑体" w:cs="Times New Roman Regular"/>
          <w:sz w:val="32"/>
          <w:szCs w:val="32"/>
          <w:lang w:eastAsia="zh-Hans"/>
        </w:rPr>
        <w:t>二、</w:t>
      </w:r>
      <w:r>
        <w:rPr>
          <w:rFonts w:ascii="黑体" w:hAnsi="黑体" w:eastAsia="黑体" w:cs="Times New Roman Regular"/>
          <w:sz w:val="32"/>
          <w:szCs w:val="32"/>
          <w:lang w:eastAsia="zh-Hans"/>
        </w:rPr>
        <w:t>子基金管理机构应具备的条件</w:t>
      </w:r>
    </w:p>
    <w:p w14:paraId="5DD5F5CC">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（一）</w:t>
      </w:r>
      <w:r>
        <w:rPr>
          <w:rFonts w:ascii="Times New Roman Regular" w:hAnsi="Times New Roman Regular" w:eastAsia="楷体_GB2312" w:cs="Times New Roman Regular"/>
          <w:sz w:val="32"/>
          <w:szCs w:val="32"/>
          <w:lang w:eastAsia="zh-Hans"/>
        </w:rPr>
        <w:t>管理资质</w:t>
      </w:r>
    </w:p>
    <w:p w14:paraId="41E2ED3D">
      <w:pPr>
        <w:spacing w:line="360" w:lineRule="auto"/>
        <w:ind w:firstLine="640" w:firstLineChars="200"/>
        <w:rPr>
          <w:rFonts w:hint="eastAsia"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子基金管理机构应至少同时满足下列条件：</w:t>
      </w:r>
    </w:p>
    <w:p w14:paraId="64D8E20D">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rPr>
        <w:t>1.</w:t>
      </w:r>
      <w:r>
        <w:rPr>
          <w:rFonts w:ascii="Times New Roman Regular" w:hAnsi="Times New Roman Regular" w:eastAsia="仿宋_GB2312" w:cs="Times New Roman Regular"/>
          <w:sz w:val="32"/>
          <w:szCs w:val="32"/>
          <w:lang w:eastAsia="zh-Hans"/>
        </w:rPr>
        <w:t>依法设立且已在中国证券投资基金业协会完成登记（如为新设机构，必须在</w:t>
      </w:r>
      <w:r>
        <w:rPr>
          <w:rFonts w:ascii="Times New Roman Regular" w:hAnsi="Times New Roman Regular" w:eastAsia="仿宋_GB2312" w:cs="Times New Roman Regular"/>
          <w:sz w:val="32"/>
          <w:szCs w:val="32"/>
        </w:rPr>
        <w:t>人才发展母基金</w:t>
      </w:r>
      <w:r>
        <w:rPr>
          <w:rFonts w:ascii="Times New Roman Regular" w:hAnsi="Times New Roman Regular" w:eastAsia="仿宋_GB2312" w:cs="Times New Roman Regular"/>
          <w:sz w:val="32"/>
          <w:szCs w:val="32"/>
          <w:lang w:eastAsia="zh-Hans"/>
        </w:rPr>
        <w:t>实际出资前</w:t>
      </w:r>
      <w:r>
        <w:rPr>
          <w:rFonts w:hint="eastAsia" w:ascii="Times New Roman Regular" w:hAnsi="Times New Roman Regular" w:eastAsia="仿宋_GB2312" w:cs="Times New Roman Regular"/>
          <w:sz w:val="32"/>
          <w:szCs w:val="32"/>
        </w:rPr>
        <w:t>完成登记</w:t>
      </w:r>
      <w:r>
        <w:rPr>
          <w:rFonts w:ascii="Times New Roman Regular" w:hAnsi="Times New Roman Regular" w:eastAsia="仿宋_GB2312" w:cs="Times New Roman Regular"/>
          <w:sz w:val="32"/>
          <w:szCs w:val="32"/>
          <w:lang w:eastAsia="zh-Hans"/>
        </w:rPr>
        <w:t>）；</w:t>
      </w:r>
    </w:p>
    <w:p w14:paraId="49EF825A">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eastAsia="仿宋_GB2312"/>
          <w:color w:val="000000"/>
          <w:sz w:val="32"/>
          <w:szCs w:val="32"/>
        </w:rPr>
        <w:t>2.子基金管理机构及主要人员（总监及以上）不存在受到监管机构通报批评或处罚等问题</w:t>
      </w:r>
      <w:r>
        <w:rPr>
          <w:rFonts w:ascii="Times New Roman Regular" w:hAnsi="Times New Roman Regular" w:eastAsia="仿宋_GB2312" w:cs="Times New Roman Regular"/>
          <w:sz w:val="32"/>
          <w:szCs w:val="32"/>
          <w:lang w:eastAsia="zh-Hans"/>
        </w:rPr>
        <w:t>；</w:t>
      </w:r>
    </w:p>
    <w:p w14:paraId="20E3A615">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eastAsia="仿宋_GB2312"/>
          <w:color w:val="000000"/>
          <w:sz w:val="32"/>
          <w:szCs w:val="32"/>
        </w:rPr>
        <w:t>3.子基金管理机构及主要人员（总监及以上）最近三年不存在重大违法违规行为</w:t>
      </w:r>
      <w:r>
        <w:rPr>
          <w:rFonts w:ascii="Times New Roman Regular" w:hAnsi="Times New Roman Regular" w:eastAsia="仿宋_GB2312" w:cs="Times New Roman Regular"/>
          <w:sz w:val="32"/>
          <w:szCs w:val="32"/>
          <w:lang w:eastAsia="zh-Hans"/>
        </w:rPr>
        <w:t>；</w:t>
      </w:r>
    </w:p>
    <w:p w14:paraId="68C29434">
      <w:pPr>
        <w:spacing w:line="360" w:lineRule="auto"/>
        <w:ind w:firstLine="640" w:firstLineChars="200"/>
        <w:rPr>
          <w:rFonts w:hint="eastAsia" w:ascii="Times New Roman Regular" w:hAnsi="Times New Roman Regular" w:eastAsia="仿宋_GB2312" w:cs="Times New Roman Regular"/>
          <w:sz w:val="32"/>
          <w:szCs w:val="32"/>
        </w:rPr>
      </w:pPr>
      <w:r>
        <w:rPr>
          <w:rFonts w:hint="eastAsia" w:eastAsia="仿宋_GB2312"/>
          <w:color w:val="000000"/>
          <w:sz w:val="32"/>
          <w:szCs w:val="32"/>
        </w:rPr>
        <w:t>4.实缴货币资本应不低于</w:t>
      </w:r>
      <w:r>
        <w:rPr>
          <w:rFonts w:eastAsia="仿宋_GB2312"/>
          <w:color w:val="000000"/>
          <w:sz w:val="32"/>
          <w:szCs w:val="32"/>
        </w:rPr>
        <w:t>1000</w:t>
      </w:r>
      <w:r>
        <w:rPr>
          <w:rFonts w:hint="eastAsia" w:eastAsia="仿宋_GB2312"/>
          <w:color w:val="000000"/>
          <w:sz w:val="32"/>
          <w:szCs w:val="32"/>
        </w:rPr>
        <w:t>万元人民币；</w:t>
      </w:r>
    </w:p>
    <w:p w14:paraId="7AF55448">
      <w:pPr>
        <w:spacing w:line="360" w:lineRule="auto"/>
        <w:ind w:firstLine="640" w:firstLineChars="200"/>
        <w:rPr>
          <w:rFonts w:hint="eastAsia" w:ascii="Times New Roman Regular" w:hAnsi="Times New Roman Regular" w:eastAsia="楷体_GB2312" w:cs="Times New Roman Regular"/>
          <w:sz w:val="32"/>
          <w:szCs w:val="32"/>
        </w:rPr>
      </w:pPr>
      <w:r>
        <w:rPr>
          <w:rFonts w:hint="eastAsia" w:eastAsia="仿宋_GB2312"/>
          <w:color w:val="000000"/>
          <w:sz w:val="32"/>
          <w:szCs w:val="32"/>
        </w:rPr>
        <w:t>5.保持良好的财务状况</w:t>
      </w:r>
      <w:r>
        <w:rPr>
          <w:rFonts w:ascii="Times New Roman Regular" w:hAnsi="Times New Roman Regular" w:eastAsia="仿宋_GB2312" w:cs="Times New Roman Regular"/>
          <w:sz w:val="32"/>
          <w:szCs w:val="32"/>
          <w:lang w:eastAsia="zh-Hans"/>
        </w:rPr>
        <w:t>。</w:t>
      </w:r>
    </w:p>
    <w:p w14:paraId="6F3BDAB0">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（二）</w:t>
      </w:r>
      <w:r>
        <w:rPr>
          <w:rFonts w:ascii="Times New Roman Regular" w:hAnsi="Times New Roman Regular" w:eastAsia="楷体_GB2312" w:cs="Times New Roman Regular"/>
          <w:sz w:val="32"/>
          <w:szCs w:val="32"/>
          <w:lang w:eastAsia="zh-Hans"/>
        </w:rPr>
        <w:t>管理团队</w:t>
      </w:r>
    </w:p>
    <w:p w14:paraId="05735DCA">
      <w:pPr>
        <w:pStyle w:val="3"/>
        <w:spacing w:line="360" w:lineRule="auto"/>
        <w:ind w:firstLine="641"/>
        <w:rPr>
          <w:rFonts w:hint="eastAsia"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lang w:eastAsia="zh-Hans"/>
        </w:rPr>
        <w:t>子基金管理机构至少有3名具备3年以上投资经验或相关行业经验的专职高级管理人员，高级管理人员是指在子基金管理机构担任总监及以上职务或相当职务的管理人员。</w:t>
      </w:r>
    </w:p>
    <w:p w14:paraId="475691BC">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（三）</w:t>
      </w:r>
      <w:r>
        <w:rPr>
          <w:rFonts w:ascii="Times New Roman Regular" w:hAnsi="Times New Roman Regular" w:eastAsia="楷体_GB2312" w:cs="Times New Roman Regular"/>
          <w:sz w:val="32"/>
          <w:szCs w:val="32"/>
          <w:lang w:eastAsia="zh-Hans"/>
        </w:rPr>
        <w:t>管理制度</w:t>
      </w:r>
    </w:p>
    <w:p w14:paraId="62A09A0F">
      <w:pPr>
        <w:spacing w:line="360" w:lineRule="auto"/>
        <w:ind w:firstLine="640" w:firstLineChars="200"/>
        <w:rPr>
          <w:rFonts w:hint="eastAsia" w:ascii="Times New Roman Regular" w:hAnsi="Times New Roman Regular" w:eastAsia="楷体_GB2312" w:cs="Times New Roman Regular"/>
          <w:sz w:val="32"/>
          <w:szCs w:val="32"/>
          <w:lang w:eastAsia="zh-Hans"/>
        </w:rPr>
      </w:pPr>
      <w:r>
        <w:rPr>
          <w:rFonts w:ascii="Times New Roman Regular" w:hAnsi="Times New Roman Regular" w:eastAsia="仿宋_GB2312" w:cs="Times New Roman Regular"/>
          <w:sz w:val="32"/>
          <w:szCs w:val="32"/>
          <w:lang w:eastAsia="zh-Hans"/>
        </w:rPr>
        <w:t>子基金管理机构的公司治理、内控机制等管理制度健全，有规范的项目遴选机制、投资决策机制、激励约束机制、资产托管机制、风险控制机制和财务管理制度。</w:t>
      </w:r>
    </w:p>
    <w:p w14:paraId="52BB43B2">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（四）</w:t>
      </w:r>
      <w:r>
        <w:rPr>
          <w:rFonts w:ascii="Times New Roman Regular" w:hAnsi="Times New Roman Regular" w:eastAsia="楷体_GB2312" w:cs="Times New Roman Regular"/>
          <w:sz w:val="32"/>
          <w:szCs w:val="32"/>
          <w:lang w:eastAsia="zh-Hans"/>
        </w:rPr>
        <w:t>投资能力</w:t>
      </w:r>
    </w:p>
    <w:p w14:paraId="778F102B">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ascii="Times New Roman Regular" w:hAnsi="Times New Roman Regular" w:eastAsia="仿宋_GB2312" w:cs="Times New Roman Regular"/>
          <w:sz w:val="32"/>
          <w:szCs w:val="32"/>
          <w:lang w:eastAsia="zh-Hans"/>
        </w:rPr>
        <w:t>子基金管理机构或其主要股东（公司制）、普通合伙人（合伙制）自有资金及管理的基金累计投资初创期、早中期项目的资金规模不低于1亿元人民币（或等值货币），且有3个（含）以上成功投资的案例；子基金管理机构或其主要股东（公司制）、普通合伙人（合伙制）或3名以上管理团队主要成员以骨干身份，共同累计管理基金实缴规模不低于5亿元人民币（或等值货币），且有3个（含）以上成功投资的案例。</w:t>
      </w:r>
    </w:p>
    <w:p w14:paraId="130329E9">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（五）</w:t>
      </w:r>
      <w:r>
        <w:rPr>
          <w:rFonts w:ascii="Times New Roman Regular" w:hAnsi="Times New Roman Regular" w:eastAsia="楷体_GB2312" w:cs="Times New Roman Regular"/>
          <w:sz w:val="32"/>
          <w:szCs w:val="32"/>
          <w:lang w:eastAsia="zh-Hans"/>
        </w:rPr>
        <w:t>储备项目</w:t>
      </w:r>
    </w:p>
    <w:p w14:paraId="55D0E7FE">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ascii="Times New Roman Regular" w:hAnsi="Times New Roman Regular" w:eastAsia="仿宋_GB2312" w:cs="Times New Roman Regular"/>
          <w:sz w:val="32"/>
          <w:szCs w:val="32"/>
          <w:lang w:eastAsia="zh-Hans"/>
        </w:rPr>
        <w:t>子基金管理机构在申报时应提供不少于3个意向在河南落地的人才项目，人才项目需满足以下条件：</w:t>
      </w:r>
    </w:p>
    <w:p w14:paraId="0DC3DAE3">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rPr>
        <w:t>1.</w:t>
      </w:r>
      <w:r>
        <w:rPr>
          <w:rFonts w:ascii="Times New Roman Regular" w:hAnsi="Times New Roman Regular" w:eastAsia="仿宋_GB2312" w:cs="Times New Roman Regular"/>
          <w:sz w:val="32"/>
          <w:szCs w:val="32"/>
          <w:lang w:eastAsia="zh-Hans"/>
        </w:rPr>
        <w:t>根据《河南省高层次人才认定和支持办法》（豫人才〔2017〕 5号）、《郑州市高层次人才分类认定实施细则 （暂行）》（郑政办 〔2017〕112号）或其他河南省内地级市及各行政区出台人才标准认定的高层次人才，或虽未经认定但参照上述人才标准满足要求的高层次人才参与创业的企业。该人才须为企业创始人、高级管理人员或核心技术人员；</w:t>
      </w:r>
    </w:p>
    <w:p w14:paraId="20E8EE42">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rPr>
        <w:t>2.</w:t>
      </w:r>
      <w:r>
        <w:rPr>
          <w:rFonts w:ascii="Times New Roman Regular" w:hAnsi="Times New Roman Regular" w:eastAsia="仿宋_GB2312" w:cs="Times New Roman Regular"/>
          <w:sz w:val="32"/>
          <w:szCs w:val="32"/>
          <w:lang w:eastAsia="zh-Hans"/>
        </w:rPr>
        <w:t>符合河南省政府扶持和鼓励的优势产业、战略新兴产业或未来产业。</w:t>
      </w:r>
    </w:p>
    <w:p w14:paraId="58FD31D2">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（六）</w:t>
      </w:r>
      <w:r>
        <w:rPr>
          <w:rFonts w:ascii="Times New Roman Regular" w:hAnsi="Times New Roman Regular" w:eastAsia="楷体_GB2312" w:cs="Times New Roman Regular"/>
          <w:sz w:val="32"/>
          <w:szCs w:val="32"/>
          <w:lang w:eastAsia="zh-Hans"/>
        </w:rPr>
        <w:t>重点支持类子基金管理机构</w:t>
      </w:r>
    </w:p>
    <w:p w14:paraId="453703AD">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rPr>
        <w:t>人才发展母基金公开遴选</w:t>
      </w:r>
      <w:r>
        <w:rPr>
          <w:rFonts w:ascii="Times New Roman Regular" w:hAnsi="Times New Roman Regular" w:eastAsia="仿宋_GB2312" w:cs="Times New Roman Regular"/>
          <w:sz w:val="32"/>
          <w:szCs w:val="32"/>
          <w:lang w:eastAsia="zh-Hans"/>
        </w:rPr>
        <w:t>优先投资于具备以下条件的子基金及子基金管理机构：</w:t>
      </w:r>
    </w:p>
    <w:p w14:paraId="68FAA174">
      <w:pPr>
        <w:spacing w:line="360" w:lineRule="auto"/>
        <w:ind w:left="640"/>
        <w:outlineLvl w:val="2"/>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rPr>
        <w:t>1.</w:t>
      </w:r>
      <w:r>
        <w:rPr>
          <w:rFonts w:ascii="Times New Roman Regular" w:hAnsi="Times New Roman Regular" w:eastAsia="仿宋_GB2312" w:cs="Times New Roman Regular"/>
          <w:sz w:val="32"/>
          <w:szCs w:val="32"/>
          <w:lang w:eastAsia="zh-Hans"/>
        </w:rPr>
        <w:t>科研院所类背景机构</w:t>
      </w:r>
    </w:p>
    <w:p w14:paraId="44F8A02B">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ascii="Times New Roman Regular" w:hAnsi="Times New Roman Regular" w:eastAsia="仿宋_GB2312" w:cs="Times New Roman Regular"/>
          <w:sz w:val="32"/>
          <w:szCs w:val="32"/>
          <w:lang w:eastAsia="zh-Hans"/>
        </w:rPr>
        <w:t>对该类合作的子基金，具体要求如下：</w:t>
      </w:r>
    </w:p>
    <w:p w14:paraId="410D82F7">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lang w:eastAsia="zh-Hans"/>
        </w:rPr>
        <w:t>（</w:t>
      </w:r>
      <w:r>
        <w:rPr>
          <w:rFonts w:hint="eastAsia" w:ascii="Times New Roman Regular" w:hAnsi="Times New Roman Regular" w:eastAsia="仿宋_GB2312" w:cs="Times New Roman Regular"/>
          <w:sz w:val="32"/>
          <w:szCs w:val="32"/>
        </w:rPr>
        <w:t>1</w:t>
      </w:r>
      <w:r>
        <w:rPr>
          <w:rFonts w:hint="eastAsia" w:ascii="Times New Roman Regular" w:hAnsi="Times New Roman Regular" w:eastAsia="仿宋_GB2312" w:cs="Times New Roman Regular"/>
          <w:sz w:val="32"/>
          <w:szCs w:val="32"/>
          <w:lang w:eastAsia="zh-Hans"/>
        </w:rPr>
        <w:t>）</w:t>
      </w:r>
      <w:r>
        <w:rPr>
          <w:rFonts w:ascii="Times New Roman Regular" w:hAnsi="Times New Roman Regular" w:eastAsia="仿宋_GB2312" w:cs="Times New Roman Regular"/>
          <w:sz w:val="32"/>
          <w:szCs w:val="32"/>
          <w:lang w:eastAsia="zh-Hans"/>
        </w:rPr>
        <w:t>国内高等院校、科研院所、新型研发机构、知名技术转移机构（以下统称“源头单位”）在子基金管理机构持有股权，或虽未持股但子基金管理机构核心人员在上述科研源头单位有任职的；</w:t>
      </w:r>
    </w:p>
    <w:p w14:paraId="13BEB0E5">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lang w:eastAsia="zh-Hans"/>
        </w:rPr>
        <w:t>（</w:t>
      </w:r>
      <w:r>
        <w:rPr>
          <w:rFonts w:hint="eastAsia" w:ascii="Times New Roman Regular" w:hAnsi="Times New Roman Regular" w:eastAsia="仿宋_GB2312" w:cs="Times New Roman Regular"/>
          <w:sz w:val="32"/>
          <w:szCs w:val="32"/>
        </w:rPr>
        <w:t>2</w:t>
      </w:r>
      <w:r>
        <w:rPr>
          <w:rFonts w:hint="eastAsia" w:ascii="Times New Roman Regular" w:hAnsi="Times New Roman Regular" w:eastAsia="仿宋_GB2312" w:cs="Times New Roman Regular"/>
          <w:sz w:val="32"/>
          <w:szCs w:val="32"/>
          <w:lang w:eastAsia="zh-Hans"/>
        </w:rPr>
        <w:t>）</w:t>
      </w:r>
      <w:r>
        <w:rPr>
          <w:rFonts w:ascii="Times New Roman Regular" w:hAnsi="Times New Roman Regular" w:eastAsia="仿宋_GB2312" w:cs="Times New Roman Regular"/>
          <w:sz w:val="32"/>
          <w:szCs w:val="32"/>
          <w:lang w:eastAsia="zh-Hans"/>
        </w:rPr>
        <w:t>子基金管理机构与源头单位技术成果转化部门存在长期常态化项目共享机制，包括不限于战略</w:t>
      </w:r>
      <w:r>
        <w:rPr>
          <w:rFonts w:hint="eastAsia" w:ascii="Times New Roman Regular" w:hAnsi="Times New Roman Regular" w:eastAsia="仿宋_GB2312" w:cs="Times New Roman Regular"/>
          <w:sz w:val="32"/>
          <w:szCs w:val="32"/>
        </w:rPr>
        <w:t>合作</w:t>
      </w:r>
      <w:r>
        <w:rPr>
          <w:rFonts w:ascii="Times New Roman Regular" w:hAnsi="Times New Roman Regular" w:eastAsia="仿宋_GB2312" w:cs="Times New Roman Regular"/>
          <w:sz w:val="32"/>
          <w:szCs w:val="32"/>
          <w:lang w:eastAsia="zh-Hans"/>
        </w:rPr>
        <w:t>协议约定推荐和转化项目数量、定期联合举办项目遴选与评审、教授专家资源共享等；</w:t>
      </w:r>
    </w:p>
    <w:p w14:paraId="79A10E79">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lang w:eastAsia="zh-Hans"/>
        </w:rPr>
        <w:t>（</w:t>
      </w:r>
      <w:r>
        <w:rPr>
          <w:rFonts w:hint="eastAsia" w:ascii="Times New Roman Regular" w:hAnsi="Times New Roman Regular" w:eastAsia="仿宋_GB2312" w:cs="Times New Roman Regular"/>
          <w:sz w:val="32"/>
          <w:szCs w:val="32"/>
        </w:rPr>
        <w:t>3</w:t>
      </w:r>
      <w:r>
        <w:rPr>
          <w:rFonts w:hint="eastAsia" w:ascii="Times New Roman Regular" w:hAnsi="Times New Roman Regular" w:eastAsia="仿宋_GB2312" w:cs="Times New Roman Regular"/>
          <w:sz w:val="32"/>
          <w:szCs w:val="32"/>
          <w:lang w:eastAsia="zh-Hans"/>
        </w:rPr>
        <w:t>）</w:t>
      </w:r>
      <w:r>
        <w:rPr>
          <w:rFonts w:ascii="Times New Roman Regular" w:hAnsi="Times New Roman Regular" w:eastAsia="仿宋_GB2312" w:cs="Times New Roman Regular"/>
          <w:sz w:val="32"/>
          <w:szCs w:val="32"/>
          <w:lang w:eastAsia="zh-Hans"/>
        </w:rPr>
        <w:t>子基金管理机构完成源头单位衍生、孵化的科技成果转化项目或技术转移项目融资总金额不低于2000万或数量不低于2个，且以往的投资方向须与技术源头单位或科技服务机构所处方向一致，且可考证</w:t>
      </w:r>
      <w:r>
        <w:rPr>
          <w:rFonts w:hint="eastAsia" w:ascii="Times New Roman Regular" w:hAnsi="Times New Roman Regular" w:eastAsia="仿宋_GB2312" w:cs="Times New Roman Regular"/>
          <w:sz w:val="32"/>
          <w:szCs w:val="32"/>
        </w:rPr>
        <w:t>。</w:t>
      </w:r>
    </w:p>
    <w:p w14:paraId="764E79FE">
      <w:pPr>
        <w:spacing w:line="360" w:lineRule="auto"/>
        <w:ind w:firstLine="640" w:firstLineChars="200"/>
        <w:outlineLvl w:val="2"/>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rPr>
        <w:t>2.</w:t>
      </w:r>
      <w:r>
        <w:rPr>
          <w:rFonts w:ascii="Times New Roman Regular" w:hAnsi="Times New Roman Regular" w:eastAsia="仿宋_GB2312" w:cs="Times New Roman Regular"/>
          <w:sz w:val="32"/>
          <w:szCs w:val="32"/>
          <w:lang w:eastAsia="zh-Hans"/>
        </w:rPr>
        <w:t>市场化机构</w:t>
      </w:r>
    </w:p>
    <w:p w14:paraId="2E2A92F0">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ascii="Times New Roman Regular" w:hAnsi="Times New Roman Regular" w:eastAsia="仿宋_GB2312" w:cs="Times New Roman Regular"/>
          <w:sz w:val="32"/>
          <w:szCs w:val="32"/>
          <w:lang w:eastAsia="zh-Hans"/>
        </w:rPr>
        <w:t>对该类合作的子基金，具体要求如下：</w:t>
      </w:r>
    </w:p>
    <w:p w14:paraId="5F766B45">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lang w:eastAsia="zh-Hans"/>
        </w:rPr>
        <w:t>（</w:t>
      </w:r>
      <w:r>
        <w:rPr>
          <w:rFonts w:hint="eastAsia" w:ascii="Times New Roman Regular" w:hAnsi="Times New Roman Regular" w:eastAsia="仿宋_GB2312" w:cs="Times New Roman Regular"/>
          <w:sz w:val="32"/>
          <w:szCs w:val="32"/>
        </w:rPr>
        <w:t>1</w:t>
      </w:r>
      <w:r>
        <w:rPr>
          <w:rFonts w:hint="eastAsia" w:ascii="Times New Roman Regular" w:hAnsi="Times New Roman Regular" w:eastAsia="仿宋_GB2312" w:cs="Times New Roman Regular"/>
          <w:sz w:val="32"/>
          <w:szCs w:val="32"/>
          <w:lang w:eastAsia="zh-Hans"/>
        </w:rPr>
        <w:t>）</w:t>
      </w:r>
      <w:r>
        <w:rPr>
          <w:rFonts w:ascii="Times New Roman Regular" w:hAnsi="Times New Roman Regular" w:eastAsia="仿宋_GB2312" w:cs="Times New Roman Regular"/>
          <w:sz w:val="32"/>
          <w:szCs w:val="32"/>
          <w:lang w:eastAsia="zh-Hans"/>
        </w:rPr>
        <w:t>近三年清科、投中、融中等第三方知名机构榜单机构；</w:t>
      </w:r>
    </w:p>
    <w:p w14:paraId="14AD2D25">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rPr>
        <w:t>（2）</w:t>
      </w:r>
      <w:r>
        <w:rPr>
          <w:rFonts w:ascii="Times New Roman Regular" w:hAnsi="Times New Roman Regular" w:eastAsia="仿宋_GB2312" w:cs="Times New Roman Regular"/>
          <w:sz w:val="32"/>
          <w:szCs w:val="32"/>
          <w:lang w:eastAsia="zh-Hans"/>
        </w:rPr>
        <w:t>管理过至少一期早期基金并取得良好投资业绩（退出项目数量不低于3个且退出项目平均投资收益率不低于20%）；</w:t>
      </w:r>
    </w:p>
    <w:p w14:paraId="5F999E40">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lang w:eastAsia="zh-Hans"/>
        </w:rPr>
        <w:t>（</w:t>
      </w:r>
      <w:r>
        <w:rPr>
          <w:rFonts w:hint="eastAsia" w:ascii="Times New Roman Regular" w:hAnsi="Times New Roman Regular" w:eastAsia="仿宋_GB2312" w:cs="Times New Roman Regular"/>
          <w:sz w:val="32"/>
          <w:szCs w:val="32"/>
        </w:rPr>
        <w:t>3</w:t>
      </w:r>
      <w:r>
        <w:rPr>
          <w:rFonts w:hint="eastAsia" w:ascii="Times New Roman Regular" w:hAnsi="Times New Roman Regular" w:eastAsia="仿宋_GB2312" w:cs="Times New Roman Regular"/>
          <w:sz w:val="32"/>
          <w:szCs w:val="32"/>
          <w:lang w:eastAsia="zh-Hans"/>
        </w:rPr>
        <w:t>）</w:t>
      </w:r>
      <w:r>
        <w:rPr>
          <w:rFonts w:ascii="Times New Roman Regular" w:hAnsi="Times New Roman Regular" w:eastAsia="仿宋_GB2312" w:cs="Times New Roman Regular"/>
          <w:sz w:val="32"/>
          <w:szCs w:val="32"/>
          <w:lang w:eastAsia="zh-Hans"/>
        </w:rPr>
        <w:t>过往人才孵化项目数量不低于3个</w:t>
      </w:r>
      <w:r>
        <w:rPr>
          <w:rFonts w:hint="eastAsia" w:ascii="Times New Roman Regular" w:hAnsi="Times New Roman Regular" w:eastAsia="仿宋_GB2312" w:cs="Times New Roman Regular"/>
          <w:sz w:val="32"/>
          <w:szCs w:val="32"/>
        </w:rPr>
        <w:t>；</w:t>
      </w:r>
    </w:p>
    <w:p w14:paraId="2276D97F">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lang w:eastAsia="zh-Hans"/>
        </w:rPr>
        <w:t>子基金管理机构具备地方引导基金合作经验。</w:t>
      </w:r>
    </w:p>
    <w:p w14:paraId="22D4B341">
      <w:pPr>
        <w:spacing w:line="360" w:lineRule="auto"/>
        <w:ind w:firstLine="640" w:firstLineChars="200"/>
        <w:rPr>
          <w:rFonts w:hint="eastAsia" w:ascii="黑体" w:hAnsi="黑体" w:eastAsia="黑体" w:cs="Times New Roman Regular"/>
          <w:sz w:val="32"/>
          <w:szCs w:val="32"/>
          <w:lang w:eastAsia="zh-Hans"/>
        </w:rPr>
      </w:pPr>
      <w:r>
        <w:rPr>
          <w:rFonts w:hint="eastAsia" w:ascii="黑体" w:hAnsi="黑体" w:eastAsia="黑体" w:cs="Times New Roman Regular"/>
          <w:sz w:val="32"/>
          <w:szCs w:val="32"/>
          <w:lang w:eastAsia="zh-Hans"/>
        </w:rPr>
        <w:t>三、</w:t>
      </w:r>
      <w:r>
        <w:rPr>
          <w:rFonts w:ascii="黑体" w:hAnsi="黑体" w:eastAsia="黑体" w:cs="Times New Roman Regular"/>
          <w:sz w:val="32"/>
          <w:szCs w:val="32"/>
          <w:lang w:eastAsia="zh-Hans"/>
        </w:rPr>
        <w:t>人才子基金设立要求</w:t>
      </w:r>
    </w:p>
    <w:p w14:paraId="79F919D1">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（一）</w:t>
      </w:r>
      <w:r>
        <w:rPr>
          <w:rFonts w:ascii="Times New Roman Regular" w:hAnsi="Times New Roman Regular" w:eastAsia="楷体_GB2312" w:cs="Times New Roman Regular"/>
          <w:sz w:val="32"/>
          <w:szCs w:val="32"/>
          <w:lang w:eastAsia="zh-Hans"/>
        </w:rPr>
        <w:t>注册区域</w:t>
      </w:r>
    </w:p>
    <w:p w14:paraId="5C77D404">
      <w:pPr>
        <w:spacing w:line="360" w:lineRule="auto"/>
        <w:ind w:firstLine="640" w:firstLineChars="200"/>
        <w:rPr>
          <w:rFonts w:hint="eastAsia" w:ascii="Times New Roman Regular" w:hAnsi="Times New Roman Regular" w:eastAsia="仿宋" w:cs="Times New Roman Regular"/>
          <w:sz w:val="28"/>
          <w:szCs w:val="28"/>
        </w:rPr>
      </w:pPr>
      <w:r>
        <w:rPr>
          <w:rFonts w:ascii="Times New Roman Regular" w:hAnsi="Times New Roman Regular" w:eastAsia="仿宋_GB2312" w:cs="Times New Roman Regular"/>
          <w:sz w:val="32"/>
          <w:szCs w:val="32"/>
        </w:rPr>
        <w:t>若人才发展母基金为子基金的第一大出资人，子基金原则上应注册在河南省内。非以上情形，对子基金的注册区域不做限制。</w:t>
      </w:r>
    </w:p>
    <w:p w14:paraId="6BD73A1E">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（二）</w:t>
      </w:r>
      <w:r>
        <w:rPr>
          <w:rFonts w:ascii="Times New Roman Regular" w:hAnsi="Times New Roman Regular" w:eastAsia="楷体_GB2312" w:cs="Times New Roman Regular"/>
          <w:sz w:val="32"/>
          <w:szCs w:val="32"/>
          <w:lang w:eastAsia="zh-Hans"/>
        </w:rPr>
        <w:t>出资比例</w:t>
      </w:r>
    </w:p>
    <w:p w14:paraId="4D565EF8">
      <w:pPr>
        <w:pStyle w:val="3"/>
        <w:spacing w:line="360" w:lineRule="auto"/>
        <w:ind w:firstLine="643"/>
        <w:rPr>
          <w:rFonts w:hint="eastAsia" w:ascii="Times New Roman Regular" w:hAnsi="Times New Roman Regular" w:eastAsia="仿宋_GB2312" w:cs="Times New Roman Regular"/>
          <w:sz w:val="32"/>
          <w:szCs w:val="32"/>
        </w:rPr>
      </w:pPr>
      <w:r>
        <w:rPr>
          <w:rFonts w:ascii="Times New Roman Regular" w:hAnsi="Times New Roman Regular" w:eastAsia="仿宋_GB2312" w:cs="Times New Roman Regular"/>
          <w:color w:val="000000"/>
          <w:sz w:val="32"/>
          <w:szCs w:val="32"/>
        </w:rPr>
        <w:t>人才发展母基金向子基金的出资比例不超过子基金认缴出资总金额的30%且绝对额不超过1亿元。剩余部分出资由子基金管理机构通过市场化方式进行募集。</w:t>
      </w:r>
    </w:p>
    <w:p w14:paraId="47930322">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（三）</w:t>
      </w:r>
      <w:r>
        <w:rPr>
          <w:rFonts w:ascii="Times New Roman Regular" w:hAnsi="Times New Roman Regular" w:eastAsia="楷体_GB2312" w:cs="Times New Roman Regular"/>
          <w:sz w:val="32"/>
          <w:szCs w:val="32"/>
          <w:lang w:eastAsia="zh-Hans"/>
        </w:rPr>
        <w:t>存续期限</w:t>
      </w:r>
    </w:p>
    <w:p w14:paraId="3B47CAD2">
      <w:pPr>
        <w:pStyle w:val="3"/>
        <w:spacing w:line="360" w:lineRule="auto"/>
        <w:ind w:firstLine="643"/>
        <w:rPr>
          <w:rFonts w:hint="eastAsia"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子基金存续期限原则上不超过</w:t>
      </w:r>
      <w:r>
        <w:rPr>
          <w:rFonts w:hint="eastAsia" w:ascii="Times New Roman Regular" w:hAnsi="Times New Roman Regular" w:eastAsia="仿宋_GB2312" w:cs="Times New Roman Regular"/>
          <w:sz w:val="32"/>
          <w:szCs w:val="32"/>
        </w:rPr>
        <w:t>10</w:t>
      </w:r>
      <w:r>
        <w:rPr>
          <w:rFonts w:ascii="Times New Roman Regular" w:hAnsi="Times New Roman Regular" w:eastAsia="仿宋_GB2312" w:cs="Times New Roman Regular"/>
          <w:sz w:val="32"/>
          <w:szCs w:val="32"/>
        </w:rPr>
        <w:t>年，</w:t>
      </w:r>
      <w:r>
        <w:rPr>
          <w:rFonts w:hint="eastAsia" w:ascii="Times New Roman Regular" w:hAnsi="Times New Roman Regular" w:eastAsia="仿宋_GB2312" w:cs="Times New Roman Regular"/>
          <w:sz w:val="32"/>
          <w:szCs w:val="32"/>
        </w:rPr>
        <w:t>且子基金存续期到期日不得晚于人才发展母基金最后到期日。</w:t>
      </w:r>
    </w:p>
    <w:p w14:paraId="12B41812">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（四）</w:t>
      </w:r>
      <w:r>
        <w:rPr>
          <w:rFonts w:ascii="Times New Roman Regular" w:hAnsi="Times New Roman Regular" w:eastAsia="楷体_GB2312" w:cs="Times New Roman Regular"/>
          <w:sz w:val="32"/>
          <w:szCs w:val="32"/>
          <w:lang w:eastAsia="zh-Hans"/>
        </w:rPr>
        <w:t>投资领域</w:t>
      </w:r>
    </w:p>
    <w:p w14:paraId="347A9129">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ascii="Times New Roman Regular" w:hAnsi="Times New Roman Regular" w:eastAsia="仿宋_GB2312" w:cs="Times New Roman Regular"/>
          <w:sz w:val="32"/>
          <w:szCs w:val="32"/>
          <w:lang w:eastAsia="zh-Hans"/>
        </w:rPr>
        <w:t>主要投资于新材料、电子信息、先进装备、新能源汽车、现代医药、现代食品、现代轻纺等河南省“7+28+N”等重点产业链群。</w:t>
      </w:r>
    </w:p>
    <w:p w14:paraId="19D577D4">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（五）投资阶段</w:t>
      </w:r>
    </w:p>
    <w:p w14:paraId="2977AF98">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ascii="Times New Roman Regular" w:hAnsi="Times New Roman Regular" w:eastAsia="仿宋_GB2312" w:cs="Times New Roman Regular"/>
          <w:sz w:val="32"/>
          <w:szCs w:val="32"/>
          <w:lang w:eastAsia="zh-Hans"/>
        </w:rPr>
        <w:t>子基金投资于早期项目的比例不低于60%。</w:t>
      </w:r>
    </w:p>
    <w:p w14:paraId="00D3171B">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（六）</w:t>
      </w:r>
      <w:r>
        <w:rPr>
          <w:rFonts w:ascii="Times New Roman Regular" w:hAnsi="Times New Roman Regular" w:eastAsia="楷体_GB2312" w:cs="Times New Roman Regular"/>
          <w:sz w:val="32"/>
          <w:szCs w:val="32"/>
          <w:lang w:eastAsia="zh-Hans"/>
        </w:rPr>
        <w:t>管理费用</w:t>
      </w:r>
    </w:p>
    <w:p w14:paraId="75CB5C68">
      <w:pPr>
        <w:pStyle w:val="3"/>
        <w:spacing w:line="360" w:lineRule="auto"/>
        <w:ind w:firstLine="643"/>
        <w:rPr>
          <w:rFonts w:hint="eastAsia" w:ascii="Times New Roman Regular" w:hAnsi="Times New Roman Regular" w:eastAsia="楷体_GB2312" w:cs="Times New Roman Regular"/>
          <w:sz w:val="32"/>
          <w:szCs w:val="32"/>
          <w:lang w:eastAsia="zh-Hans"/>
        </w:rPr>
      </w:pPr>
      <w:r>
        <w:rPr>
          <w:rFonts w:ascii="Times New Roman Regular" w:hAnsi="Times New Roman Regular" w:eastAsia="仿宋_GB2312" w:cs="Times New Roman Regular"/>
          <w:color w:val="000000"/>
          <w:sz w:val="32"/>
          <w:szCs w:val="32"/>
        </w:rPr>
        <w:t>子基金每年管理费原则上不超过实缴出资总额的2%，根据基金规模可适当降低，且对</w:t>
      </w:r>
      <w:r>
        <w:rPr>
          <w:rFonts w:ascii="Times New Roman Regular" w:hAnsi="Times New Roman Regular" w:eastAsia="仿宋_GB2312" w:cs="Times New Roman Regular"/>
          <w:sz w:val="32"/>
          <w:szCs w:val="32"/>
        </w:rPr>
        <w:t>人才发展母基金</w:t>
      </w:r>
      <w:r>
        <w:rPr>
          <w:rFonts w:ascii="Times New Roman Regular" w:hAnsi="Times New Roman Regular" w:eastAsia="仿宋_GB2312" w:cs="Times New Roman Regular"/>
          <w:color w:val="000000"/>
          <w:sz w:val="32"/>
          <w:szCs w:val="32"/>
        </w:rPr>
        <w:t>收取管理费的标准不得高于其他出资人。</w:t>
      </w:r>
    </w:p>
    <w:p w14:paraId="45934DD6">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（七）</w:t>
      </w:r>
      <w:r>
        <w:rPr>
          <w:rFonts w:ascii="Times New Roman Regular" w:hAnsi="Times New Roman Regular" w:eastAsia="楷体_GB2312" w:cs="Times New Roman Regular"/>
          <w:sz w:val="32"/>
          <w:szCs w:val="32"/>
          <w:lang w:eastAsia="zh-Hans"/>
        </w:rPr>
        <w:t>出资顺序</w:t>
      </w:r>
    </w:p>
    <w:p w14:paraId="64B0D21A">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ascii="Times New Roman Regular" w:hAnsi="Times New Roman Regular" w:eastAsia="仿宋_GB2312" w:cs="Times New Roman Regular"/>
          <w:sz w:val="32"/>
          <w:szCs w:val="32"/>
          <w:lang w:eastAsia="zh-Hans"/>
        </w:rPr>
        <w:t>人才发展母基金有权在其他出资人（政府引导基金除外）的出资款实际到位后再行出资。</w:t>
      </w:r>
    </w:p>
    <w:p w14:paraId="5DDAFBA8">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lang w:eastAsia="zh-Hans"/>
        </w:rPr>
        <w:t>（八）</w:t>
      </w:r>
      <w:r>
        <w:rPr>
          <w:rFonts w:ascii="Times New Roman Regular" w:hAnsi="Times New Roman Regular" w:eastAsia="楷体_GB2312" w:cs="Times New Roman Regular"/>
          <w:sz w:val="32"/>
          <w:szCs w:val="32"/>
          <w:lang w:eastAsia="zh-Hans"/>
        </w:rPr>
        <w:t>投资限额</w:t>
      </w:r>
    </w:p>
    <w:p w14:paraId="7DEBDBAB">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ascii="Times New Roman Regular" w:hAnsi="Times New Roman Regular" w:eastAsia="仿宋_GB2312" w:cs="Times New Roman Regular"/>
          <w:sz w:val="32"/>
          <w:szCs w:val="32"/>
          <w:lang w:eastAsia="zh-Hans"/>
        </w:rPr>
        <w:t>子基金投资单个企业的累计投资额不得超过子基金总规模的20%。</w:t>
      </w:r>
    </w:p>
    <w:p w14:paraId="47AEF701">
      <w:pPr>
        <w:spacing w:line="360" w:lineRule="auto"/>
        <w:ind w:firstLine="640" w:firstLineChars="200"/>
        <w:outlineLvl w:val="1"/>
        <w:rPr>
          <w:rFonts w:hint="eastAsia" w:ascii="Times New Roman Regular" w:hAnsi="Times New Roman Regular" w:eastAsia="楷体_GB2312" w:cs="Times New Roman Regular"/>
          <w:sz w:val="32"/>
          <w:szCs w:val="32"/>
          <w:lang w:eastAsia="zh-Hans"/>
        </w:rPr>
      </w:pPr>
      <w:bookmarkStart w:id="0" w:name="_Hlk174717760"/>
      <w:r>
        <w:rPr>
          <w:rFonts w:hint="eastAsia" w:ascii="Times New Roman Regular" w:hAnsi="Times New Roman Regular" w:eastAsia="楷体_GB2312" w:cs="Times New Roman Regular"/>
          <w:sz w:val="32"/>
          <w:szCs w:val="32"/>
          <w:lang w:eastAsia="zh-Hans"/>
        </w:rPr>
        <w:t>（九）返</w:t>
      </w:r>
      <w:r>
        <w:rPr>
          <w:rFonts w:ascii="Times New Roman Regular" w:hAnsi="Times New Roman Regular" w:eastAsia="楷体_GB2312" w:cs="Times New Roman Regular"/>
          <w:sz w:val="32"/>
          <w:szCs w:val="32"/>
          <w:lang w:eastAsia="zh-Hans"/>
        </w:rPr>
        <w:t>投入豫</w:t>
      </w:r>
    </w:p>
    <w:p w14:paraId="77CA2E52">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ascii="Times New Roman Regular" w:hAnsi="Times New Roman Regular" w:eastAsia="仿宋_GB2312" w:cs="Times New Roman Regular"/>
          <w:sz w:val="32"/>
          <w:szCs w:val="32"/>
          <w:lang w:eastAsia="zh-Hans"/>
        </w:rPr>
        <w:t>子基金投资于河南省项目的投资额不低于人才发展母基金对其出资额的1倍，且人才发展母基金有权将返投入豫完成的时序进度与后续基金出资挂钩，河南省项目应满足以下条件之一：</w:t>
      </w:r>
    </w:p>
    <w:p w14:paraId="20E3563A">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w:t>
      </w:r>
      <w:r>
        <w:rPr>
          <w:rFonts w:ascii="Times New Roman Regular" w:hAnsi="Times New Roman Regular" w:eastAsia="仿宋_GB2312" w:cs="Times New Roman Regular"/>
          <w:sz w:val="32"/>
          <w:szCs w:val="32"/>
        </w:rPr>
        <w:t>子基金直接投资于注册地在河南省内的企业；</w:t>
      </w:r>
    </w:p>
    <w:p w14:paraId="143BDD99">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w:t>
      </w:r>
      <w:r>
        <w:rPr>
          <w:rFonts w:ascii="Times New Roman Regular" w:hAnsi="Times New Roman Regular" w:eastAsia="仿宋_GB2312" w:cs="Times New Roman Regular"/>
          <w:sz w:val="32"/>
          <w:szCs w:val="32"/>
        </w:rPr>
        <w:t>子基金投资的河南省以外的被投企业注册地迁往河南省，或被河南省注册登记企业收购(限于控股型收购)的情形；</w:t>
      </w:r>
    </w:p>
    <w:p w14:paraId="59F4451B">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3.</w:t>
      </w:r>
      <w:r>
        <w:rPr>
          <w:rFonts w:ascii="Times New Roman Regular" w:hAnsi="Times New Roman Regular" w:eastAsia="仿宋_GB2312" w:cs="Times New Roman Regular"/>
          <w:sz w:val="32"/>
          <w:szCs w:val="32"/>
        </w:rPr>
        <w:t>子基金投资的在河南省以外的被投企业通过设立子公司形式将主要生产研发基地落户河南省（子公司资产须不低于子基金对该企业的对应投资金额）的情形；</w:t>
      </w:r>
    </w:p>
    <w:p w14:paraId="01F626CC">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子基金管理机构或其控股股东（公司制）、普通合伙人（合伙制）管理的其他基金或自有资金投资的项目注册地迁入河南省内；</w:t>
      </w:r>
    </w:p>
    <w:p w14:paraId="08B23587">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其他经人才发展母基金认可的项目。</w:t>
      </w:r>
    </w:p>
    <w:p w14:paraId="5EE71253">
      <w:pPr>
        <w:spacing w:line="360" w:lineRule="auto"/>
        <w:ind w:firstLine="640" w:firstLineChars="200"/>
        <w:rPr>
          <w:rFonts w:hint="eastAsia"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其中，上述</w:t>
      </w:r>
      <w:r>
        <w:rPr>
          <w:rFonts w:hint="eastAsia" w:ascii="Times New Roman Regular" w:hAnsi="Times New Roman Regular" w:eastAsia="仿宋_GB2312" w:cs="Times New Roman Regular"/>
          <w:sz w:val="32"/>
          <w:szCs w:val="32"/>
        </w:rPr>
        <w:t>1</w:t>
      </w:r>
      <w:r>
        <w:rPr>
          <w:rFonts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rPr>
        <w:t>2、3</w:t>
      </w:r>
      <w:r>
        <w:rPr>
          <w:rFonts w:ascii="Times New Roman Regular" w:hAnsi="Times New Roman Regular" w:eastAsia="仿宋_GB2312" w:cs="Times New Roman Regular"/>
          <w:sz w:val="32"/>
          <w:szCs w:val="32"/>
        </w:rPr>
        <w:t>类情形中符合人才项目标准的金额应不低于返投入豫要求金额的50%。</w:t>
      </w:r>
    </w:p>
    <w:bookmarkEnd w:id="0"/>
    <w:p w14:paraId="7901F973">
      <w:pPr>
        <w:spacing w:line="360" w:lineRule="auto"/>
        <w:ind w:firstLine="640" w:firstLineChars="200"/>
        <w:outlineLvl w:val="1"/>
        <w:rPr>
          <w:rFonts w:hint="eastAsia" w:ascii="Times New Roman Regular" w:hAnsi="Times New Roman Regular" w:eastAsia="楷体_GB2312" w:cs="Times New Roman Regular"/>
          <w:sz w:val="32"/>
          <w:szCs w:val="32"/>
        </w:rPr>
      </w:pPr>
      <w:r>
        <w:rPr>
          <w:rFonts w:hint="eastAsia" w:ascii="Times New Roman Regular" w:hAnsi="Times New Roman Regular" w:eastAsia="楷体_GB2312" w:cs="Times New Roman Regular"/>
          <w:sz w:val="32"/>
          <w:szCs w:val="32"/>
        </w:rPr>
        <w:t>（十）</w:t>
      </w:r>
      <w:r>
        <w:rPr>
          <w:rFonts w:ascii="Times New Roman Regular" w:hAnsi="Times New Roman Regular" w:eastAsia="楷体_GB2312" w:cs="Times New Roman Regular"/>
          <w:sz w:val="32"/>
          <w:szCs w:val="32"/>
        </w:rPr>
        <w:t>投资决策</w:t>
      </w:r>
    </w:p>
    <w:p w14:paraId="31C26078">
      <w:pPr>
        <w:spacing w:line="360" w:lineRule="auto"/>
        <w:ind w:firstLine="640" w:firstLineChars="200"/>
        <w:rPr>
          <w:rFonts w:hint="eastAsia" w:ascii="Times New Roman Regular" w:hAnsi="Times New Roman Regular" w:eastAsia="仿宋_GB2312" w:cs="Times New Roman Regular"/>
          <w:sz w:val="32"/>
          <w:szCs w:val="32"/>
          <w:lang w:eastAsia="zh-Hans"/>
        </w:rPr>
      </w:pPr>
      <w:bookmarkStart w:id="1" w:name="_Hlk174718181"/>
      <w:r>
        <w:rPr>
          <w:rFonts w:ascii="Times New Roman Regular" w:hAnsi="Times New Roman Regular" w:eastAsia="仿宋_GB2312" w:cs="Times New Roman Regular"/>
          <w:sz w:val="32"/>
          <w:szCs w:val="32"/>
        </w:rPr>
        <w:t>子基金采取市场化机制运作，由子基金管理机构依据合伙协议（或公司章程）等相关约定进行投资决策。母基金管理机构可向子基金派出代表，监督子基金的投资和运作，但不参与子基金的日常管理。</w:t>
      </w:r>
      <w:bookmarkEnd w:id="1"/>
    </w:p>
    <w:p w14:paraId="21613AD9">
      <w:pPr>
        <w:spacing w:line="360" w:lineRule="auto"/>
        <w:ind w:firstLine="640" w:firstLineChars="200"/>
        <w:outlineLvl w:val="1"/>
        <w:rPr>
          <w:rFonts w:hint="eastAsia" w:ascii="Times New Roman Regular" w:hAnsi="Times New Roman Regular" w:eastAsia="楷体_GB2312" w:cs="Times New Roman Regular"/>
          <w:sz w:val="32"/>
          <w:szCs w:val="32"/>
        </w:rPr>
      </w:pPr>
      <w:r>
        <w:rPr>
          <w:rFonts w:hint="eastAsia" w:ascii="Times New Roman Regular" w:hAnsi="Times New Roman Regular" w:eastAsia="楷体_GB2312" w:cs="Times New Roman Regular"/>
          <w:sz w:val="32"/>
          <w:szCs w:val="32"/>
        </w:rPr>
        <w:t>（十一）</w:t>
      </w:r>
      <w:r>
        <w:rPr>
          <w:rFonts w:ascii="Times New Roman Regular" w:hAnsi="Times New Roman Regular" w:eastAsia="楷体_GB2312" w:cs="Times New Roman Regular"/>
          <w:sz w:val="32"/>
          <w:szCs w:val="32"/>
        </w:rPr>
        <w:t>风险控制</w:t>
      </w:r>
    </w:p>
    <w:p w14:paraId="533A2A7F">
      <w:pPr>
        <w:spacing w:line="360" w:lineRule="auto"/>
        <w:ind w:left="640"/>
        <w:outlineLvl w:val="2"/>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w:t>
      </w:r>
      <w:r>
        <w:rPr>
          <w:rFonts w:ascii="Times New Roman Regular" w:hAnsi="Times New Roman Regular" w:eastAsia="仿宋_GB2312" w:cs="Times New Roman Regular"/>
          <w:sz w:val="32"/>
          <w:szCs w:val="32"/>
        </w:rPr>
        <w:t>子基金不得从事以下业务：</w:t>
      </w:r>
    </w:p>
    <w:p w14:paraId="6FDC3D9B">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w:t>
      </w:r>
      <w:r>
        <w:rPr>
          <w:rFonts w:ascii="Times New Roman Regular" w:hAnsi="Times New Roman Regular" w:eastAsia="仿宋_GB2312" w:cs="Times New Roman Regular"/>
          <w:sz w:val="32"/>
          <w:szCs w:val="32"/>
        </w:rPr>
        <w:t>从事融资担保以外的担保、抵押、委托贷款等业务；</w:t>
      </w:r>
    </w:p>
    <w:p w14:paraId="06AE959C">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w:t>
      </w:r>
      <w:r>
        <w:rPr>
          <w:rFonts w:ascii="Times New Roman Regular" w:hAnsi="Times New Roman Regular" w:eastAsia="仿宋_GB2312" w:cs="Times New Roman Regular"/>
          <w:sz w:val="32"/>
          <w:szCs w:val="32"/>
        </w:rPr>
        <w:t>投资二级市场股票（大宗交易、协议转让、战略配售、定向增发、并购重组除外）、期货、房地产、证券投资基金、债券、信托产品、非保本型理财产品、保险计划及其他金融衍生品；</w:t>
      </w:r>
    </w:p>
    <w:p w14:paraId="4FE9CA2B">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（3）</w:t>
      </w:r>
      <w:r>
        <w:rPr>
          <w:rFonts w:ascii="Times New Roman Regular" w:hAnsi="Times New Roman Regular" w:eastAsia="仿宋_GB2312" w:cs="Times New Roman Regular"/>
          <w:sz w:val="32"/>
          <w:szCs w:val="32"/>
        </w:rPr>
        <w:t>向任何第三方提供赞助、捐赠（经批准的公益性捐赠除外）；</w:t>
      </w:r>
    </w:p>
    <w:p w14:paraId="03B6143F">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吸收或变相吸收存款，或向第三方提供贷款和资金拆借</w:t>
      </w:r>
      <w:bookmarkStart w:id="2" w:name="_Hlk174718425"/>
      <w:r>
        <w:rPr>
          <w:rFonts w:ascii="Times New Roman Regular" w:hAnsi="Times New Roman Regular" w:eastAsia="仿宋_GB2312" w:cs="Times New Roman Regular"/>
          <w:sz w:val="32"/>
          <w:szCs w:val="32"/>
        </w:rPr>
        <w:t>（以股权投资为目的可转债除外，但不得从事明股实债）</w:t>
      </w:r>
      <w:bookmarkEnd w:id="2"/>
      <w:r>
        <w:rPr>
          <w:rFonts w:ascii="Times New Roman Regular" w:hAnsi="Times New Roman Regular" w:eastAsia="仿宋_GB2312" w:cs="Times New Roman Regular"/>
          <w:sz w:val="32"/>
          <w:szCs w:val="32"/>
        </w:rPr>
        <w:t>；</w:t>
      </w:r>
    </w:p>
    <w:p w14:paraId="101F167E">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进行承担无限连带责任的对外投资；</w:t>
      </w:r>
    </w:p>
    <w:p w14:paraId="7435EF04">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发行信托或集合理财产品募集资金；</w:t>
      </w:r>
    </w:p>
    <w:p w14:paraId="250B8D71">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（7）</w:t>
      </w:r>
      <w:r>
        <w:rPr>
          <w:rFonts w:ascii="Times New Roman Regular" w:hAnsi="Times New Roman Regular" w:eastAsia="仿宋_GB2312" w:cs="Times New Roman Regular"/>
          <w:sz w:val="32"/>
          <w:szCs w:val="32"/>
        </w:rPr>
        <w:t>其他国家法律法规禁止从事的业务。</w:t>
      </w:r>
    </w:p>
    <w:p w14:paraId="16A6AE3E">
      <w:pPr>
        <w:spacing w:line="360" w:lineRule="auto"/>
        <w:ind w:left="640"/>
        <w:outlineLvl w:val="2"/>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w:t>
      </w:r>
      <w:r>
        <w:rPr>
          <w:rFonts w:ascii="Times New Roman Regular" w:hAnsi="Times New Roman Regular" w:eastAsia="仿宋_GB2312" w:cs="Times New Roman Regular"/>
          <w:sz w:val="32"/>
          <w:szCs w:val="32"/>
        </w:rPr>
        <w:t>资金托管</w:t>
      </w:r>
    </w:p>
    <w:p w14:paraId="11C1A177">
      <w:pPr>
        <w:spacing w:line="360" w:lineRule="auto"/>
        <w:ind w:firstLine="640" w:firstLineChars="200"/>
        <w:rPr>
          <w:rFonts w:hint="eastAsia"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为保证引导基金资金安全合规运行，子基金管理人应选择具有托管资质的商业银行等机构托管基金资产，主要负责资金保管、拨付、结算等日常工作，定期向人才发展母基金提交资金托管报告。</w:t>
      </w:r>
    </w:p>
    <w:p w14:paraId="2C576DA0">
      <w:pPr>
        <w:spacing w:line="360" w:lineRule="auto"/>
        <w:ind w:firstLine="640" w:firstLineChars="200"/>
        <w:outlineLvl w:val="2"/>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3.</w:t>
      </w:r>
      <w:r>
        <w:rPr>
          <w:rFonts w:ascii="Times New Roman Regular" w:hAnsi="Times New Roman Regular" w:eastAsia="仿宋_GB2312" w:cs="Times New Roman Regular"/>
          <w:sz w:val="32"/>
          <w:szCs w:val="32"/>
          <w:lang w:eastAsia="zh-Hans"/>
        </w:rPr>
        <w:t>强制清算及退出</w:t>
      </w:r>
    </w:p>
    <w:p w14:paraId="337F22F8">
      <w:pPr>
        <w:spacing w:line="360" w:lineRule="auto"/>
        <w:ind w:firstLine="640" w:firstLineChars="200"/>
        <w:rPr>
          <w:rFonts w:hint="eastAsia" w:ascii="Times New Roman Regular" w:hAnsi="Times New Roman Regular" w:eastAsia="仿宋_GB2312" w:cs="Times New Roman Regular"/>
          <w:sz w:val="32"/>
          <w:szCs w:val="32"/>
        </w:rPr>
      </w:pPr>
      <w:bookmarkStart w:id="3" w:name="_Hlk174718820"/>
      <w:r>
        <w:rPr>
          <w:rFonts w:ascii="Times New Roman Regular" w:hAnsi="Times New Roman Regular" w:eastAsia="仿宋_GB2312" w:cs="Times New Roman Regular"/>
          <w:sz w:val="32"/>
          <w:szCs w:val="32"/>
        </w:rPr>
        <w:t>有下列情形之一的，人才发展母基金有权要求退出，子基金其他出资人须签署一切必要的文件或履行所有必要的程序以确保人才发展母基金退出，退出价格按照子基金合伙协议（或公司章程）约定计算，并不低于</w:t>
      </w:r>
      <w:r>
        <w:rPr>
          <w:rFonts w:hint="eastAsia" w:ascii="Times New Roman Regular" w:hAnsi="Times New Roman Regular" w:eastAsia="仿宋_GB2312" w:cs="Times New Roman Regular"/>
          <w:sz w:val="32"/>
          <w:szCs w:val="32"/>
        </w:rPr>
        <w:t>扣除退出项目投资成本后的实缴出资余额</w:t>
      </w:r>
      <w:r>
        <w:rPr>
          <w:rFonts w:ascii="Times New Roman Regular" w:hAnsi="Times New Roman Regular" w:eastAsia="仿宋_GB2312" w:cs="Times New Roman Regular"/>
          <w:sz w:val="32"/>
          <w:szCs w:val="32"/>
        </w:rPr>
        <w:t>从出资之日起至</w:t>
      </w:r>
      <w:r>
        <w:rPr>
          <w:rFonts w:hint="eastAsia" w:ascii="Times New Roman Regular" w:hAnsi="Times New Roman Regular" w:eastAsia="仿宋_GB2312" w:cs="Times New Roman Regular"/>
          <w:sz w:val="32"/>
          <w:szCs w:val="32"/>
        </w:rPr>
        <w:t>退出</w:t>
      </w:r>
      <w:r>
        <w:rPr>
          <w:rFonts w:ascii="Times New Roman Regular" w:hAnsi="Times New Roman Regular" w:eastAsia="仿宋_GB2312" w:cs="Times New Roman Regular"/>
          <w:sz w:val="32"/>
          <w:szCs w:val="32"/>
        </w:rPr>
        <w:t>之日止按照中国人民银行公布的一年期LPR利率计算的</w:t>
      </w:r>
      <w:r>
        <w:rPr>
          <w:rFonts w:hint="eastAsia" w:ascii="Times New Roman Regular" w:hAnsi="Times New Roman Regular" w:eastAsia="仿宋_GB2312" w:cs="Times New Roman Regular"/>
          <w:sz w:val="32"/>
          <w:szCs w:val="32"/>
        </w:rPr>
        <w:t>本</w:t>
      </w:r>
      <w:r>
        <w:rPr>
          <w:rFonts w:ascii="Times New Roman Regular" w:hAnsi="Times New Roman Regular" w:eastAsia="仿宋_GB2312" w:cs="Times New Roman Regular"/>
          <w:sz w:val="32"/>
          <w:szCs w:val="32"/>
        </w:rPr>
        <w:t>息之和</w:t>
      </w:r>
      <w:r>
        <w:rPr>
          <w:rFonts w:hint="eastAsia" w:ascii="Times New Roman Regular" w:hAnsi="Times New Roman Regular" w:eastAsia="仿宋_GB2312" w:cs="Times New Roman Regular"/>
          <w:sz w:val="32"/>
          <w:szCs w:val="32"/>
        </w:rPr>
        <w:t>或届时</w:t>
      </w:r>
      <w:r>
        <w:rPr>
          <w:rFonts w:ascii="Times New Roman Regular" w:hAnsi="Times New Roman Regular" w:eastAsia="仿宋_GB2312" w:cs="Times New Roman Regular"/>
          <w:sz w:val="32"/>
          <w:szCs w:val="32"/>
        </w:rPr>
        <w:t>人才发展母基金所持份额的评估价</w:t>
      </w:r>
      <w:r>
        <w:rPr>
          <w:rFonts w:hint="eastAsia" w:ascii="Times New Roman Regular" w:hAnsi="Times New Roman Regular" w:eastAsia="仿宋_GB2312" w:cs="Times New Roman Regular"/>
          <w:sz w:val="32"/>
          <w:szCs w:val="32"/>
        </w:rPr>
        <w:t>（以较高者为准）</w:t>
      </w:r>
      <w:r>
        <w:rPr>
          <w:rFonts w:ascii="Times New Roman Regular" w:hAnsi="Times New Roman Regular" w:eastAsia="仿宋_GB2312" w:cs="Times New Roman Regular"/>
          <w:sz w:val="32"/>
          <w:szCs w:val="32"/>
        </w:rPr>
        <w:t>。因人才发展母基金退出而产生的风险和损失由子基金管理机构承担：</w:t>
      </w:r>
    </w:p>
    <w:p w14:paraId="73D73F9B">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w:t>
      </w:r>
      <w:r>
        <w:rPr>
          <w:rFonts w:ascii="Times New Roman Regular" w:hAnsi="Times New Roman Regular" w:eastAsia="仿宋_GB2312" w:cs="Times New Roman Regular"/>
          <w:sz w:val="32"/>
          <w:szCs w:val="32"/>
        </w:rPr>
        <w:t>子基金方案经批准1年以上，未按规定程序和时间要求完成设立或者增资（入伙）手续的；</w:t>
      </w:r>
    </w:p>
    <w:p w14:paraId="52D2E526">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eastAsia="zh-Hans"/>
        </w:rPr>
        <w:t>（</w:t>
      </w:r>
      <w:r>
        <w:rPr>
          <w:rFonts w:hint="eastAsia" w:ascii="Times New Roman Regular" w:hAnsi="Times New Roman Regular" w:eastAsia="仿宋_GB2312" w:cs="Times New Roman Regular"/>
          <w:sz w:val="32"/>
          <w:szCs w:val="32"/>
        </w:rPr>
        <w:t>2</w:t>
      </w:r>
      <w:r>
        <w:rPr>
          <w:rFonts w:hint="eastAsia" w:ascii="Times New Roman Regular" w:hAnsi="Times New Roman Regular" w:eastAsia="仿宋_GB2312" w:cs="Times New Roman Regular"/>
          <w:sz w:val="32"/>
          <w:szCs w:val="32"/>
          <w:lang w:eastAsia="zh-Hans"/>
        </w:rPr>
        <w:t>）</w:t>
      </w:r>
      <w:r>
        <w:rPr>
          <w:rFonts w:ascii="Times New Roman Regular" w:hAnsi="Times New Roman Regular" w:eastAsia="仿宋_GB2312" w:cs="Times New Roman Regular"/>
          <w:sz w:val="32"/>
          <w:szCs w:val="32"/>
          <w:lang w:eastAsia="zh-Hans"/>
        </w:rPr>
        <w:t>母基金管理机构与子基金管理机构签订合伙协议（或公司章程）后，未在6个月内完成其他出资人首期足额出资的</w:t>
      </w:r>
      <w:r>
        <w:rPr>
          <w:rFonts w:ascii="Times New Roman Regular" w:hAnsi="Times New Roman Regular" w:eastAsia="仿宋_GB2312" w:cs="Times New Roman Regular"/>
          <w:sz w:val="32"/>
          <w:szCs w:val="32"/>
        </w:rPr>
        <w:t>；</w:t>
      </w:r>
    </w:p>
    <w:p w14:paraId="25A15350">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（3）</w:t>
      </w:r>
      <w:r>
        <w:rPr>
          <w:rFonts w:ascii="Times New Roman Regular" w:hAnsi="Times New Roman Regular" w:eastAsia="仿宋_GB2312" w:cs="Times New Roman Regular"/>
          <w:sz w:val="32"/>
          <w:szCs w:val="32"/>
          <w:lang w:eastAsia="zh-Hans"/>
        </w:rPr>
        <w:t>人才发展母基金出资资金拨付子基金账户后，</w:t>
      </w:r>
      <w:r>
        <w:rPr>
          <w:rFonts w:hint="eastAsia" w:ascii="Times New Roman Regular" w:hAnsi="Times New Roman Regular" w:eastAsia="仿宋_GB2312" w:cs="Times New Roman Regular"/>
          <w:sz w:val="32"/>
          <w:szCs w:val="32"/>
        </w:rPr>
        <w:t>投资期内</w:t>
      </w:r>
      <w:r>
        <w:rPr>
          <w:rFonts w:ascii="Times New Roman Regular" w:hAnsi="Times New Roman Regular" w:eastAsia="仿宋_GB2312" w:cs="Times New Roman Regular"/>
          <w:sz w:val="32"/>
          <w:szCs w:val="32"/>
          <w:lang w:eastAsia="zh-Hans"/>
        </w:rPr>
        <w:t>子基金未开展投资业务超过一年的</w:t>
      </w:r>
      <w:r>
        <w:rPr>
          <w:rFonts w:ascii="Times New Roman Regular" w:hAnsi="Times New Roman Regular" w:eastAsia="仿宋_GB2312" w:cs="Times New Roman Regular"/>
          <w:sz w:val="32"/>
          <w:szCs w:val="32"/>
        </w:rPr>
        <w:t>；</w:t>
      </w:r>
    </w:p>
    <w:p w14:paraId="1B80B64D">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子基金运营有违法违规行为并被依法查处的；</w:t>
      </w:r>
    </w:p>
    <w:p w14:paraId="7A1FAE3C">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子基金管理机构发生实质性变化的，实质性变化包括但不限于实际控制人发生变化且未经人才发展母基金同意，管理团队发生重大变化且未经人才发展母基金同意等；</w:t>
      </w:r>
    </w:p>
    <w:p w14:paraId="456465FC">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子基金投资期届满后，仍未达到人才发展母基金要求的政策目标（包括返投入豫要求、投资阶段要求、人才项目投资比例要求）的。</w:t>
      </w:r>
    </w:p>
    <w:bookmarkEnd w:id="3"/>
    <w:p w14:paraId="3BE51D9B">
      <w:pPr>
        <w:spacing w:line="360" w:lineRule="auto"/>
        <w:ind w:left="640"/>
        <w:outlineLvl w:val="2"/>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信息披露</w:t>
      </w:r>
    </w:p>
    <w:p w14:paraId="5CB6AF12">
      <w:pPr>
        <w:spacing w:line="360" w:lineRule="auto"/>
        <w:ind w:firstLine="640" w:firstLineChars="200"/>
        <w:rPr>
          <w:rFonts w:hint="eastAsia" w:ascii="Times New Roman Regular" w:hAnsi="Times New Roman Regular" w:eastAsia="仿宋_GB2312" w:cs="Times New Roman Regular"/>
          <w:sz w:val="32"/>
          <w:szCs w:val="32"/>
        </w:rPr>
      </w:pPr>
      <w:bookmarkStart w:id="4" w:name="_Hlk174718859"/>
      <w:r>
        <w:rPr>
          <w:rFonts w:ascii="Times New Roman Regular" w:hAnsi="Times New Roman Regular" w:eastAsia="仿宋_GB2312" w:cs="Times New Roman Regular"/>
          <w:sz w:val="32"/>
          <w:szCs w:val="32"/>
        </w:rPr>
        <w:t>子基金管理机构应当建立子基金重大事项披露制度。子基金须定期向人才发展母基金提交子基金运营报告、经审计的子基金财务报告和银行托管报告等，人才发展母基金视工作需要可委托专业机构对子基金进行审计。</w:t>
      </w:r>
      <w:bookmarkEnd w:id="4"/>
    </w:p>
    <w:p w14:paraId="2B614C38">
      <w:pPr>
        <w:spacing w:line="360" w:lineRule="auto"/>
        <w:ind w:left="640"/>
        <w:outlineLvl w:val="1"/>
        <w:rPr>
          <w:rFonts w:hint="eastAsia" w:ascii="Times New Roman Regular" w:hAnsi="Times New Roman Regular" w:eastAsia="楷体_GB2312" w:cs="Times New Roman Regular"/>
          <w:sz w:val="32"/>
          <w:szCs w:val="32"/>
          <w:lang w:eastAsia="zh-Hans"/>
        </w:rPr>
      </w:pPr>
      <w:r>
        <w:rPr>
          <w:rFonts w:hint="eastAsia" w:ascii="Times New Roman Regular" w:hAnsi="Times New Roman Regular" w:eastAsia="楷体_GB2312" w:cs="Times New Roman Regular"/>
          <w:sz w:val="32"/>
          <w:szCs w:val="32"/>
        </w:rPr>
        <w:t>（十二）</w:t>
      </w:r>
      <w:r>
        <w:rPr>
          <w:rFonts w:ascii="Times New Roman Regular" w:hAnsi="Times New Roman Regular" w:eastAsia="楷体_GB2312" w:cs="Times New Roman Regular"/>
          <w:sz w:val="32"/>
          <w:szCs w:val="32"/>
          <w:lang w:eastAsia="zh-Hans"/>
        </w:rPr>
        <w:t>申请时限</w:t>
      </w:r>
    </w:p>
    <w:p w14:paraId="1C3E723C">
      <w:pPr>
        <w:spacing w:line="360" w:lineRule="auto"/>
        <w:ind w:firstLine="640" w:firstLineChars="200"/>
        <w:rPr>
          <w:rFonts w:hint="eastAsia" w:ascii="Times New Roman Regular" w:hAnsi="Times New Roman Regular" w:eastAsia="仿宋_GB2312" w:cs="Times New Roman Regular"/>
          <w:sz w:val="32"/>
          <w:szCs w:val="32"/>
          <w:lang w:eastAsia="zh-Hans"/>
        </w:rPr>
      </w:pPr>
      <w:r>
        <w:rPr>
          <w:rFonts w:ascii="Times New Roman Regular" w:hAnsi="Times New Roman Regular" w:eastAsia="仿宋_GB2312" w:cs="Times New Roman Regular"/>
          <w:sz w:val="32"/>
          <w:szCs w:val="32"/>
          <w:lang w:eastAsia="zh-Hans"/>
        </w:rPr>
        <w:t>申请人才发展母基金出资的新设子基金的，子基金管理机构须承诺自人才发展母基金出具投资意向书之日起12个月内按规定程序和要求完成子基金设立备案手续，并持续报送相关信息。新设子基金未按时完成注册和备案的，有关部门可依法对其采取相关措施推动注销企业登记或变更企业名称、经营范围。</w:t>
      </w:r>
    </w:p>
    <w:p w14:paraId="44253E45">
      <w:pPr>
        <w:spacing w:line="360" w:lineRule="auto"/>
        <w:ind w:firstLine="640" w:firstLineChars="200"/>
        <w:rPr>
          <w:rFonts w:hint="eastAsia"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lang w:eastAsia="zh-Hans"/>
        </w:rPr>
        <w:t>申请人才发展母基金增资的存量子基金的，子基金注册时间不超过12个月（自子基金工商注册之日起至人才发展母基金受理其申请之日止），同时须提供子基金现有全体出资人同意申请人才发展母基金出资且以平价增资并豁免人才发展母基金罚息及同意人才发展母基金享有子基金已投资项目收益（如有）的合伙人会议决议或股东会决议。</w:t>
      </w:r>
    </w:p>
    <w:p w14:paraId="6EC317E9">
      <w:pPr>
        <w:spacing w:line="360" w:lineRule="auto"/>
        <w:ind w:firstLine="640" w:firstLineChars="200"/>
        <w:rPr>
          <w:rFonts w:hint="eastAsia" w:ascii="黑体" w:hAnsi="黑体" w:eastAsia="黑体" w:cs="Times New Roman Regular"/>
          <w:sz w:val="32"/>
          <w:szCs w:val="32"/>
          <w:lang w:eastAsia="zh-Hans"/>
        </w:rPr>
      </w:pPr>
      <w:r>
        <w:rPr>
          <w:rFonts w:hint="eastAsia" w:ascii="黑体" w:hAnsi="黑体" w:eastAsia="黑体" w:cs="Times New Roman Regular"/>
          <w:sz w:val="32"/>
          <w:szCs w:val="32"/>
          <w:lang w:eastAsia="zh-Hans"/>
        </w:rPr>
        <w:t>四、</w:t>
      </w:r>
      <w:r>
        <w:rPr>
          <w:rFonts w:ascii="黑体" w:hAnsi="黑体" w:eastAsia="黑体" w:cs="Times New Roman Regular"/>
          <w:sz w:val="32"/>
          <w:szCs w:val="32"/>
          <w:lang w:eastAsia="zh-Hans"/>
        </w:rPr>
        <w:t>人才项目认定程序</w:t>
      </w:r>
    </w:p>
    <w:p w14:paraId="4C41682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子基金投资返投入豫人才项目须执行以下程序：</w:t>
      </w:r>
    </w:p>
    <w:p w14:paraId="100C9B53">
      <w:pPr>
        <w:spacing w:line="360" w:lineRule="auto"/>
        <w:ind w:firstLine="640" w:firstLineChars="200"/>
        <w:outlineLvl w:val="1"/>
        <w:rPr>
          <w:rFonts w:hint="eastAsia" w:ascii="Times New Roman Regular" w:hAnsi="Times New Roman Regular" w:eastAsia="仿宋_GB2312" w:cs="Times New Roman Regular"/>
          <w:sz w:val="32"/>
          <w:szCs w:val="32"/>
        </w:rPr>
      </w:pPr>
      <w:r>
        <w:rPr>
          <w:rStyle w:val="8"/>
          <w:rFonts w:hint="eastAsia" w:ascii="楷体_GB2312" w:hAnsi="楷体_GB2312" w:eastAsia="楷体_GB2312" w:cs="楷体_GB2312"/>
          <w:b w:val="0"/>
          <w:bCs/>
        </w:rPr>
        <w:t>（一）自评环节：</w:t>
      </w:r>
      <w:r>
        <w:rPr>
          <w:rFonts w:hint="eastAsia" w:ascii="Times New Roman Regular" w:hAnsi="Times New Roman Regular" w:eastAsia="仿宋_GB2312" w:cs="Times New Roman Regular"/>
          <w:sz w:val="32"/>
          <w:szCs w:val="32"/>
        </w:rPr>
        <w:t>子基金管理机构结合项目实际情况，参照返投入豫人才项目标准自行评估是否可以满足条件，并向母基金管理机构提交子基金管理机构加盖公章的自评报告（须体现评估依据和自评过程）。</w:t>
      </w:r>
    </w:p>
    <w:p w14:paraId="11E32BAE">
      <w:pPr>
        <w:spacing w:line="360" w:lineRule="auto"/>
        <w:ind w:firstLine="640" w:firstLineChars="200"/>
        <w:outlineLvl w:val="1"/>
        <w:rPr>
          <w:rFonts w:hint="eastAsia" w:ascii="Times New Roman Regular" w:hAnsi="Times New Roman Regular" w:eastAsia="仿宋_GB2312" w:cs="Times New Roman Regular"/>
          <w:sz w:val="32"/>
          <w:szCs w:val="32"/>
        </w:rPr>
      </w:pPr>
      <w:r>
        <w:rPr>
          <w:rFonts w:hint="eastAsia" w:ascii="Times New Roman Regular" w:hAnsi="Times New Roman Regular" w:eastAsia="楷体_GB2312" w:cs="Times New Roman Regular"/>
          <w:sz w:val="32"/>
          <w:szCs w:val="32"/>
        </w:rPr>
        <w:t>（二）复核环节：</w:t>
      </w:r>
      <w:r>
        <w:rPr>
          <w:rFonts w:hint="eastAsia" w:ascii="Times New Roman Regular" w:hAnsi="Times New Roman Regular" w:eastAsia="仿宋_GB2312" w:cs="Times New Roman Regular"/>
          <w:sz w:val="32"/>
          <w:szCs w:val="32"/>
        </w:rPr>
        <w:t>母基金管理机构对子基金管理机构提交的自评报告予以复核，复核通过的项目可以纳入返投入豫人才项目计算，复核不通过的项目不予纳入。</w:t>
      </w:r>
    </w:p>
    <w:p w14:paraId="26A3C5FA">
      <w:pPr>
        <w:spacing w:line="360" w:lineRule="auto"/>
        <w:ind w:firstLine="640" w:firstLineChars="200"/>
        <w:outlineLvl w:val="1"/>
        <w:rPr>
          <w:rFonts w:hint="eastAsia" w:ascii="Times New Roman Regular" w:hAnsi="Times New Roman Regular" w:eastAsia="仿宋_GB2312" w:cs="Times New Roman Regular"/>
          <w:sz w:val="32"/>
          <w:szCs w:val="32"/>
          <w:lang w:eastAsia="zh-Hans"/>
        </w:rPr>
      </w:pPr>
      <w:r>
        <w:rPr>
          <w:rFonts w:hint="eastAsia" w:ascii="Times New Roman Regular" w:hAnsi="Times New Roman Regular" w:eastAsia="楷体_GB2312" w:cs="Times New Roman Regular"/>
          <w:sz w:val="32"/>
          <w:szCs w:val="32"/>
        </w:rPr>
        <w:t>（三）过程控制：</w:t>
      </w:r>
      <w:r>
        <w:rPr>
          <w:rFonts w:hint="eastAsia" w:ascii="Times New Roman Regular" w:hAnsi="Times New Roman Regular" w:eastAsia="仿宋_GB2312" w:cs="Times New Roman Regular"/>
          <w:sz w:val="32"/>
          <w:szCs w:val="32"/>
          <w:lang w:eastAsia="zh-Hans"/>
        </w:rPr>
        <w:t>母基金管理机构持续跟踪子基金管理机构投资于</w:t>
      </w:r>
      <w:r>
        <w:rPr>
          <w:rFonts w:hint="eastAsia" w:ascii="Times New Roman Regular" w:hAnsi="Times New Roman Regular" w:eastAsia="仿宋_GB2312" w:cs="Times New Roman Regular"/>
          <w:sz w:val="32"/>
          <w:szCs w:val="32"/>
        </w:rPr>
        <w:t>返投入豫</w:t>
      </w:r>
      <w:r>
        <w:rPr>
          <w:rFonts w:hint="eastAsia" w:ascii="Times New Roman Regular" w:hAnsi="Times New Roman Regular" w:eastAsia="仿宋_GB2312" w:cs="Times New Roman Regular"/>
          <w:sz w:val="32"/>
          <w:szCs w:val="32"/>
          <w:lang w:eastAsia="zh-Hans"/>
        </w:rPr>
        <w:t>人才项目的进展</w:t>
      </w:r>
      <w:r>
        <w:rPr>
          <w:rFonts w:ascii="Times New Roman Regular" w:hAnsi="Times New Roman Regular" w:eastAsia="仿宋_GB2312" w:cs="Times New Roman Regular"/>
          <w:sz w:val="32"/>
          <w:szCs w:val="32"/>
          <w:lang w:eastAsia="zh-Hans"/>
        </w:rPr>
        <w:t>，</w:t>
      </w:r>
      <w:r>
        <w:rPr>
          <w:rFonts w:hint="eastAsia" w:ascii="Times New Roman Regular" w:hAnsi="Times New Roman Regular" w:eastAsia="仿宋_GB2312" w:cs="Times New Roman Regular"/>
          <w:sz w:val="32"/>
          <w:szCs w:val="32"/>
          <w:lang w:eastAsia="zh-Hans"/>
        </w:rPr>
        <w:t>对于投资</w:t>
      </w:r>
      <w:r>
        <w:rPr>
          <w:rFonts w:hint="eastAsia" w:ascii="Times New Roman Regular" w:hAnsi="Times New Roman Regular" w:eastAsia="仿宋_GB2312" w:cs="Times New Roman Regular"/>
          <w:sz w:val="32"/>
          <w:szCs w:val="32"/>
        </w:rPr>
        <w:t>返投入豫</w:t>
      </w:r>
      <w:r>
        <w:rPr>
          <w:rFonts w:hint="eastAsia" w:ascii="Times New Roman Regular" w:hAnsi="Times New Roman Regular" w:eastAsia="仿宋_GB2312" w:cs="Times New Roman Regular"/>
          <w:sz w:val="32"/>
          <w:szCs w:val="32"/>
          <w:lang w:eastAsia="zh-Hans"/>
        </w:rPr>
        <w:t>人才项目不达时序进度的</w:t>
      </w:r>
      <w:r>
        <w:rPr>
          <w:rFonts w:ascii="Times New Roman Regular" w:hAnsi="Times New Roman Regular" w:eastAsia="仿宋_GB2312" w:cs="Times New Roman Regular"/>
          <w:sz w:val="32"/>
          <w:szCs w:val="32"/>
          <w:lang w:eastAsia="zh-Hans"/>
        </w:rPr>
        <w:t>，</w:t>
      </w:r>
      <w:r>
        <w:rPr>
          <w:rFonts w:hint="eastAsia" w:ascii="Times New Roman Regular" w:hAnsi="Times New Roman Regular" w:eastAsia="仿宋_GB2312" w:cs="Times New Roman Regular"/>
          <w:sz w:val="32"/>
          <w:szCs w:val="32"/>
          <w:lang w:eastAsia="zh-Hans"/>
        </w:rPr>
        <w:t>母基金管理机构有权通过口头指导</w:t>
      </w:r>
      <w:r>
        <w:rPr>
          <w:rFonts w:ascii="Times New Roman Regular" w:hAnsi="Times New Roman Regular" w:eastAsia="仿宋_GB2312" w:cs="Times New Roman Regular"/>
          <w:sz w:val="32"/>
          <w:szCs w:val="32"/>
          <w:lang w:eastAsia="zh-Hans"/>
        </w:rPr>
        <w:t>、</w:t>
      </w:r>
      <w:r>
        <w:rPr>
          <w:rFonts w:hint="eastAsia" w:ascii="Times New Roman Regular" w:hAnsi="Times New Roman Regular" w:eastAsia="仿宋_GB2312" w:cs="Times New Roman Regular"/>
          <w:sz w:val="32"/>
          <w:szCs w:val="32"/>
          <w:lang w:eastAsia="zh-Hans"/>
        </w:rPr>
        <w:t>发函、暂缓后续出资等方式敦促子基金管理机构及时调整</w:t>
      </w:r>
      <w:r>
        <w:rPr>
          <w:rFonts w:ascii="Times New Roman Regular" w:hAnsi="Times New Roman Regular" w:eastAsia="仿宋_GB2312" w:cs="Times New Roman Regular"/>
          <w:sz w:val="32"/>
          <w:szCs w:val="32"/>
          <w:lang w:eastAsia="zh-Hans"/>
        </w:rPr>
        <w:t>。</w:t>
      </w:r>
    </w:p>
    <w:p w14:paraId="5EF16321">
      <w:pPr>
        <w:spacing w:line="360" w:lineRule="auto"/>
        <w:ind w:firstLine="640" w:firstLineChars="200"/>
        <w:rPr>
          <w:rFonts w:hint="eastAsia" w:ascii="黑体" w:hAnsi="黑体" w:eastAsia="黑体" w:cs="Times New Roman Regular"/>
          <w:sz w:val="32"/>
          <w:szCs w:val="32"/>
          <w:lang w:eastAsia="zh-Hans"/>
        </w:rPr>
      </w:pPr>
      <w:r>
        <w:rPr>
          <w:rFonts w:hint="eastAsia" w:ascii="黑体" w:hAnsi="黑体" w:eastAsia="黑体" w:cs="Times New Roman Regular"/>
          <w:sz w:val="32"/>
          <w:szCs w:val="32"/>
          <w:lang w:eastAsia="zh-Hans"/>
        </w:rPr>
        <w:t>五、</w:t>
      </w:r>
      <w:r>
        <w:rPr>
          <w:rFonts w:ascii="黑体" w:hAnsi="黑体" w:eastAsia="黑体" w:cs="Times New Roman Regular"/>
          <w:sz w:val="32"/>
          <w:szCs w:val="32"/>
          <w:lang w:eastAsia="zh-Hans"/>
        </w:rPr>
        <w:t>子基金管理机构遴选流程</w:t>
      </w:r>
    </w:p>
    <w:p w14:paraId="3BD152F4">
      <w:pPr>
        <w:spacing w:line="360" w:lineRule="auto"/>
        <w:ind w:firstLine="640" w:firstLineChars="200"/>
        <w:outlineLvl w:val="1"/>
        <w:rPr>
          <w:rFonts w:hint="eastAsia" w:ascii="Times New Roman Regular" w:hAnsi="Times New Roman Regular" w:eastAsia="仿宋_GB2312" w:cs="Times New Roman Regular"/>
          <w:sz w:val="32"/>
          <w:szCs w:val="32"/>
        </w:rPr>
      </w:pPr>
      <w:r>
        <w:rPr>
          <w:rFonts w:hint="eastAsia" w:ascii="Times New Roman Regular" w:hAnsi="Times New Roman Regular" w:eastAsia="楷体_GB2312" w:cs="Times New Roman Regular"/>
          <w:sz w:val="32"/>
          <w:szCs w:val="32"/>
        </w:rPr>
        <w:t>（一）</w:t>
      </w:r>
      <w:r>
        <w:rPr>
          <w:rFonts w:ascii="Times New Roman Regular" w:hAnsi="Times New Roman Regular" w:eastAsia="楷体_GB2312" w:cs="Times New Roman Regular"/>
          <w:sz w:val="32"/>
          <w:szCs w:val="32"/>
        </w:rPr>
        <w:t>公开征集：</w:t>
      </w:r>
      <w:r>
        <w:rPr>
          <w:rFonts w:ascii="Times New Roman Regular" w:hAnsi="Times New Roman Regular" w:eastAsia="仿宋_GB2312" w:cs="Times New Roman Regular"/>
          <w:sz w:val="32"/>
          <w:szCs w:val="32"/>
          <w:lang w:eastAsia="zh-Hans"/>
        </w:rPr>
        <w:t>母基金管理机构公开征集子基金，明确扶持对象和申报要求</w:t>
      </w:r>
      <w:r>
        <w:rPr>
          <w:rFonts w:ascii="Times New Roman Regular" w:hAnsi="Times New Roman Regular" w:eastAsia="仿宋_GB2312" w:cs="Times New Roman Regular"/>
          <w:sz w:val="32"/>
          <w:szCs w:val="32"/>
        </w:rPr>
        <w:t>。</w:t>
      </w:r>
    </w:p>
    <w:p w14:paraId="1191477E">
      <w:pPr>
        <w:spacing w:line="360" w:lineRule="auto"/>
        <w:ind w:firstLine="640" w:firstLineChars="200"/>
        <w:outlineLvl w:val="1"/>
        <w:rPr>
          <w:rFonts w:hint="eastAsia" w:ascii="Times New Roman Regular" w:hAnsi="Times New Roman Regular" w:eastAsia="仿宋_GB2312" w:cs="Times New Roman Regular"/>
          <w:sz w:val="32"/>
          <w:szCs w:val="32"/>
        </w:rPr>
      </w:pPr>
      <w:r>
        <w:rPr>
          <w:rFonts w:hint="eastAsia" w:ascii="Times New Roman Regular" w:hAnsi="Times New Roman Regular" w:eastAsia="楷体_GB2312" w:cs="Times New Roman Regular"/>
          <w:sz w:val="32"/>
          <w:szCs w:val="32"/>
        </w:rPr>
        <w:t>（二）</w:t>
      </w:r>
      <w:r>
        <w:rPr>
          <w:rFonts w:ascii="Times New Roman Regular" w:hAnsi="Times New Roman Regular" w:eastAsia="楷体_GB2312" w:cs="Times New Roman Regular"/>
          <w:sz w:val="32"/>
          <w:szCs w:val="32"/>
        </w:rPr>
        <w:t>材料申报：</w:t>
      </w:r>
      <w:r>
        <w:rPr>
          <w:rFonts w:ascii="Times New Roman Regular" w:hAnsi="Times New Roman Regular" w:eastAsia="仿宋_GB2312" w:cs="Times New Roman Regular"/>
          <w:sz w:val="32"/>
          <w:szCs w:val="32"/>
        </w:rPr>
        <w:t>子基金管理机构根据申报要求编制申报文件，提交母基金管理机构。</w:t>
      </w:r>
    </w:p>
    <w:p w14:paraId="3B366E03">
      <w:pPr>
        <w:spacing w:line="360" w:lineRule="auto"/>
        <w:ind w:firstLine="640" w:firstLineChars="200"/>
        <w:outlineLvl w:val="1"/>
        <w:rPr>
          <w:rFonts w:hint="eastAsia" w:ascii="Times New Roman Regular" w:hAnsi="Times New Roman Regular" w:eastAsia="仿宋_GB2312" w:cs="Times New Roman Regular"/>
          <w:sz w:val="32"/>
          <w:szCs w:val="32"/>
        </w:rPr>
      </w:pPr>
      <w:r>
        <w:rPr>
          <w:rFonts w:hint="eastAsia" w:ascii="Times New Roman Regular" w:hAnsi="Times New Roman Regular" w:eastAsia="楷体_GB2312" w:cs="Times New Roman Regular"/>
          <w:sz w:val="32"/>
          <w:szCs w:val="32"/>
        </w:rPr>
        <w:t>（三）</w:t>
      </w:r>
      <w:r>
        <w:rPr>
          <w:rFonts w:ascii="Times New Roman Regular" w:hAnsi="Times New Roman Regular" w:eastAsia="楷体_GB2312" w:cs="Times New Roman Regular"/>
          <w:sz w:val="32"/>
          <w:szCs w:val="32"/>
        </w:rPr>
        <w:t>材料初审：</w:t>
      </w:r>
      <w:r>
        <w:rPr>
          <w:rFonts w:ascii="Times New Roman Regular" w:hAnsi="Times New Roman Regular" w:eastAsia="仿宋_GB2312" w:cs="Times New Roman Regular"/>
          <w:sz w:val="32"/>
          <w:szCs w:val="32"/>
        </w:rPr>
        <w:t>母基金管理机构按照本办法确定的条件，对申报材料进行初步审核、筛选，对于通过初审的子基金提交立项。</w:t>
      </w:r>
    </w:p>
    <w:p w14:paraId="78633683">
      <w:pPr>
        <w:spacing w:line="360" w:lineRule="auto"/>
        <w:ind w:firstLine="640" w:firstLineChars="200"/>
        <w:outlineLvl w:val="1"/>
        <w:rPr>
          <w:rFonts w:hint="eastAsia" w:ascii="Times New Roman Regular" w:hAnsi="Times New Roman Regular" w:eastAsia="仿宋_GB2312" w:cs="Times New Roman Regular"/>
          <w:sz w:val="32"/>
          <w:szCs w:val="32"/>
        </w:rPr>
      </w:pPr>
      <w:r>
        <w:rPr>
          <w:rFonts w:hint="eastAsia" w:ascii="Times New Roman Regular" w:hAnsi="Times New Roman Regular" w:eastAsia="楷体_GB2312" w:cs="Times New Roman Regular"/>
          <w:sz w:val="32"/>
          <w:szCs w:val="32"/>
        </w:rPr>
        <w:t>（四）</w:t>
      </w:r>
      <w:r>
        <w:rPr>
          <w:rFonts w:ascii="Times New Roman Regular" w:hAnsi="Times New Roman Regular" w:eastAsia="楷体_GB2312" w:cs="Times New Roman Regular"/>
          <w:sz w:val="32"/>
          <w:szCs w:val="32"/>
        </w:rPr>
        <w:t>尽职调查：</w:t>
      </w:r>
      <w:r>
        <w:rPr>
          <w:rFonts w:ascii="Times New Roman Regular" w:hAnsi="Times New Roman Regular" w:eastAsia="仿宋_GB2312" w:cs="Times New Roman Regular"/>
          <w:sz w:val="32"/>
          <w:szCs w:val="32"/>
          <w:lang w:eastAsia="zh-Hans"/>
        </w:rPr>
        <w:t>对于通过立项的子基金，母基金管理机构独立或委托第三方机构对子基金及其管理机构（或拟设机构）等开展尽职调查，编制尽职调查报告，并提出投资建议</w:t>
      </w:r>
      <w:r>
        <w:rPr>
          <w:rFonts w:ascii="Times New Roman Regular" w:hAnsi="Times New Roman Regular" w:eastAsia="仿宋_GB2312" w:cs="Times New Roman Regular"/>
          <w:sz w:val="32"/>
          <w:szCs w:val="32"/>
        </w:rPr>
        <w:t>。</w:t>
      </w:r>
    </w:p>
    <w:p w14:paraId="06177048">
      <w:pPr>
        <w:spacing w:line="360" w:lineRule="auto"/>
        <w:ind w:firstLine="640" w:firstLineChars="200"/>
        <w:outlineLvl w:val="1"/>
        <w:rPr>
          <w:rFonts w:hint="eastAsia" w:ascii="Times New Roman Regular" w:hAnsi="Times New Roman Regular" w:eastAsia="仿宋_GB2312" w:cs="Times New Roman Regular"/>
          <w:sz w:val="32"/>
          <w:szCs w:val="32"/>
        </w:rPr>
      </w:pPr>
      <w:r>
        <w:rPr>
          <w:rFonts w:hint="eastAsia" w:ascii="Times New Roman Regular" w:hAnsi="Times New Roman Regular" w:eastAsia="楷体_GB2312" w:cs="Times New Roman Regular"/>
          <w:sz w:val="32"/>
          <w:szCs w:val="32"/>
        </w:rPr>
        <w:t>（五）</w:t>
      </w:r>
      <w:r>
        <w:rPr>
          <w:rFonts w:ascii="Times New Roman Regular" w:hAnsi="Times New Roman Regular" w:eastAsia="楷体_GB2312" w:cs="Times New Roman Regular"/>
          <w:sz w:val="32"/>
          <w:szCs w:val="32"/>
        </w:rPr>
        <w:t>投资评审：</w:t>
      </w:r>
      <w:r>
        <w:rPr>
          <w:rFonts w:ascii="Times New Roman Regular" w:hAnsi="Times New Roman Regular" w:eastAsia="仿宋_GB2312" w:cs="Times New Roman Regular"/>
          <w:sz w:val="32"/>
          <w:szCs w:val="32"/>
        </w:rPr>
        <w:t>完成尽职调查后，母基金管理机构将子基金设立方案、投资建议、尽职调查报告等相关资料提交投委会进行评审。</w:t>
      </w:r>
    </w:p>
    <w:p w14:paraId="3BB5A6C5">
      <w:pPr>
        <w:spacing w:line="360" w:lineRule="auto"/>
        <w:ind w:firstLine="640" w:firstLineChars="200"/>
        <w:outlineLvl w:val="1"/>
        <w:rPr>
          <w:rFonts w:hint="eastAsia" w:ascii="Times New Roman Regular" w:hAnsi="Times New Roman Regular" w:eastAsia="仿宋_GB2312" w:cs="Times New Roman Regular"/>
          <w:sz w:val="32"/>
          <w:szCs w:val="32"/>
        </w:rPr>
      </w:pPr>
      <w:r>
        <w:rPr>
          <w:rFonts w:hint="eastAsia" w:ascii="Times New Roman Regular" w:hAnsi="Times New Roman Regular" w:eastAsia="楷体_GB2312" w:cs="Times New Roman Regular"/>
          <w:sz w:val="32"/>
          <w:szCs w:val="32"/>
        </w:rPr>
        <w:t>（六）</w:t>
      </w:r>
      <w:r>
        <w:rPr>
          <w:rFonts w:ascii="Times New Roman Regular" w:hAnsi="Times New Roman Regular" w:eastAsia="楷体_GB2312" w:cs="Times New Roman Regular"/>
          <w:sz w:val="32"/>
          <w:szCs w:val="32"/>
        </w:rPr>
        <w:t>社会公示：</w:t>
      </w:r>
      <w:r>
        <w:rPr>
          <w:rFonts w:hint="eastAsia" w:ascii="Times New Roman Regular" w:hAnsi="Times New Roman Regular" w:eastAsia="仿宋_GB2312" w:cs="Times New Roman Regular"/>
          <w:sz w:val="32"/>
          <w:szCs w:val="32"/>
        </w:rPr>
        <w:t>对拟支持的子基金在官网或指定渠道予以公示5个工作日。</w:t>
      </w:r>
    </w:p>
    <w:p w14:paraId="72F14137">
      <w:pPr>
        <w:spacing w:line="360" w:lineRule="auto"/>
        <w:ind w:firstLine="640" w:firstLineChars="200"/>
        <w:outlineLvl w:val="1"/>
        <w:rPr>
          <w:rFonts w:hint="eastAsia" w:ascii="Times New Roman Regular" w:hAnsi="Times New Roman Regular" w:eastAsia="仿宋_GB2312" w:cs="Times New Roman Regular"/>
          <w:sz w:val="32"/>
          <w:szCs w:val="32"/>
        </w:rPr>
      </w:pPr>
      <w:r>
        <w:rPr>
          <w:rFonts w:hint="eastAsia" w:ascii="Times New Roman Regular" w:hAnsi="Times New Roman Regular" w:eastAsia="楷体_GB2312" w:cs="Times New Roman Regular"/>
          <w:sz w:val="32"/>
          <w:szCs w:val="32"/>
        </w:rPr>
        <w:t>（七）</w:t>
      </w:r>
      <w:r>
        <w:rPr>
          <w:rFonts w:ascii="Times New Roman Regular" w:hAnsi="Times New Roman Regular" w:eastAsia="楷体_GB2312" w:cs="Times New Roman Regular"/>
          <w:sz w:val="32"/>
          <w:szCs w:val="32"/>
        </w:rPr>
        <w:t>法律文件的签署和资金拨付：</w:t>
      </w:r>
      <w:r>
        <w:rPr>
          <w:rFonts w:ascii="Times New Roman Regular" w:hAnsi="Times New Roman Regular" w:eastAsia="仿宋_GB2312" w:cs="Times New Roman Regular"/>
          <w:sz w:val="32"/>
          <w:szCs w:val="32"/>
          <w:lang w:eastAsia="zh-Hans"/>
        </w:rPr>
        <w:t>母基金管理机构按要求及时与子基金管理机构开展子基金合伙协议（或公司章程）等各项法律文件的起草、谈判、修订工作，形成最终版本后由母基金管理机构签署盖章和进行资金拨付</w:t>
      </w:r>
      <w:r>
        <w:rPr>
          <w:rFonts w:ascii="Times New Roman Regular" w:hAnsi="Times New Roman Regular" w:eastAsia="仿宋_GB2312" w:cs="Times New Roman Regular"/>
          <w:sz w:val="32"/>
          <w:szCs w:val="32"/>
        </w:rPr>
        <w:t>。</w:t>
      </w:r>
    </w:p>
    <w:p w14:paraId="159AA832">
      <w:pPr>
        <w:spacing w:line="360" w:lineRule="auto"/>
        <w:ind w:firstLine="640" w:firstLineChars="200"/>
        <w:outlineLvl w:val="1"/>
        <w:rPr>
          <w:rFonts w:hint="eastAsia" w:ascii="仿宋_GB2312" w:hAnsi="仿宋_GB2312" w:eastAsia="仿宋_GB2312" w:cs="仿宋_GB2312"/>
          <w:sz w:val="32"/>
          <w:szCs w:val="32"/>
        </w:rPr>
      </w:pPr>
      <w:r>
        <w:rPr>
          <w:rFonts w:hint="eastAsia" w:ascii="Times New Roman Regular" w:hAnsi="Times New Roman Regular" w:eastAsia="楷体_GB2312" w:cs="Times New Roman Regular"/>
          <w:sz w:val="32"/>
          <w:szCs w:val="32"/>
        </w:rPr>
        <w:t>（八）</w:t>
      </w:r>
      <w:r>
        <w:rPr>
          <w:rFonts w:ascii="Times New Roman Regular" w:hAnsi="Times New Roman Regular" w:eastAsia="楷体_GB2312" w:cs="Times New Roman Regular"/>
          <w:sz w:val="32"/>
          <w:szCs w:val="32"/>
        </w:rPr>
        <w:t>投后管理及退出：</w:t>
      </w:r>
      <w:r>
        <w:rPr>
          <w:rFonts w:ascii="Times New Roman Regular" w:hAnsi="Times New Roman Regular" w:eastAsia="仿宋_GB2312" w:cs="Times New Roman Regular"/>
          <w:sz w:val="32"/>
          <w:szCs w:val="32"/>
        </w:rPr>
        <w:t>为提升子基金规范运营、业务拓展等方面的能力，母基金管理机构对子基金投后管理措施包括但不限于运作监督、信息汇总、考核评价、返投认定、子基金投后事项的合规性复核等。</w:t>
      </w:r>
    </w:p>
    <w:p w14:paraId="03AE908B">
      <w:pPr>
        <w:spacing w:line="360" w:lineRule="auto"/>
        <w:ind w:firstLine="640" w:firstLineChars="200"/>
        <w:rPr>
          <w:rFonts w:hint="eastAsia" w:ascii="黑体" w:hAnsi="黑体" w:eastAsia="黑体" w:cs="Times New Roman Regular"/>
          <w:sz w:val="32"/>
          <w:szCs w:val="32"/>
          <w:lang w:eastAsia="zh-Hans"/>
        </w:rPr>
      </w:pPr>
      <w:r>
        <w:rPr>
          <w:rFonts w:hint="eastAsia" w:ascii="黑体" w:hAnsi="黑体" w:eastAsia="黑体" w:cs="Times New Roman Regular"/>
          <w:sz w:val="32"/>
          <w:szCs w:val="32"/>
          <w:lang w:eastAsia="zh-Hans"/>
        </w:rPr>
        <w:t>六、</w:t>
      </w:r>
      <w:r>
        <w:rPr>
          <w:rFonts w:ascii="黑体" w:hAnsi="黑体" w:eastAsia="黑体" w:cs="Times New Roman Regular"/>
          <w:sz w:val="32"/>
          <w:szCs w:val="32"/>
          <w:lang w:eastAsia="zh-Hans"/>
        </w:rPr>
        <w:t>其他事项</w:t>
      </w:r>
    </w:p>
    <w:p w14:paraId="2C441739">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（一）</w:t>
      </w:r>
      <w:r>
        <w:rPr>
          <w:rFonts w:ascii="Times New Roman Regular" w:hAnsi="Times New Roman Regular" w:eastAsia="仿宋_GB2312" w:cs="Times New Roman Regular"/>
          <w:sz w:val="32"/>
          <w:szCs w:val="32"/>
        </w:rPr>
        <w:t>申报机构应当据实报送有关材料，对于提供虚假材料的申报机构，将取消其资格。</w:t>
      </w:r>
    </w:p>
    <w:p w14:paraId="5BBDF992">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（二）</w:t>
      </w:r>
      <w:r>
        <w:rPr>
          <w:rFonts w:ascii="Times New Roman Regular" w:hAnsi="Times New Roman Regular" w:eastAsia="仿宋_GB2312" w:cs="Times New Roman Regular"/>
          <w:sz w:val="32"/>
          <w:szCs w:val="32"/>
        </w:rPr>
        <w:t>本次申报收取的材料不做退回处理。</w:t>
      </w:r>
    </w:p>
    <w:p w14:paraId="2811C819">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（三）</w:t>
      </w:r>
      <w:r>
        <w:rPr>
          <w:rFonts w:ascii="Times New Roman Regular" w:hAnsi="Times New Roman Regular" w:eastAsia="仿宋_GB2312" w:cs="Times New Roman Regular"/>
          <w:sz w:val="32"/>
          <w:szCs w:val="32"/>
        </w:rPr>
        <w:t>本公告仅是一种邀请行为，并不构成法律上的要约。</w:t>
      </w:r>
    </w:p>
    <w:p w14:paraId="57C97EAF">
      <w:pPr>
        <w:spacing w:line="360" w:lineRule="auto"/>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（四）</w:t>
      </w:r>
      <w:r>
        <w:rPr>
          <w:rFonts w:ascii="Times New Roman Regular" w:hAnsi="Times New Roman Regular" w:eastAsia="仿宋_GB2312" w:cs="Times New Roman Regular"/>
          <w:sz w:val="32"/>
          <w:szCs w:val="32"/>
        </w:rPr>
        <w:t>母基金管理机构对遴选相关事项拥有最终解释权。</w:t>
      </w:r>
    </w:p>
    <w:p w14:paraId="5F178A0E">
      <w:pPr>
        <w:pStyle w:val="3"/>
        <w:spacing w:line="360" w:lineRule="auto"/>
        <w:jc w:val="left"/>
        <w:rPr>
          <w:rFonts w:eastAsia="仿宋_GB2312"/>
          <w:color w:val="000000"/>
          <w:sz w:val="32"/>
          <w:szCs w:val="32"/>
        </w:rPr>
      </w:pPr>
      <w:bookmarkStart w:id="5" w:name="_GoBack"/>
      <w:bookmarkEnd w:id="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仿宋_GB2312"/>
        <w:sz w:val="32"/>
        <w:szCs w:val="22"/>
        <w14:ligatures w14:val="standardContextual"/>
      </w:rPr>
      <w:id w:val="147463519"/>
    </w:sdtPr>
    <w:sdtEndPr>
      <w:rPr>
        <w:rFonts w:eastAsia="仿宋_GB2312"/>
        <w:sz w:val="18"/>
        <w:szCs w:val="18"/>
        <w14:ligatures w14:val="standardContextual"/>
      </w:rPr>
    </w:sdtEndPr>
    <w:sdtContent>
      <w:p w14:paraId="7535299B">
        <w:pPr>
          <w:tabs>
            <w:tab w:val="center" w:pos="4153"/>
            <w:tab w:val="right" w:pos="8306"/>
          </w:tabs>
          <w:snapToGrid w:val="0"/>
          <w:spacing w:line="240" w:lineRule="atLeast"/>
          <w:jc w:val="right"/>
          <w:rPr>
            <w:rFonts w:eastAsia="仿宋_GB2312"/>
            <w:sz w:val="18"/>
            <w:szCs w:val="18"/>
            <w14:ligatures w14:val="standardContextual"/>
          </w:rPr>
        </w:pPr>
        <w:r>
          <w:rPr>
            <w:rFonts w:ascii="仿宋_GB2312" w:eastAsia="仿宋_GB2312"/>
            <w:sz w:val="32"/>
            <w:szCs w:val="32"/>
            <w14:ligatures w14:val="standardContextual"/>
          </w:rPr>
          <w:fldChar w:fldCharType="begin"/>
        </w:r>
        <w:r>
          <w:rPr>
            <w:rFonts w:ascii="仿宋_GB2312" w:eastAsia="仿宋_GB2312"/>
            <w:sz w:val="32"/>
            <w:szCs w:val="32"/>
            <w14:ligatures w14:val="standardContextual"/>
          </w:rPr>
          <w:instrText xml:space="preserve">PAGE   \* MERGEFORMAT</w:instrText>
        </w:r>
        <w:r>
          <w:rPr>
            <w:rFonts w:ascii="仿宋_GB2312" w:eastAsia="仿宋_GB2312"/>
            <w:sz w:val="32"/>
            <w:szCs w:val="32"/>
            <w14:ligatures w14:val="standardContextual"/>
          </w:rPr>
          <w:fldChar w:fldCharType="separate"/>
        </w:r>
        <w:r>
          <w:rPr>
            <w:rFonts w:ascii="仿宋_GB2312" w:eastAsia="仿宋_GB2312"/>
            <w:sz w:val="32"/>
            <w:szCs w:val="32"/>
            <w:lang w:val="zh-CN"/>
            <w14:ligatures w14:val="standardContextual"/>
          </w:rPr>
          <w:t>2</w:t>
        </w:r>
        <w:r>
          <w:rPr>
            <w:rFonts w:ascii="仿宋_GB2312" w:eastAsia="仿宋_GB2312"/>
            <w:sz w:val="32"/>
            <w:szCs w:val="32"/>
            <w14:ligatures w14:val="standardContextual"/>
          </w:rPr>
          <w:fldChar w:fldCharType="end"/>
        </w:r>
      </w:p>
    </w:sdtContent>
  </w:sdt>
  <w:p w14:paraId="523252E7">
    <w:pPr>
      <w:tabs>
        <w:tab w:val="center" w:pos="4153"/>
        <w:tab w:val="right" w:pos="8306"/>
      </w:tabs>
      <w:snapToGrid w:val="0"/>
      <w:spacing w:line="240" w:lineRule="atLeast"/>
      <w:jc w:val="left"/>
      <w:rPr>
        <w:rFonts w:eastAsia="仿宋_GB2312"/>
        <w:sz w:val="18"/>
        <w:szCs w:val="18"/>
        <w14:ligatures w14:val="standardContextual"/>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65"/>
    <w:rsid w:val="00042236"/>
    <w:rsid w:val="00190334"/>
    <w:rsid w:val="003B647F"/>
    <w:rsid w:val="00A67C65"/>
    <w:rsid w:val="0B4A5FDF"/>
    <w:rsid w:val="0D1F68E8"/>
    <w:rsid w:val="20205974"/>
    <w:rsid w:val="22963C78"/>
    <w:rsid w:val="4F1801C5"/>
    <w:rsid w:val="50AC4B3D"/>
    <w:rsid w:val="5A6279C1"/>
    <w:rsid w:val="5E9D7E36"/>
    <w:rsid w:val="6D7A1610"/>
    <w:rsid w:val="711E2985"/>
    <w:rsid w:val="7E3A23AF"/>
    <w:rsid w:val="7FEA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rPr>
      <w:sz w:val="24"/>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7">
    <w:name w:val="Hyperlink"/>
    <w:basedOn w:val="6"/>
    <w:unhideWhenUsed/>
    <w:qFormat/>
    <w:uiPriority w:val="99"/>
    <w:rPr>
      <w:color w:val="0000FF"/>
      <w:u w:val="single"/>
    </w:rPr>
  </w:style>
  <w:style w:type="character" w:customStyle="1" w:styleId="8">
    <w:name w:val="标题 2 字符"/>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6491</Words>
  <Characters>6666</Characters>
  <Lines>656</Lines>
  <Paragraphs>384</Paragraphs>
  <TotalTime>2</TotalTime>
  <ScaleCrop>false</ScaleCrop>
  <LinksUpToDate>false</LinksUpToDate>
  <CharactersWithSpaces>6906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2024-12-31T01:16:00Z</dcterms:created>
  <dc:creator>卜佩星</dc:creator>
  <cp:lastModifiedBy>卜佩星</cp:lastModifiedBy>
  <dcterms:modified xsi:type="dcterms:W3CDTF">2025-09-04T02:50:32Z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eyJoZGlkIjoiMjJiZDhhMDU2YjNjMDkxN2E3MzRhNWJkZmEwODhjYzYiLCJ1c2VySWQiOiIxMDE3NjM2NTM0In0=</vt:lpwstr>
  </property>
  <property fmtid="{D5CDD505-2E9C-101B-9397-08002B2CF9AE}" pid="4" name="ICV">
    <vt:lpwstr>7666BBFE253D4F4F8047E1DF4C1940A5_13</vt:lpwstr>
  </property>
</Properties>
</file>