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8" w:leftChars="-204" w:right="-477" w:rightChars="-227"/>
        <w:jc w:val="center"/>
        <w:rPr>
          <w:rFonts w:hint="eastAsia"/>
          <w:spacing w:val="34"/>
        </w:rPr>
      </w:pPr>
      <w:r>
        <w:rPr>
          <w:rFonts w:hint="eastAsia" w:ascii="宋体" w:hAnsi="宋体"/>
          <w:b/>
          <w:color w:val="FF0000"/>
          <w:spacing w:val="34"/>
          <w:w w:val="60"/>
          <w:kern w:val="10"/>
          <w:sz w:val="72"/>
          <w:szCs w:val="72"/>
          <w:lang w:val="en-US" w:eastAsia="zh-CN"/>
        </w:rPr>
        <w:t>广东南控创业投资基金管理</w:t>
      </w:r>
      <w:r>
        <w:rPr>
          <w:rFonts w:hint="eastAsia" w:ascii="宋体" w:hAnsi="宋体"/>
          <w:b/>
          <w:color w:val="FF0000"/>
          <w:spacing w:val="34"/>
          <w:w w:val="60"/>
          <w:kern w:val="10"/>
          <w:sz w:val="72"/>
          <w:szCs w:val="72"/>
        </w:rPr>
        <w:t>有限公司</w:t>
      </w:r>
    </w:p>
    <w:p>
      <w:pPr>
        <w:pStyle w:val="2"/>
        <w:rPr>
          <w:rFonts w:hint="eastAsia"/>
          <w:sz w:val="32"/>
          <w:szCs w:val="40"/>
          <w:lang w:val="en-US" w:eastAsia="zh-CN"/>
        </w:rPr>
      </w:pPr>
      <w:r>
        <w:rPr>
          <w:rFonts w:hint="eastAsia" w:ascii="宋体" w:hAnsi="宋体"/>
          <w:sz w:val="28"/>
          <w:szCs w:val="28"/>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26670</wp:posOffset>
                </wp:positionV>
                <wp:extent cx="5391785" cy="0"/>
                <wp:effectExtent l="0" t="12700" r="18415" b="15875"/>
                <wp:wrapNone/>
                <wp:docPr id="1" name="直接箭头连接符 1"/>
                <wp:cNvGraphicFramePr/>
                <a:graphic xmlns:a="http://schemas.openxmlformats.org/drawingml/2006/main">
                  <a:graphicData uri="http://schemas.microsoft.com/office/word/2010/wordprocessingShape">
                    <wps:wsp>
                      <wps:cNvCnPr/>
                      <wps:spPr>
                        <a:xfrm>
                          <a:off x="0" y="0"/>
                          <a:ext cx="5391785" cy="0"/>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2pt;margin-top:2.1pt;height:0pt;width:424.55pt;z-index:251659264;mso-width-relative:page;mso-height-relative:page;" filled="f" stroked="t" coordsize="21600,21600" o:gfxdata="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60UUfWAAAABgEAAA8AAAAAAAAAAQAgAAAAIgAAAGRycy9kb3du&#10;cmV2LnhtbFBLAQIUABQAAAAIAIdO4kDdp4pDAQIAAO0DAAAOAAAAAAAAAAEAIAAAACUBAABkcnMv&#10;ZTJvRG9jLnhtbFBLBQYAAAAABgAGAFkBAACYBQAAAAA=&#10;">
                <v:fill on="f" focussize="0,0"/>
                <v:stroke weight="2pt" color="#FF0000" joinstyle="round"/>
                <v:imagedata o:title=""/>
                <o:lock v:ext="edit" aspectratio="f"/>
              </v:shape>
            </w:pict>
          </mc:Fallback>
        </mc:AlternateConten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广东南控一号产业投资合伙企业（有限合伙）</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子基金管理机构定向申请实施办法</w:t>
      </w:r>
    </w:p>
    <w:p>
      <w:pPr>
        <w:pStyle w:val="8"/>
        <w:widowControl/>
        <w:shd w:val="clear" w:color="auto" w:fill="FFFFFF"/>
        <w:wordWrap w:val="0"/>
        <w:spacing w:beforeAutospacing="0" w:afterAutospacing="0" w:line="520" w:lineRule="exact"/>
        <w:ind w:firstLine="420"/>
        <w:rPr>
          <w:rFonts w:ascii="Helvetica" w:hAnsi="Helvetica" w:eastAsia="Helvetica" w:cs="Helvetica"/>
          <w:color w:val="444444"/>
          <w:sz w:val="32"/>
          <w:szCs w:val="32"/>
          <w:highlight w:val="none"/>
          <w:shd w:val="clear" w:color="auto" w:fill="FFFFFF"/>
        </w:rPr>
      </w:pPr>
    </w:p>
    <w:p>
      <w:pPr>
        <w:adjustRightInd w:val="0"/>
        <w:snapToGrid w:val="0"/>
        <w:spacing w:line="560" w:lineRule="exact"/>
        <w:jc w:val="center"/>
        <w:rPr>
          <w:rFonts w:hint="eastAsia" w:ascii="黑体" w:hAnsi="黑体" w:eastAsia="黑体" w:cs="黑体"/>
          <w:sz w:val="32"/>
          <w:szCs w:val="32"/>
        </w:rPr>
      </w:pPr>
      <w:r>
        <w:rPr>
          <w:rFonts w:hint="eastAsia" w:ascii="黑体" w:hAnsi="黑体" w:eastAsia="黑体" w:cs="黑体"/>
          <w:sz w:val="32"/>
          <w:szCs w:val="32"/>
        </w:rPr>
        <w:t>第一章 总则</w:t>
      </w:r>
    </w:p>
    <w:p>
      <w:pPr>
        <w:widowControl w:val="0"/>
        <w:numPr>
          <w:ilvl w:val="0"/>
          <w:numId w:val="1"/>
        </w:numPr>
        <w:wordWrap/>
        <w:adjustRightInd w:val="0"/>
        <w:snapToGrid w:val="0"/>
        <w:spacing w:line="560" w:lineRule="exact"/>
        <w:ind w:firstLine="640" w:firstLineChars="200"/>
        <w:rPr>
          <w:rFonts w:hint="eastAsia" w:ascii="仿宋_GB2312" w:hAnsi="仿宋_GB2312" w:eastAsia="仿宋_GB2312" w:cs="仿宋_GB2312"/>
          <w:sz w:val="32"/>
          <w:szCs w:val="24"/>
          <w:shd w:val="clear"/>
        </w:rPr>
      </w:pPr>
      <w:r>
        <w:rPr>
          <w:rFonts w:hint="eastAsia" w:ascii="仿宋_GB2312" w:hAnsi="仿宋_GB2312" w:eastAsia="仿宋_GB2312" w:cs="仿宋_GB2312"/>
          <w:sz w:val="32"/>
          <w:szCs w:val="24"/>
          <w:shd w:val="clear"/>
        </w:rPr>
        <w:t>为规范</w:t>
      </w:r>
      <w:r>
        <w:rPr>
          <w:rFonts w:hint="eastAsia" w:ascii="仿宋_GB2312" w:hAnsi="仿宋_GB2312" w:eastAsia="仿宋_GB2312" w:cs="仿宋_GB2312"/>
          <w:sz w:val="32"/>
          <w:szCs w:val="24"/>
          <w:shd w:val="clear"/>
          <w:lang w:val="en-US" w:eastAsia="zh-CN"/>
        </w:rPr>
        <w:t>子基金管理机构</w:t>
      </w:r>
      <w:r>
        <w:rPr>
          <w:rFonts w:hint="eastAsia" w:ascii="仿宋_GB2312" w:hAnsi="仿宋_GB2312" w:eastAsia="仿宋_GB2312" w:cs="仿宋_GB2312"/>
          <w:sz w:val="32"/>
          <w:szCs w:val="24"/>
          <w:shd w:val="clear"/>
        </w:rPr>
        <w:t>向广东南控一号产业投资合伙企业（有限合伙）（以下简称南控母基金）提出定向申请</w:t>
      </w:r>
      <w:r>
        <w:rPr>
          <w:rFonts w:hint="eastAsia" w:ascii="仿宋_GB2312" w:hAnsi="仿宋_GB2312" w:eastAsia="仿宋_GB2312" w:cs="仿宋_GB2312"/>
          <w:sz w:val="32"/>
          <w:szCs w:val="24"/>
          <w:shd w:val="clear"/>
          <w:vertAlign w:val="superscript"/>
        </w:rPr>
        <w:footnoteReference w:id="0"/>
      </w:r>
      <w:r>
        <w:rPr>
          <w:rFonts w:hint="eastAsia" w:ascii="仿宋_GB2312" w:hAnsi="仿宋_GB2312" w:eastAsia="仿宋_GB2312" w:cs="仿宋_GB2312"/>
          <w:sz w:val="32"/>
          <w:szCs w:val="24"/>
          <w:shd w:val="clear"/>
        </w:rPr>
        <w:t>的行为，明确相关要求，特制定本办法。</w:t>
      </w:r>
    </w:p>
    <w:p>
      <w:pPr>
        <w:widowControl w:val="0"/>
        <w:numPr>
          <w:ilvl w:val="0"/>
          <w:numId w:val="1"/>
        </w:numPr>
        <w:wordWrap/>
        <w:adjustRightInd w:val="0"/>
        <w:snapToGrid w:val="0"/>
        <w:spacing w:line="560" w:lineRule="exact"/>
        <w:ind w:firstLine="640" w:firstLineChars="200"/>
        <w:rPr>
          <w:rFonts w:hint="eastAsia" w:ascii="仿宋_GB2312" w:hAnsi="仿宋_GB2312" w:eastAsia="仿宋_GB2312" w:cs="仿宋_GB2312"/>
          <w:sz w:val="32"/>
          <w:szCs w:val="24"/>
          <w:shd w:val="clear"/>
        </w:rPr>
      </w:pPr>
      <w:r>
        <w:rPr>
          <w:rFonts w:hint="eastAsia" w:ascii="仿宋_GB2312" w:hAnsi="仿宋_GB2312" w:eastAsia="仿宋_GB2312" w:cs="仿宋_GB2312"/>
          <w:sz w:val="32"/>
          <w:szCs w:val="24"/>
          <w:shd w:val="clear"/>
          <w:lang w:val="en-US" w:eastAsia="zh-CN"/>
        </w:rPr>
        <w:t>广东</w:t>
      </w:r>
      <w:r>
        <w:rPr>
          <w:rFonts w:hint="eastAsia" w:ascii="仿宋_GB2312" w:hAnsi="仿宋_GB2312" w:eastAsia="仿宋_GB2312" w:cs="仿宋_GB2312"/>
          <w:sz w:val="32"/>
          <w:szCs w:val="24"/>
          <w:shd w:val="clear"/>
        </w:rPr>
        <w:t>南控创业投资基金管理有限公司（以下简称南控基金公司）为南控母基金的管理人，是定向申请程序的组织机构，负责组织开展对申报子基金的资料收</w:t>
      </w:r>
      <w:bookmarkStart w:id="0" w:name="_GoBack"/>
      <w:bookmarkEnd w:id="0"/>
      <w:r>
        <w:rPr>
          <w:rFonts w:hint="eastAsia" w:ascii="仿宋_GB2312" w:hAnsi="仿宋_GB2312" w:eastAsia="仿宋_GB2312" w:cs="仿宋_GB2312"/>
          <w:sz w:val="32"/>
          <w:szCs w:val="24"/>
          <w:shd w:val="clear"/>
        </w:rPr>
        <w:t>集、初审立项、尽职调查、商务谈判、复核、投资决策等工作。</w:t>
      </w:r>
    </w:p>
    <w:p>
      <w:pPr>
        <w:widowControl w:val="0"/>
        <w:numPr>
          <w:ilvl w:val="0"/>
          <w:numId w:val="1"/>
        </w:numPr>
        <w:wordWrap/>
        <w:adjustRightInd w:val="0"/>
        <w:snapToGrid w:val="0"/>
        <w:spacing w:line="560" w:lineRule="exact"/>
        <w:ind w:firstLine="640" w:firstLineChars="200"/>
        <w:rPr>
          <w:rFonts w:hint="eastAsia" w:ascii="仿宋_GB2312" w:hAnsi="仿宋_GB2312" w:eastAsia="仿宋_GB2312" w:cs="仿宋_GB2312"/>
          <w:sz w:val="32"/>
          <w:szCs w:val="24"/>
          <w:shd w:val="clear"/>
        </w:rPr>
      </w:pPr>
      <w:r>
        <w:rPr>
          <w:rFonts w:hint="eastAsia" w:ascii="仿宋_GB2312" w:hAnsi="仿宋_GB2312" w:eastAsia="仿宋_GB2312" w:cs="仿宋_GB2312"/>
          <w:sz w:val="32"/>
          <w:szCs w:val="24"/>
          <w:shd w:val="clear"/>
        </w:rPr>
        <w:t>本办法所</w:t>
      </w:r>
      <w:r>
        <w:rPr>
          <w:rFonts w:hint="eastAsia" w:ascii="仿宋_GB2312" w:hAnsi="仿宋_GB2312" w:eastAsia="仿宋_GB2312" w:cs="仿宋_GB2312"/>
          <w:sz w:val="32"/>
          <w:szCs w:val="24"/>
          <w:shd w:val="clear"/>
          <w:lang w:val="en-US" w:eastAsia="zh-CN"/>
        </w:rPr>
        <w:t>称</w:t>
      </w:r>
      <w:r>
        <w:rPr>
          <w:rFonts w:hint="eastAsia" w:ascii="仿宋_GB2312" w:hAnsi="仿宋_GB2312" w:eastAsia="仿宋_GB2312" w:cs="仿宋_GB2312"/>
          <w:sz w:val="32"/>
          <w:szCs w:val="24"/>
          <w:shd w:val="clear"/>
        </w:rPr>
        <w:t>申请机构</w:t>
      </w:r>
      <w:r>
        <w:rPr>
          <w:rFonts w:hint="eastAsia" w:ascii="仿宋_GB2312" w:hAnsi="仿宋_GB2312" w:eastAsia="仿宋_GB2312" w:cs="仿宋_GB2312"/>
          <w:sz w:val="32"/>
          <w:szCs w:val="24"/>
          <w:shd w:val="clear"/>
          <w:lang w:val="en-US" w:eastAsia="zh-CN"/>
        </w:rPr>
        <w:t>是指向南控母基金提出</w:t>
      </w:r>
      <w:r>
        <w:rPr>
          <w:rFonts w:hint="eastAsia" w:ascii="仿宋_GB2312" w:hAnsi="仿宋_GB2312" w:eastAsia="仿宋_GB2312" w:cs="仿宋_GB2312"/>
          <w:sz w:val="32"/>
          <w:szCs w:val="24"/>
          <w:shd w:val="clear"/>
        </w:rPr>
        <w:t>定向申请的主体机构，管理机构</w:t>
      </w:r>
      <w:r>
        <w:rPr>
          <w:rFonts w:hint="eastAsia" w:ascii="仿宋_GB2312" w:hAnsi="仿宋_GB2312" w:eastAsia="仿宋_GB2312" w:cs="仿宋_GB2312"/>
          <w:sz w:val="32"/>
          <w:szCs w:val="24"/>
          <w:shd w:val="clear"/>
          <w:lang w:val="en-US" w:eastAsia="zh-CN"/>
        </w:rPr>
        <w:t>是指</w:t>
      </w:r>
      <w:r>
        <w:rPr>
          <w:rFonts w:hint="eastAsia" w:ascii="仿宋_GB2312" w:hAnsi="仿宋_GB2312" w:eastAsia="仿宋_GB2312" w:cs="仿宋_GB2312"/>
          <w:sz w:val="32"/>
          <w:szCs w:val="24"/>
          <w:shd w:val="clear"/>
        </w:rPr>
        <w:t>拟申请子基金的管理机构。</w:t>
      </w:r>
    </w:p>
    <w:p>
      <w:pPr>
        <w:widowControl w:val="0"/>
        <w:wordWrap/>
        <w:adjustRightInd w:val="0"/>
        <w:snapToGrid w:val="0"/>
        <w:spacing w:line="560" w:lineRule="exact"/>
        <w:ind w:firstLine="640" w:firstLineChars="200"/>
        <w:rPr>
          <w:rFonts w:hint="eastAsia" w:ascii="仿宋_GB2312" w:hAnsi="仿宋_GB2312" w:eastAsia="仿宋_GB2312" w:cs="仿宋_GB2312"/>
          <w:sz w:val="32"/>
          <w:szCs w:val="24"/>
          <w:shd w:val="clear"/>
        </w:rPr>
      </w:pPr>
      <w:r>
        <w:rPr>
          <w:rFonts w:hint="eastAsia" w:ascii="仿宋_GB2312" w:hAnsi="仿宋_GB2312" w:eastAsia="仿宋_GB2312" w:cs="仿宋_GB2312"/>
          <w:sz w:val="32"/>
          <w:szCs w:val="24"/>
          <w:shd w:val="clear"/>
          <w:lang w:val="en-US" w:eastAsia="zh-CN"/>
        </w:rPr>
        <w:t>管理机构可以与申请机构为同一主体，或者为</w:t>
      </w:r>
      <w:r>
        <w:rPr>
          <w:rFonts w:hint="eastAsia" w:ascii="仿宋_GB2312" w:hAnsi="仿宋_GB2312" w:eastAsia="仿宋_GB2312" w:cs="仿宋_GB2312"/>
          <w:sz w:val="32"/>
          <w:szCs w:val="24"/>
          <w:shd w:val="clear"/>
        </w:rPr>
        <w:t>申请机构控股或</w:t>
      </w:r>
      <w:r>
        <w:rPr>
          <w:rFonts w:hint="eastAsia" w:ascii="仿宋_GB2312" w:hAnsi="仿宋_GB2312" w:eastAsia="仿宋_GB2312" w:cs="仿宋_GB2312"/>
          <w:sz w:val="32"/>
          <w:szCs w:val="24"/>
          <w:shd w:val="clear"/>
          <w:lang w:val="en-US" w:eastAsia="zh-CN"/>
        </w:rPr>
        <w:t>实际控制的主体</w:t>
      </w:r>
      <w:r>
        <w:rPr>
          <w:rFonts w:hint="eastAsia" w:ascii="仿宋_GB2312" w:hAnsi="仿宋_GB2312" w:eastAsia="仿宋_GB2312" w:cs="仿宋_GB2312"/>
          <w:sz w:val="32"/>
          <w:szCs w:val="24"/>
          <w:shd w:val="clear"/>
        </w:rPr>
        <w:t>。</w:t>
      </w:r>
    </w:p>
    <w:p>
      <w:pPr>
        <w:pStyle w:val="8"/>
        <w:widowControl/>
        <w:numPr>
          <w:ilvl w:val="255"/>
          <w:numId w:val="0"/>
        </w:numPr>
        <w:shd w:val="clear" w:color="auto" w:fill="FFFFFF"/>
        <w:wordWrap w:val="0"/>
        <w:spacing w:beforeAutospacing="0" w:afterAutospacing="0" w:line="520" w:lineRule="exact"/>
        <w:rPr>
          <w:rFonts w:ascii="Helvetica" w:hAnsi="Helvetica" w:eastAsia="宋体" w:cs="Helvetica"/>
          <w:color w:val="444444"/>
          <w:sz w:val="32"/>
          <w:szCs w:val="32"/>
          <w:highlight w:val="none"/>
          <w:shd w:val="clear" w:color="auto" w:fill="FFFFFF"/>
        </w:rPr>
      </w:pPr>
    </w:p>
    <w:p>
      <w:pPr>
        <w:adjustRightInd w:val="0"/>
        <w:snapToGrid w:val="0"/>
        <w:spacing w:line="560" w:lineRule="exact"/>
        <w:jc w:val="center"/>
        <w:rPr>
          <w:rFonts w:hint="eastAsia" w:ascii="黑体" w:hAnsi="黑体" w:eastAsia="黑体" w:cs="黑体"/>
          <w:sz w:val="32"/>
          <w:szCs w:val="32"/>
          <w:shd w:val="clear"/>
        </w:rPr>
      </w:pPr>
      <w:r>
        <w:rPr>
          <w:rFonts w:hint="eastAsia" w:ascii="黑体" w:hAnsi="黑体" w:eastAsia="黑体" w:cs="黑体"/>
          <w:sz w:val="32"/>
          <w:szCs w:val="32"/>
          <w:shd w:val="clear"/>
        </w:rPr>
        <w:t>第二章 子基金申请机构要求</w:t>
      </w:r>
    </w:p>
    <w:p>
      <w:pPr>
        <w:widowControl w:val="0"/>
        <w:numPr>
          <w:ilvl w:val="0"/>
          <w:numId w:val="1"/>
        </w:numPr>
        <w:wordWrap/>
        <w:ind w:firstLine="640" w:firstLineChars="200"/>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申请机构应符合以下</w:t>
      </w:r>
      <w:r>
        <w:rPr>
          <w:rFonts w:hint="eastAsia" w:ascii="仿宋_GB2312" w:hAnsi="仿宋_GB2312" w:eastAsia="仿宋_GB2312" w:cs="仿宋_GB2312"/>
          <w:kern w:val="2"/>
          <w:sz w:val="32"/>
          <w:szCs w:val="24"/>
          <w:shd w:val="clear"/>
          <w:lang w:val="en-US" w:eastAsia="zh-CN"/>
        </w:rPr>
        <w:t>合规</w:t>
      </w:r>
      <w:r>
        <w:rPr>
          <w:rFonts w:hint="eastAsia" w:ascii="仿宋_GB2312" w:hAnsi="仿宋_GB2312" w:eastAsia="仿宋_GB2312" w:cs="仿宋_GB2312"/>
          <w:kern w:val="2"/>
          <w:sz w:val="32"/>
          <w:szCs w:val="24"/>
          <w:shd w:val="clear"/>
        </w:rPr>
        <w:t>条件：</w:t>
      </w:r>
    </w:p>
    <w:p>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（一）依法在境内设立且已在相关主管部门或行业自律组织登记备案；</w:t>
      </w:r>
    </w:p>
    <w:p>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（二）实缴资本不低于1000万元人民币；</w:t>
      </w:r>
    </w:p>
    <w:p>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（三）未被中国证券投资基金业协会列为异常机构</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不存在不良诚信记录等情形；</w:t>
      </w:r>
    </w:p>
    <w:p>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（四）最近三年不存在重大违法违规行为。</w:t>
      </w:r>
    </w:p>
    <w:p>
      <w:pPr>
        <w:widowControl w:val="0"/>
        <w:numPr>
          <w:ilvl w:val="0"/>
          <w:numId w:val="1"/>
        </w:numPr>
        <w:wordWrap/>
        <w:ind w:firstLine="640" w:firstLineChars="200"/>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申请机构</w:t>
      </w:r>
      <w:r>
        <w:rPr>
          <w:rFonts w:hint="eastAsia" w:ascii="仿宋_GB2312" w:hAnsi="仿宋_GB2312" w:eastAsia="仿宋_GB2312" w:cs="仿宋_GB2312"/>
          <w:kern w:val="2"/>
          <w:sz w:val="32"/>
          <w:szCs w:val="24"/>
          <w:shd w:val="clear"/>
          <w:lang w:val="en-US" w:eastAsia="zh-CN"/>
        </w:rPr>
        <w:t>应符合以下任一规模条件：</w:t>
      </w:r>
    </w:p>
    <w:p>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lang w:eastAsia="zh-CN"/>
        </w:rPr>
      </w:pP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lang w:val="en-US" w:eastAsia="zh-CN"/>
        </w:rPr>
        <w:t>一</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在中国证券投资基金业协会备案的累计管理规模</w:t>
      </w:r>
      <w:r>
        <w:rPr>
          <w:rFonts w:hint="eastAsia" w:ascii="仿宋_GB2312" w:hAnsi="仿宋_GB2312" w:eastAsia="仿宋_GB2312" w:cs="仿宋_GB2312"/>
          <w:kern w:val="2"/>
          <w:sz w:val="32"/>
          <w:szCs w:val="24"/>
          <w:shd w:val="clear"/>
          <w:vertAlign w:val="superscript"/>
        </w:rPr>
        <w:footnoteReference w:id="1"/>
      </w:r>
      <w:r>
        <w:rPr>
          <w:rFonts w:hint="eastAsia" w:ascii="仿宋_GB2312" w:hAnsi="仿宋_GB2312" w:eastAsia="仿宋_GB2312" w:cs="仿宋_GB2312"/>
          <w:kern w:val="2"/>
          <w:sz w:val="32"/>
          <w:szCs w:val="24"/>
          <w:shd w:val="clear"/>
        </w:rPr>
        <w:t>不少于30亿元</w:t>
      </w:r>
      <w:r>
        <w:rPr>
          <w:rFonts w:hint="eastAsia" w:ascii="仿宋_GB2312" w:hAnsi="仿宋_GB2312" w:eastAsia="仿宋_GB2312" w:cs="仿宋_GB2312"/>
          <w:kern w:val="2"/>
          <w:sz w:val="32"/>
          <w:szCs w:val="24"/>
          <w:shd w:val="clear"/>
          <w:lang w:eastAsia="zh-CN"/>
        </w:rPr>
        <w:t>；</w:t>
      </w:r>
    </w:p>
    <w:p>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lang w:val="en-US" w:eastAsia="zh-CN"/>
        </w:rPr>
        <w:t>二</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在中国证券投资基金业协会备案的在管基金实缴金额不低于15亿元。</w:t>
      </w:r>
    </w:p>
    <w:p>
      <w:pPr>
        <w:pStyle w:val="8"/>
        <w:widowControl/>
        <w:shd w:val="clear" w:color="auto" w:fill="FFFFFF"/>
        <w:wordWrap w:val="0"/>
        <w:spacing w:beforeAutospacing="0" w:afterAutospacing="0" w:line="520" w:lineRule="exact"/>
        <w:jc w:val="center"/>
        <w:rPr>
          <w:rFonts w:ascii="Helvetica" w:hAnsi="Helvetica" w:eastAsia="宋体" w:cs="Helvetica"/>
          <w:color w:val="444444"/>
          <w:sz w:val="32"/>
          <w:szCs w:val="32"/>
          <w:highlight w:val="none"/>
          <w:shd w:val="clear" w:color="auto" w:fill="FFFFFF"/>
        </w:rPr>
      </w:pPr>
    </w:p>
    <w:p>
      <w:pPr>
        <w:widowControl w:val="0"/>
        <w:wordWrap/>
        <w:adjustRightInd w:val="0"/>
        <w:snapToGrid w:val="0"/>
        <w:spacing w:line="560" w:lineRule="exact"/>
        <w:jc w:val="center"/>
        <w:rPr>
          <w:rFonts w:hint="eastAsia" w:ascii="黑体" w:hAnsi="黑体" w:eastAsia="黑体" w:cs="黑体"/>
          <w:sz w:val="32"/>
          <w:szCs w:val="32"/>
          <w:shd w:val="clear"/>
        </w:rPr>
      </w:pPr>
      <w:r>
        <w:rPr>
          <w:rFonts w:hint="eastAsia" w:ascii="黑体" w:hAnsi="黑体" w:eastAsia="黑体" w:cs="黑体"/>
          <w:sz w:val="32"/>
          <w:szCs w:val="32"/>
          <w:shd w:val="clear"/>
        </w:rPr>
        <w:t>第三章 子基金管理机构要求</w:t>
      </w:r>
    </w:p>
    <w:p>
      <w:pPr>
        <w:widowControl w:val="0"/>
        <w:numPr>
          <w:ilvl w:val="0"/>
          <w:numId w:val="1"/>
        </w:numPr>
        <w:wordWrap/>
        <w:ind w:firstLine="640" w:firstLineChars="200"/>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管理机构应符合以下</w:t>
      </w:r>
      <w:r>
        <w:rPr>
          <w:rFonts w:hint="eastAsia" w:ascii="仿宋_GB2312" w:hAnsi="仿宋_GB2312" w:eastAsia="仿宋_GB2312" w:cs="仿宋_GB2312"/>
          <w:kern w:val="2"/>
          <w:sz w:val="32"/>
          <w:szCs w:val="24"/>
          <w:shd w:val="clear"/>
          <w:lang w:val="en-US" w:eastAsia="zh-CN"/>
        </w:rPr>
        <w:t>合规</w:t>
      </w:r>
      <w:r>
        <w:rPr>
          <w:rFonts w:hint="eastAsia" w:ascii="仿宋_GB2312" w:hAnsi="仿宋_GB2312" w:eastAsia="仿宋_GB2312" w:cs="仿宋_GB2312"/>
          <w:kern w:val="2"/>
          <w:sz w:val="32"/>
          <w:szCs w:val="24"/>
          <w:shd w:val="clear"/>
        </w:rPr>
        <w:t>条件：</w:t>
      </w:r>
    </w:p>
    <w:p>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（一）依法在境内设立且已在相关主管部门或行业自律组织登记备案；</w:t>
      </w:r>
    </w:p>
    <w:p>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（二）实缴资本不低于1000万元人民币；</w:t>
      </w:r>
    </w:p>
    <w:p>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（三）未被中国证券投资基金业协会列为异常机构</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不存在不良诚信记录等情形；</w:t>
      </w:r>
    </w:p>
    <w:p>
      <w:pPr>
        <w:pStyle w:val="8"/>
        <w:widowControl/>
        <w:numPr>
          <w:ilvl w:val="-1"/>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（四）最近三年不存在重大违法违规行为</w:t>
      </w:r>
      <w:r>
        <w:rPr>
          <w:rFonts w:hint="eastAsia" w:ascii="仿宋_GB2312" w:hAnsi="仿宋_GB2312" w:eastAsia="仿宋_GB2312" w:cs="仿宋_GB2312"/>
          <w:kern w:val="2"/>
          <w:sz w:val="32"/>
          <w:szCs w:val="24"/>
          <w:shd w:val="clear"/>
          <w:lang w:eastAsia="zh-CN"/>
        </w:rPr>
        <w:t>；</w:t>
      </w:r>
    </w:p>
    <w:p>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lang w:eastAsia="zh-CN"/>
        </w:rPr>
      </w:pP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lang w:val="en-US" w:eastAsia="zh-CN"/>
        </w:rPr>
        <w:t>五</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至少有3名具备3年以上股权投资管理工作经验的高级管理人员，主要成员无行政主管机关或司法机关处罚的不良记录</w:t>
      </w:r>
      <w:r>
        <w:rPr>
          <w:rFonts w:hint="eastAsia" w:ascii="仿宋_GB2312" w:hAnsi="仿宋_GB2312" w:eastAsia="仿宋_GB2312" w:cs="仿宋_GB2312"/>
          <w:kern w:val="2"/>
          <w:sz w:val="32"/>
          <w:szCs w:val="24"/>
          <w:shd w:val="clear"/>
          <w:lang w:eastAsia="zh-CN"/>
        </w:rPr>
        <w:t>；</w:t>
      </w:r>
    </w:p>
    <w:p>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lang w:eastAsia="zh-CN"/>
        </w:rPr>
      </w:pP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lang w:val="en-US" w:eastAsia="zh-CN"/>
        </w:rPr>
        <w:t>六</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有良好的内部治理结构和风险控制制度</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健全的股权投资管理和风险控制流程以及规范的项目遴选机制和投资决策机制</w:t>
      </w:r>
      <w:r>
        <w:rPr>
          <w:rFonts w:hint="eastAsia" w:ascii="仿宋_GB2312" w:hAnsi="仿宋_GB2312" w:eastAsia="仿宋_GB2312" w:cs="仿宋_GB2312"/>
          <w:kern w:val="2"/>
          <w:sz w:val="32"/>
          <w:szCs w:val="24"/>
          <w:shd w:val="clear"/>
          <w:lang w:eastAsia="zh-CN"/>
        </w:rPr>
        <w:t>。</w:t>
      </w:r>
    </w:p>
    <w:p>
      <w:pPr>
        <w:widowControl w:val="0"/>
        <w:numPr>
          <w:ilvl w:val="0"/>
          <w:numId w:val="1"/>
        </w:numPr>
        <w:wordWrap/>
        <w:ind w:firstLine="640" w:firstLineChars="200"/>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管理机构</w:t>
      </w:r>
      <w:r>
        <w:rPr>
          <w:rFonts w:hint="eastAsia" w:ascii="仿宋_GB2312" w:hAnsi="仿宋_GB2312" w:eastAsia="仿宋_GB2312" w:cs="仿宋_GB2312"/>
          <w:kern w:val="2"/>
          <w:sz w:val="32"/>
          <w:szCs w:val="24"/>
          <w:shd w:val="clear"/>
          <w:lang w:val="en-US" w:eastAsia="zh-CN"/>
        </w:rPr>
        <w:t>应符合以下规模条件：</w:t>
      </w:r>
      <w:r>
        <w:rPr>
          <w:rFonts w:hint="eastAsia" w:ascii="仿宋_GB2312" w:hAnsi="仿宋_GB2312" w:eastAsia="仿宋_GB2312" w:cs="仿宋_GB2312"/>
          <w:kern w:val="2"/>
          <w:sz w:val="32"/>
          <w:szCs w:val="24"/>
          <w:shd w:val="clear"/>
        </w:rPr>
        <w:t>在中国证券投资基金业协会备案的累计</w:t>
      </w:r>
      <w:r>
        <w:rPr>
          <w:rFonts w:hint="eastAsia" w:ascii="仿宋_GB2312" w:hAnsi="仿宋_GB2312" w:eastAsia="仿宋_GB2312" w:cs="仿宋_GB2312"/>
          <w:kern w:val="2"/>
          <w:sz w:val="32"/>
          <w:szCs w:val="24"/>
          <w:shd w:val="clear"/>
          <w:lang w:val="en-US" w:eastAsia="zh-CN"/>
        </w:rPr>
        <w:t>管理规模</w:t>
      </w:r>
      <w:r>
        <w:rPr>
          <w:rFonts w:hint="eastAsia" w:ascii="仿宋_GB2312" w:hAnsi="仿宋_GB2312" w:eastAsia="仿宋_GB2312" w:cs="仿宋_GB2312"/>
          <w:kern w:val="2"/>
          <w:sz w:val="32"/>
          <w:szCs w:val="24"/>
          <w:shd w:val="clear"/>
        </w:rPr>
        <w:t>不低于5亿元。</w:t>
      </w:r>
    </w:p>
    <w:p>
      <w:pPr>
        <w:widowControl w:val="0"/>
        <w:numPr>
          <w:ilvl w:val="0"/>
          <w:numId w:val="1"/>
        </w:numPr>
        <w:wordWrap/>
        <w:ind w:firstLine="640" w:firstLineChars="200"/>
        <w:rPr>
          <w:rFonts w:hint="eastAsia" w:ascii="仿宋_GB2312" w:hAnsi="仿宋_GB2312" w:eastAsia="仿宋_GB2312" w:cs="仿宋_GB2312"/>
          <w:kern w:val="2"/>
          <w:sz w:val="32"/>
          <w:szCs w:val="24"/>
          <w:shd w:val="clear"/>
          <w:lang w:val="en-US" w:eastAsia="zh-CN"/>
        </w:rPr>
      </w:pPr>
      <w:r>
        <w:rPr>
          <w:rFonts w:hint="eastAsia" w:ascii="仿宋_GB2312" w:hAnsi="仿宋_GB2312" w:eastAsia="仿宋_GB2312" w:cs="仿宋_GB2312"/>
          <w:kern w:val="2"/>
          <w:sz w:val="32"/>
          <w:szCs w:val="24"/>
          <w:shd w:val="clear"/>
        </w:rPr>
        <w:t>管理机构</w:t>
      </w:r>
      <w:r>
        <w:rPr>
          <w:rFonts w:hint="eastAsia" w:ascii="仿宋_GB2312" w:hAnsi="仿宋_GB2312" w:eastAsia="仿宋_GB2312" w:cs="仿宋_GB2312"/>
          <w:kern w:val="2"/>
          <w:sz w:val="32"/>
          <w:szCs w:val="24"/>
          <w:shd w:val="clear"/>
          <w:lang w:val="en-US" w:eastAsia="zh-CN"/>
        </w:rPr>
        <w:t>应符合以下经验条件：</w:t>
      </w:r>
    </w:p>
    <w:p>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lang w:val="en-US" w:eastAsia="zh-CN"/>
        </w:rPr>
        <w:t>（一）管理机构</w:t>
      </w:r>
      <w:r>
        <w:rPr>
          <w:rFonts w:hint="eastAsia" w:ascii="仿宋_GB2312" w:hAnsi="仿宋_GB2312" w:eastAsia="仿宋_GB2312" w:cs="仿宋_GB2312"/>
          <w:kern w:val="2"/>
          <w:sz w:val="32"/>
          <w:szCs w:val="24"/>
          <w:shd w:val="clear"/>
        </w:rPr>
        <w:t>具有1次或以上基金“募投管退”全流程的经验，或</w:t>
      </w:r>
      <w:r>
        <w:rPr>
          <w:rFonts w:hint="eastAsia" w:ascii="仿宋_GB2312" w:hAnsi="仿宋_GB2312" w:eastAsia="仿宋_GB2312" w:cs="仿宋_GB2312"/>
          <w:kern w:val="2"/>
          <w:sz w:val="32"/>
          <w:szCs w:val="24"/>
          <w:shd w:val="clear"/>
          <w:lang w:val="en-US" w:eastAsia="zh-CN"/>
        </w:rPr>
        <w:t>管理机构至少一个</w:t>
      </w:r>
      <w:r>
        <w:rPr>
          <w:rFonts w:hint="eastAsia" w:ascii="仿宋_GB2312" w:hAnsi="仿宋_GB2312" w:eastAsia="仿宋_GB2312" w:cs="仿宋_GB2312"/>
          <w:kern w:val="2"/>
          <w:sz w:val="32"/>
          <w:szCs w:val="24"/>
          <w:shd w:val="clear"/>
        </w:rPr>
        <w:t>核心管理成员</w:t>
      </w:r>
      <w:r>
        <w:rPr>
          <w:rFonts w:hint="eastAsia" w:ascii="仿宋_GB2312" w:hAnsi="仿宋_GB2312" w:eastAsia="仿宋_GB2312" w:cs="仿宋_GB2312"/>
          <w:kern w:val="2"/>
          <w:sz w:val="32"/>
          <w:szCs w:val="24"/>
          <w:shd w:val="clear"/>
          <w:vertAlign w:val="superscript"/>
        </w:rPr>
        <w:footnoteReference w:id="2"/>
      </w:r>
      <w:r>
        <w:rPr>
          <w:rFonts w:hint="eastAsia" w:ascii="仿宋_GB2312" w:hAnsi="仿宋_GB2312" w:eastAsia="仿宋_GB2312" w:cs="仿宋_GB2312"/>
          <w:kern w:val="2"/>
          <w:sz w:val="32"/>
          <w:szCs w:val="24"/>
          <w:shd w:val="clear"/>
        </w:rPr>
        <w:t>具有1次或以上基金“募投管退”全流程的经验。</w:t>
      </w:r>
    </w:p>
    <w:p>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lang w:val="en-US" w:eastAsia="zh-CN"/>
        </w:rPr>
        <w:t>二</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lang w:val="en-US" w:eastAsia="zh-CN"/>
        </w:rPr>
        <w:t>管理机构具备至少一个</w:t>
      </w:r>
      <w:r>
        <w:rPr>
          <w:rFonts w:hint="eastAsia" w:ascii="仿宋_GB2312" w:hAnsi="仿宋_GB2312" w:eastAsia="仿宋_GB2312" w:cs="仿宋_GB2312"/>
          <w:kern w:val="2"/>
          <w:sz w:val="32"/>
          <w:szCs w:val="24"/>
          <w:shd w:val="clear"/>
        </w:rPr>
        <w:t>符合以下任一业绩条件</w:t>
      </w:r>
      <w:r>
        <w:rPr>
          <w:rFonts w:hint="eastAsia" w:ascii="仿宋_GB2312" w:hAnsi="仿宋_GB2312" w:eastAsia="仿宋_GB2312" w:cs="仿宋_GB2312"/>
          <w:kern w:val="2"/>
          <w:sz w:val="32"/>
          <w:szCs w:val="24"/>
          <w:shd w:val="clear"/>
          <w:lang w:val="en-US" w:eastAsia="zh-CN"/>
        </w:rPr>
        <w:t>的</w:t>
      </w:r>
      <w:r>
        <w:rPr>
          <w:rFonts w:hint="eastAsia" w:ascii="仿宋_GB2312" w:hAnsi="仿宋_GB2312" w:eastAsia="仿宋_GB2312" w:cs="仿宋_GB2312"/>
          <w:kern w:val="2"/>
          <w:sz w:val="32"/>
          <w:szCs w:val="24"/>
          <w:shd w:val="clear"/>
        </w:rPr>
        <w:t>实缴规模</w:t>
      </w:r>
      <w:r>
        <w:rPr>
          <w:rFonts w:hint="eastAsia" w:ascii="仿宋_GB2312" w:hAnsi="仿宋_GB2312" w:eastAsia="仿宋_GB2312" w:cs="仿宋_GB2312"/>
          <w:kern w:val="2"/>
          <w:sz w:val="32"/>
          <w:szCs w:val="24"/>
          <w:shd w:val="clear"/>
          <w:lang w:val="en-US" w:eastAsia="zh-CN"/>
        </w:rPr>
        <w:t>为</w:t>
      </w:r>
      <w:r>
        <w:rPr>
          <w:rFonts w:hint="eastAsia" w:ascii="仿宋_GB2312" w:hAnsi="仿宋_GB2312" w:eastAsia="仿宋_GB2312" w:cs="仿宋_GB2312"/>
          <w:kern w:val="2"/>
          <w:sz w:val="32"/>
          <w:szCs w:val="24"/>
          <w:shd w:val="clear"/>
        </w:rPr>
        <w:t>5000万元以上的</w:t>
      </w:r>
      <w:r>
        <w:rPr>
          <w:rFonts w:hint="eastAsia" w:ascii="仿宋_GB2312" w:hAnsi="仿宋_GB2312" w:eastAsia="仿宋_GB2312" w:cs="仿宋_GB2312"/>
          <w:kern w:val="2"/>
          <w:sz w:val="32"/>
          <w:szCs w:val="24"/>
          <w:shd w:val="clear"/>
          <w:lang w:val="en-US" w:eastAsia="zh-CN"/>
        </w:rPr>
        <w:t>基金管理案例</w:t>
      </w:r>
      <w:r>
        <w:rPr>
          <w:rFonts w:hint="eastAsia" w:ascii="仿宋_GB2312" w:hAnsi="仿宋_GB2312" w:eastAsia="仿宋_GB2312" w:cs="仿宋_GB2312"/>
          <w:kern w:val="2"/>
          <w:sz w:val="32"/>
          <w:szCs w:val="24"/>
          <w:shd w:val="clear"/>
        </w:rPr>
        <w:t>：</w:t>
      </w:r>
    </w:p>
    <w:p>
      <w:pPr>
        <w:pStyle w:val="8"/>
        <w:widowControl/>
        <w:numPr>
          <w:ilvl w:val="-1"/>
          <w:numId w:val="0"/>
        </w:numPr>
        <w:shd w:val="clear" w:color="auto" w:fill="FFFFFF"/>
        <w:wordWrap w:val="0"/>
        <w:adjustRightInd w:val="0"/>
        <w:snapToGrid w:val="0"/>
        <w:spacing w:beforeAutospacing="0" w:afterAutospacing="0" w:line="560" w:lineRule="exact"/>
        <w:ind w:left="638" w:leftChars="304" w:firstLine="0" w:firstLineChars="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1.</w:t>
      </w:r>
      <w:r>
        <w:rPr>
          <w:rFonts w:hint="eastAsia" w:ascii="仿宋_GB2312" w:hAnsi="仿宋_GB2312" w:eastAsia="仿宋_GB2312" w:cs="仿宋_GB2312"/>
          <w:kern w:val="2"/>
          <w:sz w:val="32"/>
          <w:szCs w:val="24"/>
          <w:shd w:val="clear"/>
          <w:lang w:val="en-US" w:eastAsia="zh-CN"/>
        </w:rPr>
        <w:t>成立之日起6</w:t>
      </w:r>
      <w:r>
        <w:rPr>
          <w:rFonts w:hint="eastAsia" w:ascii="仿宋_GB2312" w:hAnsi="仿宋_GB2312" w:eastAsia="仿宋_GB2312" w:cs="仿宋_GB2312"/>
          <w:kern w:val="2"/>
          <w:sz w:val="32"/>
          <w:szCs w:val="24"/>
          <w:shd w:val="clear"/>
        </w:rPr>
        <w:t>年</w:t>
      </w:r>
      <w:r>
        <w:rPr>
          <w:rFonts w:hint="eastAsia" w:ascii="仿宋_GB2312" w:hAnsi="仿宋_GB2312" w:eastAsia="仿宋_GB2312" w:cs="仿宋_GB2312"/>
          <w:kern w:val="2"/>
          <w:sz w:val="32"/>
          <w:szCs w:val="24"/>
          <w:shd w:val="clear"/>
          <w:lang w:val="en-US" w:eastAsia="zh-CN"/>
        </w:rPr>
        <w:t>期末</w:t>
      </w:r>
      <w:r>
        <w:rPr>
          <w:rFonts w:hint="eastAsia" w:ascii="仿宋_GB2312" w:hAnsi="仿宋_GB2312" w:eastAsia="仿宋_GB2312" w:cs="仿宋_GB2312"/>
          <w:kern w:val="2"/>
          <w:sz w:val="32"/>
          <w:szCs w:val="24"/>
          <w:shd w:val="clear"/>
        </w:rPr>
        <w:t>DPI</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已分配收益倍数</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值大于0.3；2.</w:t>
      </w:r>
      <w:r>
        <w:rPr>
          <w:rFonts w:hint="eastAsia" w:ascii="仿宋_GB2312" w:hAnsi="仿宋_GB2312" w:eastAsia="仿宋_GB2312" w:cs="仿宋_GB2312"/>
          <w:kern w:val="2"/>
          <w:sz w:val="32"/>
          <w:szCs w:val="24"/>
          <w:shd w:val="clear"/>
          <w:lang w:val="en-US" w:eastAsia="zh-CN"/>
        </w:rPr>
        <w:t>成立之日起6</w:t>
      </w:r>
      <w:r>
        <w:rPr>
          <w:rFonts w:hint="eastAsia" w:ascii="仿宋_GB2312" w:hAnsi="仿宋_GB2312" w:eastAsia="仿宋_GB2312" w:cs="仿宋_GB2312"/>
          <w:kern w:val="2"/>
          <w:sz w:val="32"/>
          <w:szCs w:val="24"/>
          <w:shd w:val="clear"/>
        </w:rPr>
        <w:t>年</w:t>
      </w:r>
      <w:r>
        <w:rPr>
          <w:rFonts w:hint="eastAsia" w:ascii="仿宋_GB2312" w:hAnsi="仿宋_GB2312" w:eastAsia="仿宋_GB2312" w:cs="仿宋_GB2312"/>
          <w:kern w:val="2"/>
          <w:sz w:val="32"/>
          <w:szCs w:val="24"/>
          <w:shd w:val="clear"/>
          <w:lang w:val="en-US" w:eastAsia="zh-CN"/>
        </w:rPr>
        <w:t>期末</w:t>
      </w:r>
      <w:r>
        <w:rPr>
          <w:rFonts w:hint="eastAsia" w:ascii="仿宋_GB2312" w:hAnsi="仿宋_GB2312" w:eastAsia="仿宋_GB2312" w:cs="仿宋_GB2312"/>
          <w:kern w:val="2"/>
          <w:sz w:val="32"/>
          <w:szCs w:val="24"/>
          <w:shd w:val="clear"/>
        </w:rPr>
        <w:t>TVPI</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总收益倍数</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大于150%。</w:t>
      </w:r>
    </w:p>
    <w:p>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lang w:val="en-US" w:eastAsia="zh-CN"/>
        </w:rPr>
        <w:t>案例基金应在2017年1月1日之后设立。</w:t>
      </w:r>
      <w:r>
        <w:rPr>
          <w:rFonts w:hint="eastAsia" w:ascii="仿宋_GB2312" w:hAnsi="仿宋_GB2312" w:eastAsia="仿宋_GB2312" w:cs="仿宋_GB2312"/>
          <w:kern w:val="2"/>
          <w:sz w:val="32"/>
          <w:szCs w:val="24"/>
          <w:shd w:val="clear"/>
        </w:rPr>
        <w:t>成立不足</w:t>
      </w:r>
      <w:r>
        <w:rPr>
          <w:rFonts w:hint="eastAsia" w:ascii="仿宋_GB2312" w:hAnsi="仿宋_GB2312" w:eastAsia="仿宋_GB2312" w:cs="仿宋_GB2312"/>
          <w:kern w:val="2"/>
          <w:sz w:val="32"/>
          <w:szCs w:val="24"/>
          <w:shd w:val="clear"/>
          <w:lang w:val="en-US" w:eastAsia="zh-CN"/>
        </w:rPr>
        <w:t>6</w:t>
      </w:r>
      <w:r>
        <w:rPr>
          <w:rFonts w:hint="eastAsia" w:ascii="仿宋_GB2312" w:hAnsi="仿宋_GB2312" w:eastAsia="仿宋_GB2312" w:cs="仿宋_GB2312"/>
          <w:kern w:val="2"/>
          <w:sz w:val="32"/>
          <w:szCs w:val="24"/>
          <w:shd w:val="clear"/>
        </w:rPr>
        <w:t>年的</w:t>
      </w:r>
      <w:r>
        <w:rPr>
          <w:rFonts w:hint="eastAsia" w:ascii="仿宋_GB2312" w:hAnsi="仿宋_GB2312" w:eastAsia="仿宋_GB2312" w:cs="仿宋_GB2312"/>
          <w:kern w:val="2"/>
          <w:sz w:val="32"/>
          <w:szCs w:val="24"/>
          <w:shd w:val="clear"/>
          <w:lang w:val="en-US" w:eastAsia="zh-CN"/>
        </w:rPr>
        <w:t>基金</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lang w:val="en-US" w:eastAsia="zh-CN"/>
        </w:rPr>
        <w:t xml:space="preserve">认定时点为申请机构向南控母基金提出申请之日的时点。    </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lang w:val="en-US" w:eastAsia="zh-CN"/>
        </w:rPr>
        <w:t>三</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lang w:val="en-US" w:eastAsia="zh-CN"/>
        </w:rPr>
        <w:t>管理机构的核心管理成员主导的单一项目投资金额为1000万元以上，且符合以下任一业绩条件的投资案例总计不少于三个（多个成员参与的同一项目不累计计算）</w:t>
      </w:r>
      <w:r>
        <w:rPr>
          <w:rFonts w:hint="eastAsia" w:ascii="仿宋_GB2312" w:hAnsi="仿宋_GB2312" w:eastAsia="仿宋_GB2312" w:cs="仿宋_GB2312"/>
          <w:kern w:val="2"/>
          <w:sz w:val="32"/>
          <w:szCs w:val="24"/>
          <w:shd w:val="clear"/>
        </w:rPr>
        <w:t>：</w:t>
      </w:r>
    </w:p>
    <w:p>
      <w:pPr>
        <w:pStyle w:val="8"/>
        <w:widowControl/>
        <w:numPr>
          <w:ilvl w:val="-1"/>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lang w:eastAsia="zh-CN"/>
        </w:rPr>
      </w:pPr>
      <w:r>
        <w:rPr>
          <w:rFonts w:hint="eastAsia" w:ascii="仿宋_GB2312" w:hAnsi="仿宋_GB2312" w:eastAsia="仿宋_GB2312" w:cs="仿宋_GB2312"/>
          <w:kern w:val="2"/>
          <w:sz w:val="32"/>
          <w:szCs w:val="24"/>
          <w:shd w:val="clear"/>
          <w:lang w:val="en-US" w:eastAsia="zh-CN"/>
        </w:rPr>
        <w:t>1.项目于2021年1月1日之后退出，退出时的</w:t>
      </w:r>
      <w:r>
        <w:rPr>
          <w:rFonts w:hint="eastAsia" w:ascii="仿宋_GB2312" w:hAnsi="仿宋_GB2312" w:eastAsia="仿宋_GB2312" w:cs="仿宋_GB2312"/>
          <w:kern w:val="2"/>
          <w:sz w:val="32"/>
          <w:szCs w:val="24"/>
          <w:shd w:val="clear"/>
        </w:rPr>
        <w:t>投资回报率</w:t>
      </w:r>
      <w:r>
        <w:rPr>
          <w:rFonts w:hint="eastAsia" w:ascii="仿宋_GB2312" w:hAnsi="仿宋_GB2312" w:eastAsia="仿宋_GB2312" w:cs="仿宋_GB2312"/>
          <w:kern w:val="2"/>
          <w:sz w:val="32"/>
          <w:szCs w:val="24"/>
          <w:shd w:val="clear"/>
          <w:vertAlign w:val="superscript"/>
        </w:rPr>
        <w:footnoteReference w:id="3"/>
      </w:r>
      <w:r>
        <w:rPr>
          <w:rFonts w:hint="eastAsia" w:ascii="仿宋_GB2312" w:hAnsi="仿宋_GB2312" w:eastAsia="仿宋_GB2312" w:cs="仿宋_GB2312"/>
          <w:kern w:val="2"/>
          <w:sz w:val="32"/>
          <w:szCs w:val="24"/>
          <w:shd w:val="clear"/>
        </w:rPr>
        <w:t>超过100%</w:t>
      </w:r>
      <w:r>
        <w:rPr>
          <w:rFonts w:hint="eastAsia" w:ascii="仿宋_GB2312" w:hAnsi="仿宋_GB2312" w:eastAsia="仿宋_GB2312" w:cs="仿宋_GB2312"/>
          <w:kern w:val="2"/>
          <w:sz w:val="32"/>
          <w:szCs w:val="24"/>
          <w:shd w:val="clear"/>
          <w:lang w:eastAsia="zh-CN"/>
        </w:rPr>
        <w:t>；</w:t>
      </w:r>
    </w:p>
    <w:p>
      <w:pPr>
        <w:pStyle w:val="8"/>
        <w:widowControl/>
        <w:numPr>
          <w:ilvl w:val="-1"/>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lang w:val="en-US" w:eastAsia="zh-CN"/>
        </w:rPr>
        <w:t>2.项目于2021年1月1日之后</w:t>
      </w:r>
      <w:r>
        <w:rPr>
          <w:rFonts w:hint="eastAsia" w:ascii="仿宋_GB2312" w:hAnsi="仿宋_GB2312" w:eastAsia="仿宋_GB2312" w:cs="仿宋_GB2312"/>
          <w:kern w:val="2"/>
          <w:sz w:val="32"/>
          <w:szCs w:val="24"/>
          <w:shd w:val="clear"/>
        </w:rPr>
        <w:t>完成A股（主板/创业板/科创板）IPO或重组上市</w:t>
      </w:r>
      <w:r>
        <w:rPr>
          <w:rFonts w:hint="eastAsia" w:ascii="仿宋_GB2312" w:hAnsi="仿宋_GB2312" w:eastAsia="仿宋_GB2312" w:cs="仿宋_GB2312"/>
          <w:kern w:val="2"/>
          <w:sz w:val="32"/>
          <w:szCs w:val="24"/>
          <w:shd w:val="clear"/>
          <w:lang w:eastAsia="zh-CN"/>
        </w:rPr>
        <w:t>。</w:t>
      </w:r>
    </w:p>
    <w:p>
      <w:pPr>
        <w:widowControl w:val="0"/>
        <w:numPr>
          <w:ilvl w:val="0"/>
          <w:numId w:val="1"/>
        </w:numPr>
        <w:wordWrap/>
        <w:ind w:firstLine="640" w:firstLineChars="200"/>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若管理机构与申请机构为同一主体，则管理机构需</w:t>
      </w:r>
      <w:r>
        <w:rPr>
          <w:rFonts w:hint="eastAsia" w:ascii="仿宋_GB2312" w:hAnsi="仿宋_GB2312" w:eastAsia="仿宋_GB2312" w:cs="仿宋_GB2312"/>
          <w:kern w:val="2"/>
          <w:sz w:val="32"/>
          <w:szCs w:val="24"/>
          <w:shd w:val="clear"/>
          <w:lang w:val="en-US" w:eastAsia="zh-CN"/>
        </w:rPr>
        <w:t>同时</w:t>
      </w:r>
      <w:r>
        <w:rPr>
          <w:rFonts w:hint="eastAsia" w:ascii="仿宋_GB2312" w:hAnsi="仿宋_GB2312" w:eastAsia="仿宋_GB2312" w:cs="仿宋_GB2312"/>
          <w:kern w:val="2"/>
          <w:sz w:val="32"/>
          <w:szCs w:val="24"/>
          <w:shd w:val="clear"/>
        </w:rPr>
        <w:t>符合申</w:t>
      </w:r>
      <w:r>
        <w:rPr>
          <w:rFonts w:hint="eastAsia" w:ascii="仿宋_GB2312" w:hAnsi="仿宋_GB2312" w:eastAsia="仿宋_GB2312" w:cs="仿宋_GB2312"/>
          <w:kern w:val="2"/>
          <w:sz w:val="32"/>
          <w:szCs w:val="24"/>
          <w:shd w:val="clear"/>
          <w:lang w:val="en-US" w:eastAsia="zh-CN"/>
        </w:rPr>
        <w:t>请</w:t>
      </w:r>
      <w:r>
        <w:rPr>
          <w:rFonts w:hint="eastAsia" w:ascii="仿宋_GB2312" w:hAnsi="仿宋_GB2312" w:eastAsia="仿宋_GB2312" w:cs="仿宋_GB2312"/>
          <w:kern w:val="2"/>
          <w:sz w:val="32"/>
          <w:szCs w:val="24"/>
          <w:shd w:val="clear"/>
        </w:rPr>
        <w:t>机构各项要求。若管理机构与申请机构非同一主体，则需提供</w:t>
      </w:r>
      <w:r>
        <w:rPr>
          <w:rFonts w:hint="eastAsia" w:ascii="仿宋_GB2312" w:hAnsi="仿宋_GB2312" w:eastAsia="仿宋_GB2312" w:cs="仿宋_GB2312"/>
          <w:kern w:val="2"/>
          <w:sz w:val="32"/>
          <w:szCs w:val="24"/>
          <w:shd w:val="clear"/>
          <w:lang w:val="en-US" w:eastAsia="zh-CN"/>
        </w:rPr>
        <w:t>符合第三条要求的</w:t>
      </w:r>
      <w:r>
        <w:rPr>
          <w:rFonts w:hint="eastAsia" w:ascii="仿宋_GB2312" w:hAnsi="仿宋_GB2312" w:eastAsia="仿宋_GB2312" w:cs="仿宋_GB2312"/>
          <w:kern w:val="2"/>
          <w:sz w:val="32"/>
          <w:szCs w:val="24"/>
          <w:shd w:val="clear"/>
        </w:rPr>
        <w:t>关联关系书面说明及证明。</w:t>
      </w:r>
    </w:p>
    <w:p>
      <w:pPr>
        <w:pStyle w:val="8"/>
        <w:widowControl/>
        <w:shd w:val="clear" w:color="auto" w:fill="FFFFFF"/>
        <w:wordWrap w:val="0"/>
        <w:spacing w:beforeAutospacing="0" w:afterAutospacing="0" w:line="520" w:lineRule="exact"/>
        <w:ind w:firstLine="640" w:firstLineChars="200"/>
        <w:rPr>
          <w:rFonts w:ascii="仿宋_GB2312" w:hAnsi="仿宋_GB2312" w:eastAsia="仿宋_GB2312" w:cs="仿宋_GB2312"/>
          <w:color w:val="444444"/>
          <w:sz w:val="32"/>
          <w:szCs w:val="32"/>
          <w:highlight w:val="none"/>
          <w:shd w:val="clear" w:color="auto" w:fill="FFFFFF"/>
        </w:rPr>
      </w:pPr>
    </w:p>
    <w:p>
      <w:pPr>
        <w:adjustRightInd w:val="0"/>
        <w:snapToGrid w:val="0"/>
        <w:spacing w:line="560" w:lineRule="exact"/>
        <w:jc w:val="center"/>
        <w:rPr>
          <w:rFonts w:hint="eastAsia" w:ascii="黑体" w:hAnsi="黑体" w:eastAsia="黑体" w:cs="黑体"/>
          <w:sz w:val="32"/>
          <w:szCs w:val="32"/>
          <w:shd w:val="clear"/>
        </w:rPr>
      </w:pPr>
      <w:r>
        <w:rPr>
          <w:rFonts w:hint="eastAsia" w:ascii="黑体" w:hAnsi="黑体" w:eastAsia="黑体" w:cs="黑体"/>
          <w:sz w:val="32"/>
          <w:szCs w:val="32"/>
          <w:shd w:val="clear"/>
        </w:rPr>
        <w:t>第四章 子基金方案要求</w:t>
      </w:r>
    </w:p>
    <w:p>
      <w:pPr>
        <w:widowControl w:val="0"/>
        <w:numPr>
          <w:ilvl w:val="0"/>
          <w:numId w:val="1"/>
        </w:numPr>
        <w:wordWrap/>
        <w:ind w:firstLine="640" w:firstLineChars="200"/>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子基金</w:t>
      </w:r>
      <w:r>
        <w:rPr>
          <w:rFonts w:hint="eastAsia" w:ascii="仿宋_GB2312" w:hAnsi="仿宋_GB2312" w:eastAsia="仿宋_GB2312" w:cs="仿宋_GB2312"/>
          <w:kern w:val="2"/>
          <w:sz w:val="32"/>
          <w:szCs w:val="24"/>
          <w:shd w:val="clear"/>
          <w:lang w:val="en-US" w:eastAsia="zh-CN"/>
        </w:rPr>
        <w:t>设立规模</w:t>
      </w:r>
      <w:r>
        <w:rPr>
          <w:rFonts w:hint="eastAsia" w:ascii="仿宋_GB2312" w:hAnsi="仿宋_GB2312" w:eastAsia="仿宋_GB2312" w:cs="仿宋_GB2312"/>
          <w:kern w:val="2"/>
          <w:sz w:val="32"/>
          <w:szCs w:val="24"/>
          <w:shd w:val="clear"/>
        </w:rPr>
        <w:t>原则上不少于1亿元人民币</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子基金</w:t>
      </w:r>
      <w:r>
        <w:rPr>
          <w:rFonts w:hint="eastAsia" w:ascii="仿宋_GB2312" w:hAnsi="仿宋_GB2312" w:eastAsia="仿宋_GB2312" w:cs="仿宋_GB2312"/>
          <w:kern w:val="2"/>
          <w:sz w:val="32"/>
          <w:szCs w:val="24"/>
          <w:shd w:val="clear"/>
          <w:lang w:val="en-US" w:eastAsia="zh-CN"/>
        </w:rPr>
        <w:t>申请机构、</w:t>
      </w:r>
      <w:r>
        <w:rPr>
          <w:rFonts w:hint="eastAsia" w:ascii="仿宋_GB2312" w:hAnsi="仿宋_GB2312" w:eastAsia="仿宋_GB2312" w:cs="仿宋_GB2312"/>
          <w:kern w:val="2"/>
          <w:sz w:val="32"/>
          <w:szCs w:val="24"/>
          <w:shd w:val="clear"/>
        </w:rPr>
        <w:t>管理机构</w:t>
      </w:r>
      <w:r>
        <w:rPr>
          <w:rFonts w:hint="eastAsia" w:ascii="仿宋_GB2312" w:hAnsi="仿宋_GB2312" w:eastAsia="仿宋_GB2312" w:cs="仿宋_GB2312"/>
          <w:kern w:val="2"/>
          <w:sz w:val="32"/>
          <w:szCs w:val="24"/>
          <w:shd w:val="clear"/>
          <w:lang w:val="en-US" w:eastAsia="zh-CN"/>
        </w:rPr>
        <w:t>及</w:t>
      </w:r>
      <w:r>
        <w:rPr>
          <w:rFonts w:hint="eastAsia" w:ascii="仿宋_GB2312" w:hAnsi="仿宋_GB2312" w:eastAsia="仿宋_GB2312" w:cs="仿宋_GB2312"/>
          <w:kern w:val="2"/>
          <w:sz w:val="32"/>
          <w:szCs w:val="24"/>
          <w:shd w:val="clear"/>
        </w:rPr>
        <w:t>其关联方对子基金的出资比例合计不低于10%。除子基金</w:t>
      </w:r>
      <w:r>
        <w:rPr>
          <w:rFonts w:hint="eastAsia" w:ascii="仿宋_GB2312" w:hAnsi="仿宋_GB2312" w:eastAsia="仿宋_GB2312" w:cs="仿宋_GB2312"/>
          <w:kern w:val="2"/>
          <w:sz w:val="32"/>
          <w:szCs w:val="24"/>
          <w:shd w:val="clear"/>
          <w:lang w:val="en-US" w:eastAsia="zh-CN"/>
        </w:rPr>
        <w:t>申请机构、</w:t>
      </w:r>
      <w:r>
        <w:rPr>
          <w:rFonts w:hint="eastAsia" w:ascii="仿宋_GB2312" w:hAnsi="仿宋_GB2312" w:eastAsia="仿宋_GB2312" w:cs="仿宋_GB2312"/>
          <w:kern w:val="2"/>
          <w:sz w:val="32"/>
          <w:szCs w:val="24"/>
          <w:shd w:val="clear"/>
        </w:rPr>
        <w:t>管理机构</w:t>
      </w:r>
      <w:r>
        <w:rPr>
          <w:rFonts w:hint="eastAsia" w:ascii="仿宋_GB2312" w:hAnsi="仿宋_GB2312" w:eastAsia="仿宋_GB2312" w:cs="仿宋_GB2312"/>
          <w:kern w:val="2"/>
          <w:sz w:val="32"/>
          <w:szCs w:val="24"/>
          <w:shd w:val="clear"/>
          <w:lang w:val="en-US" w:eastAsia="zh-CN"/>
        </w:rPr>
        <w:t>及</w:t>
      </w:r>
      <w:r>
        <w:rPr>
          <w:rFonts w:hint="eastAsia" w:ascii="仿宋_GB2312" w:hAnsi="仿宋_GB2312" w:eastAsia="仿宋_GB2312" w:cs="仿宋_GB2312"/>
          <w:kern w:val="2"/>
          <w:sz w:val="32"/>
          <w:szCs w:val="24"/>
          <w:shd w:val="clear"/>
        </w:rPr>
        <w:t>其关联方外的单个机构出资人出资额不低于1000万元人民币（关联方合并计算），除子基金管理团队外的单个自然人出资人出资额不低于500万元人民币。</w:t>
      </w:r>
    </w:p>
    <w:p>
      <w:pPr>
        <w:pStyle w:val="8"/>
        <w:widowControl/>
        <w:numPr>
          <w:ilvl w:val="-1"/>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lang w:val="en-US" w:eastAsia="zh-CN"/>
        </w:rPr>
        <w:t>以下关系</w:t>
      </w:r>
      <w:r>
        <w:rPr>
          <w:rFonts w:hint="eastAsia" w:ascii="仿宋_GB2312" w:hAnsi="仿宋_GB2312" w:eastAsia="仿宋_GB2312" w:cs="仿宋_GB2312"/>
          <w:kern w:val="2"/>
          <w:sz w:val="32"/>
          <w:szCs w:val="24"/>
          <w:shd w:val="clear"/>
        </w:rPr>
        <w:t>构成关联方</w:t>
      </w:r>
      <w:r>
        <w:rPr>
          <w:rFonts w:hint="eastAsia" w:ascii="仿宋_GB2312" w:hAnsi="仿宋_GB2312" w:eastAsia="仿宋_GB2312" w:cs="仿宋_GB2312"/>
          <w:kern w:val="2"/>
          <w:sz w:val="32"/>
          <w:szCs w:val="24"/>
          <w:shd w:val="clear"/>
          <w:lang w:eastAsia="zh-CN"/>
        </w:rPr>
        <w:t>：</w:t>
      </w:r>
    </w:p>
    <w:p>
      <w:pPr>
        <w:pStyle w:val="8"/>
        <w:widowControl/>
        <w:numPr>
          <w:ilvl w:val="-1"/>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（一）</w:t>
      </w:r>
      <w:r>
        <w:rPr>
          <w:rFonts w:hint="eastAsia" w:ascii="仿宋_GB2312" w:hAnsi="仿宋_GB2312" w:eastAsia="仿宋_GB2312" w:cs="仿宋_GB2312"/>
          <w:kern w:val="2"/>
          <w:sz w:val="32"/>
          <w:szCs w:val="24"/>
          <w:shd w:val="clear"/>
          <w:lang w:val="en-US" w:eastAsia="zh-CN"/>
        </w:rPr>
        <w:t>一方为另一方控股、实际控制或施加重大影响；</w:t>
      </w:r>
    </w:p>
    <w:p>
      <w:pPr>
        <w:pStyle w:val="8"/>
        <w:widowControl/>
        <w:numPr>
          <w:ilvl w:val="-1"/>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（二）</w:t>
      </w:r>
      <w:r>
        <w:rPr>
          <w:rFonts w:hint="eastAsia" w:ascii="仿宋_GB2312" w:hAnsi="仿宋_GB2312" w:eastAsia="仿宋_GB2312" w:cs="仿宋_GB2312"/>
          <w:kern w:val="2"/>
          <w:sz w:val="32"/>
          <w:szCs w:val="24"/>
          <w:shd w:val="clear"/>
          <w:lang w:val="en-US" w:eastAsia="zh-CN"/>
        </w:rPr>
        <w:t>两方或两方以上</w:t>
      </w:r>
      <w:r>
        <w:rPr>
          <w:rFonts w:hint="eastAsia" w:ascii="仿宋_GB2312" w:hAnsi="仿宋_GB2312" w:eastAsia="仿宋_GB2312" w:cs="仿宋_GB2312"/>
          <w:kern w:val="2"/>
          <w:sz w:val="32"/>
          <w:szCs w:val="24"/>
          <w:shd w:val="clear"/>
        </w:rPr>
        <w:t>受同一</w:t>
      </w:r>
      <w:r>
        <w:rPr>
          <w:rFonts w:hint="eastAsia" w:ascii="仿宋_GB2312" w:hAnsi="仿宋_GB2312" w:eastAsia="仿宋_GB2312" w:cs="仿宋_GB2312"/>
          <w:kern w:val="2"/>
          <w:sz w:val="32"/>
          <w:szCs w:val="24"/>
          <w:shd w:val="clear"/>
          <w:lang w:val="en-US" w:eastAsia="zh-CN"/>
        </w:rPr>
        <w:t>实际控制人</w:t>
      </w:r>
      <w:r>
        <w:rPr>
          <w:rFonts w:hint="eastAsia" w:ascii="仿宋_GB2312" w:hAnsi="仿宋_GB2312" w:eastAsia="仿宋_GB2312" w:cs="仿宋_GB2312"/>
          <w:kern w:val="2"/>
          <w:sz w:val="32"/>
          <w:szCs w:val="24"/>
          <w:shd w:val="clear"/>
        </w:rPr>
        <w:t>控制</w:t>
      </w:r>
      <w:r>
        <w:rPr>
          <w:rFonts w:hint="eastAsia" w:ascii="仿宋_GB2312" w:hAnsi="仿宋_GB2312" w:eastAsia="仿宋_GB2312" w:cs="仿宋_GB2312"/>
          <w:kern w:val="2"/>
          <w:sz w:val="32"/>
          <w:szCs w:val="24"/>
          <w:shd w:val="clear"/>
          <w:lang w:eastAsia="zh-CN"/>
        </w:rPr>
        <w:t>；</w:t>
      </w:r>
    </w:p>
    <w:p>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lang w:val="en-US"/>
        </w:rPr>
      </w:pPr>
      <w:r>
        <w:rPr>
          <w:rFonts w:hint="eastAsia" w:ascii="仿宋_GB2312" w:hAnsi="仿宋_GB2312" w:eastAsia="仿宋_GB2312" w:cs="仿宋_GB2312"/>
          <w:kern w:val="2"/>
          <w:sz w:val="32"/>
          <w:szCs w:val="24"/>
          <w:shd w:val="clear"/>
        </w:rPr>
        <w:t>（三）</w:t>
      </w:r>
      <w:r>
        <w:rPr>
          <w:rFonts w:hint="eastAsia" w:ascii="仿宋_GB2312" w:hAnsi="仿宋_GB2312" w:eastAsia="仿宋_GB2312" w:cs="仿宋_GB2312"/>
          <w:kern w:val="2"/>
          <w:sz w:val="32"/>
          <w:szCs w:val="24"/>
          <w:shd w:val="clear"/>
          <w:lang w:val="en-US" w:eastAsia="zh-CN"/>
        </w:rPr>
        <w:t>一方是另一方的</w:t>
      </w:r>
      <w:r>
        <w:rPr>
          <w:rFonts w:hint="eastAsia" w:ascii="仿宋_GB2312" w:hAnsi="仿宋_GB2312" w:eastAsia="仿宋_GB2312" w:cs="仿宋_GB2312"/>
          <w:kern w:val="2"/>
          <w:sz w:val="32"/>
          <w:szCs w:val="24"/>
          <w:shd w:val="clear"/>
        </w:rPr>
        <w:t>关键管理人员</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lang w:val="en-US" w:eastAsia="zh-CN"/>
        </w:rPr>
        <w:t>或者是由另一方</w:t>
      </w:r>
      <w:r>
        <w:rPr>
          <w:rFonts w:hint="eastAsia" w:ascii="仿宋_GB2312" w:hAnsi="仿宋_GB2312" w:eastAsia="仿宋_GB2312" w:cs="仿宋_GB2312"/>
          <w:kern w:val="2"/>
          <w:sz w:val="32"/>
          <w:szCs w:val="24"/>
          <w:shd w:val="clear"/>
        </w:rPr>
        <w:t>关键管理人员</w:t>
      </w:r>
      <w:r>
        <w:rPr>
          <w:rFonts w:hint="eastAsia" w:ascii="仿宋_GB2312" w:hAnsi="仿宋_GB2312" w:eastAsia="仿宋_GB2312" w:cs="仿宋_GB2312"/>
          <w:kern w:val="2"/>
          <w:sz w:val="32"/>
          <w:szCs w:val="24"/>
          <w:shd w:val="clear"/>
          <w:lang w:val="en-US" w:eastAsia="zh-CN"/>
        </w:rPr>
        <w:t>组成的出资主体。</w:t>
      </w:r>
    </w:p>
    <w:p>
      <w:pPr>
        <w:widowControl w:val="0"/>
        <w:numPr>
          <w:ilvl w:val="0"/>
          <w:numId w:val="1"/>
        </w:numPr>
        <w:wordWrap/>
        <w:ind w:firstLine="640" w:firstLineChars="200"/>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子基金</w:t>
      </w:r>
      <w:r>
        <w:rPr>
          <w:rFonts w:hint="eastAsia" w:ascii="仿宋_GB2312" w:hAnsi="仿宋_GB2312" w:eastAsia="仿宋_GB2312" w:cs="仿宋_GB2312"/>
          <w:kern w:val="2"/>
          <w:sz w:val="32"/>
          <w:szCs w:val="24"/>
          <w:shd w:val="clear"/>
          <w:lang w:val="en-US" w:eastAsia="zh-CN"/>
        </w:rPr>
        <w:t>申请母基金出资的</w:t>
      </w:r>
      <w:r>
        <w:rPr>
          <w:rFonts w:hint="eastAsia" w:ascii="仿宋_GB2312" w:hAnsi="仿宋_GB2312" w:eastAsia="仿宋_GB2312" w:cs="仿宋_GB2312"/>
          <w:kern w:val="2"/>
          <w:sz w:val="32"/>
          <w:szCs w:val="24"/>
          <w:shd w:val="clear"/>
        </w:rPr>
        <w:t>最高</w:t>
      </w:r>
      <w:r>
        <w:rPr>
          <w:rFonts w:hint="eastAsia" w:ascii="仿宋_GB2312" w:hAnsi="仿宋_GB2312" w:eastAsia="仿宋_GB2312" w:cs="仿宋_GB2312"/>
          <w:kern w:val="2"/>
          <w:sz w:val="32"/>
          <w:szCs w:val="24"/>
          <w:shd w:val="clear"/>
          <w:lang w:val="en-US" w:eastAsia="zh-CN"/>
        </w:rPr>
        <w:t>出资</w:t>
      </w:r>
      <w:r>
        <w:rPr>
          <w:rFonts w:hint="eastAsia" w:ascii="仿宋_GB2312" w:hAnsi="仿宋_GB2312" w:eastAsia="仿宋_GB2312" w:cs="仿宋_GB2312"/>
          <w:kern w:val="2"/>
          <w:sz w:val="32"/>
          <w:szCs w:val="24"/>
          <w:shd w:val="clear"/>
        </w:rPr>
        <w:t>额原则上不超过</w:t>
      </w:r>
      <w:r>
        <w:rPr>
          <w:rFonts w:hint="eastAsia" w:ascii="仿宋_GB2312" w:hAnsi="仿宋_GB2312" w:eastAsia="仿宋_GB2312" w:cs="仿宋_GB2312"/>
          <w:kern w:val="2"/>
          <w:sz w:val="32"/>
          <w:szCs w:val="24"/>
          <w:shd w:val="clear"/>
          <w:lang w:val="en-US" w:eastAsia="zh-CN"/>
        </w:rPr>
        <w:t>5</w:t>
      </w:r>
      <w:r>
        <w:rPr>
          <w:rFonts w:hint="eastAsia" w:ascii="仿宋_GB2312" w:hAnsi="仿宋_GB2312" w:eastAsia="仿宋_GB2312" w:cs="仿宋_GB2312"/>
          <w:kern w:val="2"/>
          <w:sz w:val="32"/>
          <w:szCs w:val="24"/>
          <w:shd w:val="clear"/>
        </w:rPr>
        <w:t>000万元人民币</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lang w:val="en-US" w:eastAsia="zh-CN"/>
        </w:rPr>
        <w:t>南控母基金出资</w:t>
      </w:r>
      <w:r>
        <w:rPr>
          <w:rFonts w:hint="eastAsia" w:ascii="仿宋_GB2312" w:hAnsi="仿宋_GB2312" w:eastAsia="仿宋_GB2312" w:cs="仿宋_GB2312"/>
          <w:kern w:val="2"/>
          <w:sz w:val="32"/>
          <w:szCs w:val="24"/>
          <w:shd w:val="clear"/>
        </w:rPr>
        <w:t>比例原则上不超过子基金</w:t>
      </w:r>
      <w:r>
        <w:rPr>
          <w:rFonts w:hint="eastAsia" w:ascii="仿宋_GB2312" w:hAnsi="仿宋_GB2312" w:eastAsia="仿宋_GB2312" w:cs="仿宋_GB2312"/>
          <w:kern w:val="2"/>
          <w:sz w:val="32"/>
          <w:szCs w:val="24"/>
          <w:shd w:val="clear"/>
          <w:lang w:val="en-US" w:eastAsia="zh-CN"/>
        </w:rPr>
        <w:t>规模</w:t>
      </w:r>
      <w:r>
        <w:rPr>
          <w:rFonts w:hint="eastAsia" w:ascii="仿宋_GB2312" w:hAnsi="仿宋_GB2312" w:eastAsia="仿宋_GB2312" w:cs="仿宋_GB2312"/>
          <w:kern w:val="2"/>
          <w:sz w:val="32"/>
          <w:szCs w:val="24"/>
          <w:shd w:val="clear"/>
        </w:rPr>
        <w:t>的</w:t>
      </w:r>
      <w:r>
        <w:rPr>
          <w:rFonts w:hint="eastAsia" w:ascii="仿宋_GB2312" w:hAnsi="仿宋_GB2312" w:eastAsia="仿宋_GB2312" w:cs="仿宋_GB2312"/>
          <w:kern w:val="2"/>
          <w:sz w:val="32"/>
          <w:szCs w:val="24"/>
          <w:shd w:val="clear"/>
          <w:lang w:val="en-US" w:eastAsia="zh-CN"/>
        </w:rPr>
        <w:t>2</w:t>
      </w:r>
      <w:r>
        <w:rPr>
          <w:rFonts w:hint="eastAsia" w:ascii="仿宋_GB2312" w:hAnsi="仿宋_GB2312" w:eastAsia="仿宋_GB2312" w:cs="仿宋_GB2312"/>
          <w:kern w:val="2"/>
          <w:sz w:val="32"/>
          <w:szCs w:val="24"/>
          <w:shd w:val="clear"/>
        </w:rPr>
        <w:t>0％，</w:t>
      </w:r>
      <w:r>
        <w:rPr>
          <w:rFonts w:hint="eastAsia" w:ascii="仿宋_GB2312" w:hAnsi="仿宋_GB2312" w:eastAsia="仿宋_GB2312" w:cs="仿宋_GB2312"/>
          <w:kern w:val="2"/>
          <w:sz w:val="32"/>
          <w:szCs w:val="24"/>
          <w:shd w:val="clear"/>
          <w:lang w:val="en-US" w:eastAsia="zh-CN"/>
        </w:rPr>
        <w:t>且</w:t>
      </w:r>
      <w:r>
        <w:rPr>
          <w:rFonts w:hint="eastAsia" w:ascii="仿宋_GB2312" w:hAnsi="仿宋_GB2312" w:eastAsia="仿宋_GB2312" w:cs="仿宋_GB2312"/>
          <w:kern w:val="2"/>
          <w:sz w:val="32"/>
          <w:szCs w:val="24"/>
          <w:shd w:val="clear"/>
        </w:rPr>
        <w:t>不成为子基金的第一大出资人。</w:t>
      </w:r>
    </w:p>
    <w:p>
      <w:pPr>
        <w:widowControl w:val="0"/>
        <w:numPr>
          <w:ilvl w:val="0"/>
          <w:numId w:val="1"/>
        </w:numPr>
        <w:wordWrap/>
        <w:ind w:firstLine="640" w:firstLineChars="200"/>
        <w:rPr>
          <w:rFonts w:hint="eastAsia" w:ascii="仿宋_GB2312" w:hAnsi="仿宋_GB2312" w:eastAsia="仿宋_GB2312" w:cs="仿宋_GB2312"/>
          <w:kern w:val="2"/>
          <w:sz w:val="32"/>
          <w:szCs w:val="24"/>
          <w:u w:val="none"/>
          <w:shd w:val="clear"/>
        </w:rPr>
      </w:pPr>
      <w:r>
        <w:rPr>
          <w:rFonts w:hint="eastAsia" w:ascii="仿宋_GB2312" w:hAnsi="仿宋_GB2312" w:eastAsia="仿宋_GB2312" w:cs="仿宋_GB2312"/>
          <w:kern w:val="2"/>
          <w:sz w:val="32"/>
          <w:szCs w:val="24"/>
          <w:u w:val="none"/>
          <w:shd w:val="clear"/>
        </w:rPr>
        <w:t>子基金申请机构在提交基金申报方案时，须至少已经募集到拟设立子基金总规模30%的资金（不含母基金出资部分），并提供拟出资人的出资</w:t>
      </w:r>
      <w:r>
        <w:rPr>
          <w:rFonts w:hint="eastAsia" w:ascii="仿宋_GB2312" w:hAnsi="仿宋_GB2312" w:eastAsia="仿宋_GB2312" w:cs="仿宋_GB2312"/>
          <w:kern w:val="2"/>
          <w:sz w:val="32"/>
          <w:szCs w:val="24"/>
          <w:u w:val="none"/>
          <w:shd w:val="clear"/>
          <w:lang w:val="en-US" w:eastAsia="zh-CN"/>
        </w:rPr>
        <w:t>情况说明</w:t>
      </w:r>
      <w:r>
        <w:rPr>
          <w:rFonts w:hint="eastAsia" w:ascii="仿宋_GB2312" w:hAnsi="仿宋_GB2312" w:eastAsia="仿宋_GB2312" w:cs="仿宋_GB2312"/>
          <w:kern w:val="2"/>
          <w:sz w:val="32"/>
          <w:szCs w:val="24"/>
          <w:u w:val="none"/>
          <w:shd w:val="clear"/>
        </w:rPr>
        <w:t>等材料。</w:t>
      </w:r>
      <w:r>
        <w:rPr>
          <w:rFonts w:hint="eastAsia" w:ascii="仿宋_GB2312" w:hAnsi="仿宋_GB2312" w:eastAsia="仿宋_GB2312" w:cs="仿宋_GB2312"/>
          <w:kern w:val="2"/>
          <w:sz w:val="32"/>
          <w:szCs w:val="24"/>
          <w:shd w:val="clear"/>
        </w:rPr>
        <w:t>南控母基金原则</w:t>
      </w:r>
      <w:r>
        <w:rPr>
          <w:rFonts w:hint="eastAsia" w:ascii="仿宋_GB2312" w:hAnsi="仿宋_GB2312" w:eastAsia="仿宋_GB2312" w:cs="仿宋_GB2312"/>
          <w:kern w:val="2"/>
          <w:sz w:val="32"/>
          <w:szCs w:val="24"/>
          <w:shd w:val="clear"/>
          <w:lang w:val="en-US" w:eastAsia="zh-CN"/>
        </w:rPr>
        <w:t>上</w:t>
      </w:r>
      <w:r>
        <w:rPr>
          <w:rFonts w:hint="eastAsia" w:ascii="仿宋_GB2312" w:hAnsi="仿宋_GB2312" w:eastAsia="仿宋_GB2312" w:cs="仿宋_GB2312"/>
          <w:kern w:val="2"/>
          <w:sz w:val="32"/>
          <w:szCs w:val="24"/>
          <w:shd w:val="clear"/>
        </w:rPr>
        <w:t>按子基金投资节奏进行出资实缴，且有权在子基金其他投资人实缴出资后</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lang w:val="en-US" w:eastAsia="zh-CN"/>
        </w:rPr>
        <w:t>政府引导基金及同类型国资基金除外</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，再履行对应出资义务。</w:t>
      </w:r>
    </w:p>
    <w:p>
      <w:pPr>
        <w:widowControl w:val="0"/>
        <w:numPr>
          <w:ilvl w:val="0"/>
          <w:numId w:val="1"/>
        </w:numPr>
        <w:wordWrap/>
        <w:ind w:firstLine="640" w:firstLineChars="200"/>
        <w:rPr>
          <w:rFonts w:hint="eastAsia" w:ascii="仿宋_GB2312" w:hAnsi="仿宋_GB2312" w:eastAsia="仿宋_GB2312" w:cs="仿宋_GB2312"/>
          <w:kern w:val="2"/>
          <w:sz w:val="32"/>
          <w:szCs w:val="24"/>
          <w:shd w:val="clear"/>
          <w:lang w:eastAsia="zh-CN"/>
        </w:rPr>
      </w:pPr>
      <w:r>
        <w:rPr>
          <w:rFonts w:hint="eastAsia" w:ascii="仿宋_GB2312" w:hAnsi="仿宋_GB2312" w:eastAsia="仿宋_GB2312" w:cs="仿宋_GB2312"/>
          <w:kern w:val="2"/>
          <w:sz w:val="32"/>
          <w:szCs w:val="24"/>
          <w:shd w:val="clear"/>
        </w:rPr>
        <w:t>子基金投资期不超过4年</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存续期限</w:t>
      </w:r>
      <w:r>
        <w:rPr>
          <w:rFonts w:hint="eastAsia" w:ascii="仿宋_GB2312" w:hAnsi="仿宋_GB2312" w:eastAsia="仿宋_GB2312" w:cs="仿宋_GB2312"/>
          <w:kern w:val="2"/>
          <w:sz w:val="32"/>
          <w:szCs w:val="24"/>
          <w:shd w:val="clear"/>
          <w:lang w:val="en-US" w:eastAsia="zh-CN"/>
        </w:rPr>
        <w:t>不超过南控母基金存续期限</w:t>
      </w:r>
      <w:r>
        <w:rPr>
          <w:rFonts w:hint="eastAsia" w:ascii="仿宋_GB2312" w:hAnsi="仿宋_GB2312" w:eastAsia="仿宋_GB2312" w:cs="仿宋_GB2312"/>
          <w:kern w:val="2"/>
          <w:sz w:val="32"/>
          <w:szCs w:val="24"/>
          <w:shd w:val="clear"/>
          <w:lang w:eastAsia="zh-CN"/>
        </w:rPr>
        <w:t>。</w:t>
      </w:r>
    </w:p>
    <w:p>
      <w:pPr>
        <w:widowControl w:val="0"/>
        <w:numPr>
          <w:ilvl w:val="0"/>
          <w:numId w:val="1"/>
        </w:numPr>
        <w:wordWrap/>
        <w:ind w:firstLine="640" w:firstLineChars="200"/>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子基金投资期收取的管理费率每年最高不超过实缴金额的2%，子基金退出期收取的管理费率每年最高不超过未退出本金总额的2%，且对南控母基金收取管理费的标准不得高于其他出资人。</w:t>
      </w:r>
    </w:p>
    <w:p>
      <w:pPr>
        <w:widowControl w:val="0"/>
        <w:numPr>
          <w:ilvl w:val="0"/>
          <w:numId w:val="1"/>
        </w:numPr>
        <w:wordWrap/>
        <w:ind w:firstLine="640" w:firstLineChars="200"/>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子基金投资项目退出后，投资回收资金不得再用于对外投资，须及时按合伙协议（或公司章程）约定向投资人进行分配。原则上，子基金的门槛收益率</w:t>
      </w:r>
      <w:r>
        <w:rPr>
          <w:rFonts w:hint="eastAsia" w:ascii="仿宋_GB2312" w:hAnsi="仿宋_GB2312" w:eastAsia="仿宋_GB2312" w:cs="仿宋_GB2312"/>
          <w:kern w:val="2"/>
          <w:sz w:val="32"/>
          <w:szCs w:val="24"/>
          <w:shd w:val="clear"/>
          <w:vertAlign w:val="superscript"/>
        </w:rPr>
        <w:footnoteReference w:id="4"/>
      </w:r>
      <w:r>
        <w:rPr>
          <w:rFonts w:hint="eastAsia" w:ascii="仿宋_GB2312" w:hAnsi="仿宋_GB2312" w:eastAsia="仿宋_GB2312" w:cs="仿宋_GB2312"/>
          <w:kern w:val="2"/>
          <w:sz w:val="32"/>
          <w:szCs w:val="24"/>
          <w:shd w:val="clear"/>
        </w:rPr>
        <w:t>不低于</w:t>
      </w:r>
      <w:r>
        <w:rPr>
          <w:rFonts w:hint="eastAsia" w:ascii="仿宋_GB2312" w:hAnsi="仿宋_GB2312" w:eastAsia="仿宋_GB2312" w:cs="仿宋_GB2312"/>
          <w:kern w:val="2"/>
          <w:sz w:val="32"/>
          <w:szCs w:val="24"/>
          <w:shd w:val="clear"/>
          <w:lang w:val="en-US" w:eastAsia="zh-CN"/>
        </w:rPr>
        <w:t>6</w:t>
      </w:r>
      <w:r>
        <w:rPr>
          <w:rFonts w:hint="eastAsia" w:ascii="仿宋_GB2312" w:hAnsi="仿宋_GB2312" w:eastAsia="仿宋_GB2312" w:cs="仿宋_GB2312"/>
          <w:kern w:val="2"/>
          <w:sz w:val="32"/>
          <w:szCs w:val="24"/>
          <w:shd w:val="clear"/>
        </w:rPr>
        <w:t>%（单利）。</w:t>
      </w:r>
    </w:p>
    <w:p>
      <w:pPr>
        <w:widowControl w:val="0"/>
        <w:numPr>
          <w:ilvl w:val="0"/>
          <w:numId w:val="1"/>
        </w:numPr>
        <w:wordWrap/>
        <w:ind w:firstLine="640" w:firstLineChars="200"/>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子基金</w:t>
      </w:r>
      <w:r>
        <w:rPr>
          <w:rFonts w:hint="eastAsia" w:ascii="仿宋_GB2312" w:hAnsi="仿宋_GB2312" w:eastAsia="仿宋_GB2312" w:cs="仿宋_GB2312"/>
          <w:kern w:val="2"/>
          <w:sz w:val="32"/>
          <w:szCs w:val="24"/>
          <w:shd w:val="clear"/>
          <w:lang w:val="en-US" w:eastAsia="zh-CN"/>
        </w:rPr>
        <w:t>应当</w:t>
      </w:r>
      <w:r>
        <w:rPr>
          <w:rFonts w:hint="eastAsia" w:ascii="仿宋_GB2312" w:hAnsi="仿宋_GB2312" w:eastAsia="仿宋_GB2312" w:cs="仿宋_GB2312"/>
          <w:kern w:val="2"/>
          <w:sz w:val="32"/>
          <w:szCs w:val="24"/>
          <w:shd w:val="clear"/>
        </w:rPr>
        <w:t>已经具有一定数量的项目储备并制定了相应的投资计划。</w:t>
      </w:r>
      <w:r>
        <w:rPr>
          <w:rFonts w:hint="eastAsia" w:ascii="仿宋_GB2312" w:hAnsi="仿宋_GB2312" w:eastAsia="仿宋_GB2312" w:cs="仿宋_GB2312"/>
          <w:kern w:val="2"/>
          <w:sz w:val="32"/>
          <w:szCs w:val="24"/>
          <w:shd w:val="clear"/>
          <w:lang w:val="en-US" w:eastAsia="zh-CN"/>
        </w:rPr>
        <w:t>子基金原则上应直接投资具体项目，除需通过设立项目基金方式投资具体项目外，子基金不可再投资其他股权投资基金。</w:t>
      </w:r>
    </w:p>
    <w:p>
      <w:pPr>
        <w:widowControl w:val="0"/>
        <w:numPr>
          <w:ilvl w:val="0"/>
          <w:numId w:val="1"/>
        </w:numPr>
        <w:wordWrap/>
        <w:ind w:firstLine="640" w:firstLineChars="200"/>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子基金</w:t>
      </w:r>
      <w:r>
        <w:rPr>
          <w:rFonts w:hint="eastAsia" w:ascii="仿宋_GB2312" w:hAnsi="仿宋_GB2312" w:eastAsia="仿宋_GB2312" w:cs="仿宋_GB2312"/>
          <w:kern w:val="2"/>
          <w:sz w:val="32"/>
          <w:szCs w:val="24"/>
          <w:shd w:val="clear"/>
          <w:lang w:val="en-US" w:eastAsia="zh-CN"/>
        </w:rPr>
        <w:t>投资于南海区的金额应高于南控母基金对子基金实缴出资金额，投资于南海区的具体认定标准由南控母基金与子基金申请机构共同协商确定。</w:t>
      </w:r>
    </w:p>
    <w:p>
      <w:pPr>
        <w:widowControl w:val="0"/>
        <w:numPr>
          <w:ilvl w:val="0"/>
          <w:numId w:val="1"/>
        </w:numPr>
        <w:wordWrap/>
        <w:ind w:firstLine="640" w:firstLineChars="200"/>
        <w:rPr>
          <w:rFonts w:hint="eastAsia" w:ascii="仿宋_GB2312" w:hAnsi="仿宋_GB2312" w:eastAsia="仿宋_GB2312" w:cs="仿宋_GB2312"/>
          <w:kern w:val="2"/>
          <w:sz w:val="32"/>
          <w:szCs w:val="24"/>
        </w:rPr>
      </w:pPr>
      <w:r>
        <w:rPr>
          <w:rFonts w:hint="eastAsia" w:ascii="仿宋_GB2312" w:hAnsi="仿宋_GB2312" w:eastAsia="仿宋_GB2312" w:cs="仿宋_GB2312"/>
          <w:b w:val="0"/>
          <w:bCs w:val="0"/>
          <w:kern w:val="2"/>
          <w:sz w:val="32"/>
          <w:szCs w:val="24"/>
          <w:shd w:val="clear"/>
        </w:rPr>
        <w:t>子基金不得从事以下业务：</w:t>
      </w:r>
    </w:p>
    <w:p>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（一）从事股权质押、担保、抵押、委托贷款等业务；</w:t>
      </w:r>
    </w:p>
    <w:p>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（二）投资期货、房地产、证券投资基金、企业债、信托产品、非保本型理财产品</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通过银行存款、国债、货币基金、固定收益类理财产品等方式进行临时投资除外</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、保险计划及其他金融衍生品；</w:t>
      </w:r>
    </w:p>
    <w:p>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w:t>
      </w:r>
      <w:r>
        <w:rPr>
          <w:rFonts w:hint="eastAsia" w:ascii="仿宋_GB2312" w:hAnsi="仿宋_GB2312" w:eastAsia="仿宋_GB2312" w:cs="仿宋_GB2312"/>
          <w:kern w:val="2"/>
          <w:sz w:val="32"/>
          <w:szCs w:val="24"/>
          <w:shd w:val="clear"/>
          <w:lang w:val="en-US" w:eastAsia="zh-CN"/>
        </w:rPr>
        <w:t>三</w:t>
      </w:r>
      <w:r>
        <w:rPr>
          <w:rFonts w:hint="eastAsia" w:ascii="仿宋_GB2312" w:hAnsi="仿宋_GB2312" w:eastAsia="仿宋_GB2312" w:cs="仿宋_GB2312"/>
          <w:kern w:val="2"/>
          <w:sz w:val="32"/>
          <w:szCs w:val="24"/>
          <w:shd w:val="clear"/>
        </w:rPr>
        <w:t>）发行信托或集合理财产品募集资金；</w:t>
      </w:r>
    </w:p>
    <w:p>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（四）向任何第三方提供赞助、捐赠；</w:t>
      </w:r>
    </w:p>
    <w:p>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（五）吸收或变相吸收存款，或向第三方提供贷款和资金拆借</w:t>
      </w:r>
      <w:r>
        <w:rPr>
          <w:rFonts w:hint="eastAsia" w:ascii="仿宋_GB2312" w:hAnsi="仿宋_GB2312" w:eastAsia="仿宋_GB2312" w:cs="仿宋_GB2312"/>
          <w:kern w:val="2"/>
          <w:sz w:val="32"/>
          <w:szCs w:val="24"/>
          <w:highlight w:val="none"/>
          <w:shd w:val="clear"/>
          <w:lang w:eastAsia="zh-CN"/>
        </w:rPr>
        <w:t>（</w:t>
      </w:r>
      <w:r>
        <w:rPr>
          <w:rFonts w:hint="eastAsia" w:ascii="仿宋_GB2312" w:hAnsi="仿宋_GB2312" w:eastAsia="仿宋_GB2312" w:cs="仿宋_GB2312"/>
          <w:kern w:val="2"/>
          <w:sz w:val="32"/>
          <w:szCs w:val="24"/>
          <w:highlight w:val="none"/>
          <w:shd w:val="clear"/>
          <w:lang w:val="en-US" w:eastAsia="zh-CN"/>
        </w:rPr>
        <w:t>法律法规、行业协会自律规则未禁止的、以股权投资为目的借款、担保除外）</w:t>
      </w:r>
      <w:r>
        <w:rPr>
          <w:rFonts w:hint="eastAsia" w:ascii="仿宋_GB2312" w:hAnsi="仿宋_GB2312" w:eastAsia="仿宋_GB2312" w:cs="仿宋_GB2312"/>
          <w:kern w:val="2"/>
          <w:sz w:val="32"/>
          <w:szCs w:val="24"/>
          <w:shd w:val="clear"/>
        </w:rPr>
        <w:t>；</w:t>
      </w:r>
    </w:p>
    <w:p>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（六）进行承担无限连带责任的对外投资；</w:t>
      </w:r>
    </w:p>
    <w:p>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w:t>
      </w:r>
      <w:r>
        <w:rPr>
          <w:rFonts w:hint="eastAsia" w:ascii="仿宋_GB2312" w:hAnsi="仿宋_GB2312" w:eastAsia="仿宋_GB2312" w:cs="仿宋_GB2312"/>
          <w:kern w:val="2"/>
          <w:sz w:val="32"/>
          <w:szCs w:val="24"/>
          <w:shd w:val="clear"/>
          <w:lang w:val="en-US" w:eastAsia="zh-CN"/>
        </w:rPr>
        <w:t>七</w:t>
      </w:r>
      <w:r>
        <w:rPr>
          <w:rFonts w:hint="eastAsia" w:ascii="仿宋_GB2312" w:hAnsi="仿宋_GB2312" w:eastAsia="仿宋_GB2312" w:cs="仿宋_GB2312"/>
          <w:kern w:val="2"/>
          <w:sz w:val="32"/>
          <w:szCs w:val="24"/>
          <w:shd w:val="clear"/>
        </w:rPr>
        <w:t>）其他国家法律法规禁止从事的业务。</w:t>
      </w:r>
    </w:p>
    <w:p>
      <w:pPr>
        <w:widowControl w:val="0"/>
        <w:numPr>
          <w:ilvl w:val="0"/>
          <w:numId w:val="1"/>
        </w:numPr>
        <w:wordWrap/>
        <w:ind w:firstLine="640" w:firstLineChars="200"/>
        <w:rPr>
          <w:rFonts w:hint="eastAsia" w:ascii="仿宋_GB2312" w:hAnsi="仿宋_GB2312" w:eastAsia="仿宋_GB2312" w:cs="仿宋_GB2312"/>
          <w:kern w:val="2"/>
          <w:sz w:val="32"/>
          <w:szCs w:val="24"/>
          <w:shd w:val="clear"/>
          <w:lang w:bidi="zh-TW"/>
        </w:rPr>
      </w:pPr>
      <w:r>
        <w:rPr>
          <w:rFonts w:hint="eastAsia" w:ascii="仿宋_GB2312" w:hAnsi="仿宋_GB2312" w:eastAsia="仿宋_GB2312" w:cs="仿宋_GB2312"/>
          <w:kern w:val="2"/>
          <w:sz w:val="32"/>
          <w:szCs w:val="24"/>
          <w:shd w:val="clear"/>
          <w:lang w:bidi="zh-TW"/>
        </w:rPr>
        <w:t>申请南控母基金对现有股权投资基金进行增资或受让股权投资基金份额（合伙企业财产份额）的，除需符合上述条件外，还应满足以下条件：</w:t>
      </w:r>
    </w:p>
    <w:p>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lang w:bidi="zh-TW"/>
        </w:rPr>
      </w:pPr>
      <w:r>
        <w:rPr>
          <w:rFonts w:hint="eastAsia" w:ascii="仿宋_GB2312" w:hAnsi="仿宋_GB2312" w:eastAsia="仿宋_GB2312" w:cs="仿宋_GB2312"/>
          <w:kern w:val="2"/>
          <w:sz w:val="32"/>
          <w:szCs w:val="24"/>
          <w:shd w:val="clear"/>
          <w:lang w:bidi="zh-TW"/>
        </w:rPr>
        <w:t>（一）子基金已按有关法律法规设立；</w:t>
      </w:r>
    </w:p>
    <w:p>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lang w:bidi="zh-TW"/>
        </w:rPr>
        <w:t>（二）子基金全体出资人首期出资或首期认缴出资已经实际缴纳到位</w:t>
      </w:r>
      <w:r>
        <w:rPr>
          <w:rFonts w:hint="eastAsia" w:ascii="仿宋_GB2312" w:hAnsi="仿宋_GB2312" w:eastAsia="仿宋_GB2312" w:cs="仿宋_GB2312"/>
          <w:kern w:val="2"/>
          <w:sz w:val="32"/>
          <w:szCs w:val="24"/>
          <w:shd w:val="clear"/>
          <w:lang w:eastAsia="zh-CN" w:bidi="zh-TW"/>
        </w:rPr>
        <w:t>。</w:t>
      </w:r>
    </w:p>
    <w:p>
      <w:pPr>
        <w:widowControl w:val="0"/>
        <w:numPr>
          <w:ilvl w:val="0"/>
          <w:numId w:val="1"/>
        </w:numPr>
        <w:wordWrap/>
        <w:ind w:firstLine="640" w:firstLineChars="200"/>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子基金管理机构应当建立子基金重大事项披露制度。子基金须定期向南控母基金提交子基金运营报告、经审计的子基金财务报告和银行托管报告</w:t>
      </w:r>
      <w:r>
        <w:rPr>
          <w:rFonts w:hint="eastAsia" w:ascii="仿宋_GB2312" w:hAnsi="仿宋_GB2312" w:eastAsia="仿宋_GB2312" w:cs="仿宋_GB2312"/>
          <w:kern w:val="2"/>
          <w:sz w:val="32"/>
          <w:szCs w:val="24"/>
          <w:highlight w:val="none"/>
          <w:shd w:val="clear"/>
        </w:rPr>
        <w:t>、</w:t>
      </w:r>
      <w:r>
        <w:rPr>
          <w:rFonts w:hint="eastAsia" w:ascii="仿宋_GB2312" w:hAnsi="仿宋_GB2312" w:eastAsia="仿宋_GB2312" w:cs="仿宋_GB2312"/>
          <w:kern w:val="2"/>
          <w:sz w:val="32"/>
          <w:szCs w:val="24"/>
          <w:highlight w:val="none"/>
          <w:shd w:val="clear"/>
          <w:lang w:val="en-US" w:eastAsia="zh-CN"/>
        </w:rPr>
        <w:t>项目材料</w:t>
      </w:r>
      <w:r>
        <w:rPr>
          <w:rFonts w:hint="eastAsia" w:ascii="仿宋_GB2312" w:hAnsi="仿宋_GB2312" w:eastAsia="仿宋_GB2312" w:cs="仿宋_GB2312"/>
          <w:kern w:val="2"/>
          <w:sz w:val="32"/>
          <w:szCs w:val="24"/>
          <w:shd w:val="clear"/>
        </w:rPr>
        <w:t>及其他合规材料备案等，并配合南控母基金相关合规工作。</w:t>
      </w:r>
    </w:p>
    <w:p>
      <w:pPr>
        <w:widowControl w:val="0"/>
        <w:numPr>
          <w:ilvl w:val="0"/>
          <w:numId w:val="1"/>
        </w:numPr>
        <w:wordWrap/>
        <w:ind w:firstLine="640" w:firstLineChars="200"/>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南控母基金将定期进行非现场核查、现场走访等形式的投后管理工作，</w:t>
      </w:r>
      <w:r>
        <w:rPr>
          <w:rFonts w:hint="eastAsia" w:ascii="仿宋_GB2312" w:hAnsi="仿宋_GB2312" w:eastAsia="仿宋_GB2312" w:cs="仿宋_GB2312"/>
          <w:kern w:val="2"/>
          <w:sz w:val="32"/>
          <w:szCs w:val="24"/>
          <w:shd w:val="clear"/>
          <w:lang w:val="en-US" w:eastAsia="zh-CN"/>
        </w:rPr>
        <w:t>及</w:t>
      </w:r>
      <w:r>
        <w:rPr>
          <w:rFonts w:hint="eastAsia" w:ascii="仿宋_GB2312" w:hAnsi="仿宋_GB2312" w:eastAsia="仿宋_GB2312" w:cs="仿宋_GB2312"/>
          <w:kern w:val="2"/>
          <w:sz w:val="32"/>
          <w:szCs w:val="24"/>
          <w:shd w:val="clear"/>
        </w:rPr>
        <w:t>视工作需要委托专业机构对子基金进行审计</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子基金管理</w:t>
      </w:r>
      <w:r>
        <w:rPr>
          <w:rFonts w:hint="eastAsia" w:ascii="仿宋_GB2312" w:hAnsi="仿宋_GB2312" w:eastAsia="仿宋_GB2312" w:cs="仿宋_GB2312"/>
          <w:kern w:val="2"/>
          <w:sz w:val="32"/>
          <w:szCs w:val="24"/>
          <w:shd w:val="clear"/>
          <w:lang w:val="en-US" w:eastAsia="zh-CN"/>
        </w:rPr>
        <w:t>机构</w:t>
      </w:r>
      <w:r>
        <w:rPr>
          <w:rFonts w:hint="eastAsia" w:ascii="仿宋_GB2312" w:hAnsi="仿宋_GB2312" w:eastAsia="仿宋_GB2312" w:cs="仿宋_GB2312"/>
          <w:kern w:val="2"/>
          <w:sz w:val="32"/>
          <w:szCs w:val="24"/>
          <w:shd w:val="clear"/>
        </w:rPr>
        <w:t>需予以配合。</w:t>
      </w:r>
    </w:p>
    <w:p>
      <w:pPr>
        <w:widowControl w:val="0"/>
        <w:numPr>
          <w:ilvl w:val="0"/>
          <w:numId w:val="1"/>
        </w:numPr>
        <w:wordWrap/>
        <w:ind w:firstLine="640" w:firstLineChars="200"/>
        <w:rPr>
          <w:rFonts w:hint="eastAsia" w:ascii="仿宋_GB2312" w:hAnsi="仿宋_GB2312" w:eastAsia="仿宋_GB2312" w:cs="仿宋_GB2312"/>
          <w:kern w:val="2"/>
          <w:sz w:val="32"/>
          <w:szCs w:val="24"/>
        </w:rPr>
      </w:pPr>
      <w:r>
        <w:rPr>
          <w:rFonts w:hint="eastAsia" w:ascii="仿宋_GB2312" w:hAnsi="仿宋_GB2312" w:eastAsia="仿宋_GB2312" w:cs="仿宋_GB2312"/>
          <w:b w:val="0"/>
          <w:bCs w:val="0"/>
          <w:kern w:val="2"/>
          <w:sz w:val="32"/>
          <w:szCs w:val="24"/>
          <w:shd w:val="clear"/>
        </w:rPr>
        <w:t>有下列情况之一的，</w:t>
      </w:r>
      <w:r>
        <w:rPr>
          <w:rFonts w:hint="eastAsia" w:ascii="仿宋_GB2312" w:hAnsi="仿宋_GB2312" w:eastAsia="仿宋_GB2312" w:cs="仿宋_GB2312"/>
          <w:b w:val="0"/>
          <w:bCs w:val="0"/>
          <w:kern w:val="2"/>
          <w:sz w:val="32"/>
          <w:szCs w:val="24"/>
          <w:shd w:val="clear"/>
          <w:lang w:val="en-US" w:eastAsia="zh-CN"/>
        </w:rPr>
        <w:t>南控</w:t>
      </w:r>
      <w:r>
        <w:rPr>
          <w:rFonts w:hint="eastAsia" w:ascii="仿宋_GB2312" w:hAnsi="仿宋_GB2312" w:eastAsia="仿宋_GB2312" w:cs="仿宋_GB2312"/>
          <w:b w:val="0"/>
          <w:bCs w:val="0"/>
          <w:kern w:val="2"/>
          <w:sz w:val="32"/>
          <w:szCs w:val="24"/>
          <w:shd w:val="clear"/>
        </w:rPr>
        <w:t>母基金有权要求终止合作或提前退出：</w:t>
      </w:r>
    </w:p>
    <w:p>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（一）子基金未按照子基金章程、合伙协议或其他约束性文件的约定投资且未能有效整改的；</w:t>
      </w:r>
    </w:p>
    <w:p>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（二）南控母基金与子基金管理机构签订投资或合作协议后，子基金管理机构未在6个月内完成子基金工商设立登记的；</w:t>
      </w:r>
    </w:p>
    <w:p>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（三）子基金完成工商设立登记后，子基金其他出资人未在6个月内完成首期出资的；</w:t>
      </w:r>
    </w:p>
    <w:p>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（四）南控母基金出资资金拨付至子基金账户后，子基金未开展投资业务（至少完成一个项目投资）超过1年的；</w:t>
      </w:r>
    </w:p>
    <w:p>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（五）子基金运营有违法违规行为并被依法查处的；</w:t>
      </w:r>
    </w:p>
    <w:p>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（六）子基金管理机构发生实质性变化，已不符合本办法所述规定，且未经子基金相关权力机构审议通过的。实质变化包括但不限于：</w:t>
      </w:r>
    </w:p>
    <w:p>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1.子基金管理机构的主要股东（公司制）或普通合伙人（合伙制）发生实质性变化；</w:t>
      </w:r>
    </w:p>
    <w:p>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2.锁定的子基金投委会委员或管理团队核心人员半数（含）以上发生变化等情况。</w:t>
      </w:r>
    </w:p>
    <w:p>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（七）南控母基金委托专业机构对子基金进行审计，子基金或管理</w:t>
      </w:r>
      <w:r>
        <w:rPr>
          <w:rFonts w:hint="eastAsia" w:ascii="仿宋_GB2312" w:hAnsi="仿宋_GB2312" w:eastAsia="仿宋_GB2312" w:cs="仿宋_GB2312"/>
          <w:kern w:val="2"/>
          <w:sz w:val="32"/>
          <w:szCs w:val="24"/>
          <w:shd w:val="clear"/>
          <w:lang w:val="en-US" w:eastAsia="zh-CN"/>
        </w:rPr>
        <w:t>机构</w:t>
      </w:r>
      <w:r>
        <w:rPr>
          <w:rFonts w:hint="eastAsia" w:ascii="仿宋_GB2312" w:hAnsi="仿宋_GB2312" w:eastAsia="仿宋_GB2312" w:cs="仿宋_GB2312"/>
          <w:kern w:val="2"/>
          <w:sz w:val="32"/>
          <w:szCs w:val="24"/>
          <w:shd w:val="clear"/>
        </w:rPr>
        <w:t>拒不配合的。</w:t>
      </w:r>
    </w:p>
    <w:p>
      <w:pPr>
        <w:widowControl w:val="0"/>
        <w:numPr>
          <w:ilvl w:val="0"/>
          <w:numId w:val="1"/>
        </w:numPr>
        <w:wordWrap/>
        <w:ind w:firstLine="640" w:firstLineChars="200"/>
        <w:rPr>
          <w:rFonts w:hint="eastAsia" w:ascii="仿宋_GB2312" w:hAnsi="仿宋_GB2312" w:eastAsia="仿宋_GB2312" w:cs="仿宋_GB2312"/>
          <w:kern w:val="2"/>
          <w:sz w:val="32"/>
          <w:szCs w:val="24"/>
          <w:shd w:val="clear"/>
          <w:lang w:val="en-US" w:eastAsia="zh-CN"/>
        </w:rPr>
      </w:pPr>
      <w:r>
        <w:rPr>
          <w:rFonts w:hint="eastAsia" w:ascii="仿宋_GB2312" w:hAnsi="仿宋_GB2312" w:eastAsia="仿宋_GB2312" w:cs="仿宋_GB2312"/>
          <w:kern w:val="2"/>
          <w:sz w:val="32"/>
          <w:szCs w:val="24"/>
          <w:shd w:val="clear"/>
          <w:lang w:val="en-US" w:eastAsia="zh-CN"/>
        </w:rPr>
        <w:t>鼓励子基金以下行为：</w:t>
      </w:r>
    </w:p>
    <w:p>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lang w:val="en-US" w:eastAsia="zh-CN"/>
        </w:rPr>
      </w:pPr>
      <w:r>
        <w:rPr>
          <w:rFonts w:hint="eastAsia" w:ascii="仿宋_GB2312" w:hAnsi="仿宋_GB2312" w:eastAsia="仿宋_GB2312" w:cs="仿宋_GB2312"/>
          <w:kern w:val="2"/>
          <w:sz w:val="32"/>
          <w:szCs w:val="24"/>
          <w:shd w:val="clear"/>
          <w:lang w:val="en-US" w:eastAsia="zh-CN"/>
        </w:rPr>
        <w:t>（一）向南控母基金及其关联方分享股权项目的跟随投资机会（包括同一轮次的联合投资）；</w:t>
      </w:r>
    </w:p>
    <w:p>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lang w:val="en-US" w:eastAsia="zh-CN"/>
        </w:rPr>
      </w:pPr>
      <w:r>
        <w:rPr>
          <w:rFonts w:hint="eastAsia" w:ascii="仿宋_GB2312" w:hAnsi="仿宋_GB2312" w:eastAsia="仿宋_GB2312" w:cs="仿宋_GB2312"/>
          <w:kern w:val="2"/>
          <w:sz w:val="32"/>
          <w:szCs w:val="24"/>
          <w:shd w:val="clear"/>
          <w:lang w:val="en-US" w:eastAsia="zh-CN"/>
        </w:rPr>
        <w:t>（二）申请时已有投资意向较为明确的南海区本地项目；</w:t>
      </w:r>
    </w:p>
    <w:p>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lang w:val="en-US" w:eastAsia="zh-CN"/>
        </w:rPr>
      </w:pPr>
      <w:r>
        <w:rPr>
          <w:rFonts w:hint="eastAsia" w:ascii="仿宋_GB2312" w:hAnsi="仿宋_GB2312" w:eastAsia="仿宋_GB2312" w:cs="仿宋_GB2312"/>
          <w:kern w:val="2"/>
          <w:sz w:val="32"/>
          <w:szCs w:val="24"/>
          <w:shd w:val="clear"/>
          <w:lang w:val="en-US" w:eastAsia="zh-CN"/>
        </w:rPr>
        <w:t>（三）在南海区注册。</w:t>
      </w:r>
    </w:p>
    <w:p>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lang w:val="en-US" w:eastAsia="zh-CN"/>
        </w:rPr>
      </w:pPr>
      <w:r>
        <w:rPr>
          <w:rFonts w:hint="eastAsia" w:ascii="仿宋_GB2312" w:hAnsi="仿宋_GB2312" w:eastAsia="仿宋_GB2312" w:cs="仿宋_GB2312"/>
          <w:kern w:val="2"/>
          <w:sz w:val="32"/>
          <w:szCs w:val="24"/>
          <w:shd w:val="clear"/>
          <w:lang w:val="en-US" w:eastAsia="zh-CN"/>
        </w:rPr>
        <w:t>满足上述任一条件，子基金申请母基金出资的最高出资额不超过1亿元人民币，南控母基金出资比例原则上不超过子基金规模的30％。</w:t>
      </w:r>
    </w:p>
    <w:p>
      <w:pPr>
        <w:pStyle w:val="8"/>
        <w:widowControl/>
        <w:shd w:val="clear" w:color="auto" w:fill="FFFFFF"/>
        <w:wordWrap w:val="0"/>
        <w:spacing w:beforeAutospacing="0" w:afterAutospacing="0" w:line="520" w:lineRule="exact"/>
        <w:jc w:val="both"/>
        <w:rPr>
          <w:rFonts w:hint="default" w:ascii="黑体" w:hAnsi="黑体" w:eastAsia="黑体" w:cs="黑体"/>
          <w:color w:val="444444"/>
          <w:sz w:val="32"/>
          <w:szCs w:val="32"/>
          <w:highlight w:val="none"/>
          <w:shd w:val="clear" w:color="auto" w:fill="FFFFFF"/>
          <w:lang w:val="en-US" w:eastAsia="zh-CN"/>
        </w:rPr>
      </w:pPr>
    </w:p>
    <w:p>
      <w:pPr>
        <w:adjustRightInd w:val="0"/>
        <w:snapToGrid w:val="0"/>
        <w:spacing w:line="560" w:lineRule="exact"/>
        <w:jc w:val="center"/>
        <w:rPr>
          <w:rFonts w:hint="eastAsia" w:ascii="黑体" w:hAnsi="黑体" w:eastAsia="黑体" w:cs="黑体"/>
          <w:sz w:val="32"/>
          <w:szCs w:val="32"/>
          <w:shd w:val="clear"/>
        </w:rPr>
      </w:pPr>
      <w:r>
        <w:rPr>
          <w:rFonts w:hint="eastAsia" w:ascii="黑体" w:hAnsi="黑体" w:eastAsia="黑体" w:cs="黑体"/>
          <w:sz w:val="32"/>
          <w:szCs w:val="32"/>
          <w:shd w:val="clear"/>
        </w:rPr>
        <w:t>第五章 附则</w:t>
      </w:r>
    </w:p>
    <w:p>
      <w:pPr>
        <w:widowControl w:val="0"/>
        <w:numPr>
          <w:ilvl w:val="0"/>
          <w:numId w:val="1"/>
        </w:numPr>
        <w:wordWrap/>
        <w:ind w:firstLine="640" w:firstLineChars="200"/>
        <w:rPr>
          <w:rFonts w:hint="eastAsia" w:ascii="仿宋_GB2312" w:hAnsi="仿宋_GB2312" w:eastAsia="仿宋_GB2312" w:cs="仿宋_GB2312"/>
          <w:kern w:val="2"/>
          <w:sz w:val="32"/>
          <w:szCs w:val="24"/>
          <w:shd w:val="clear"/>
          <w:lang w:eastAsia="zh-CN" w:bidi="zh-TW"/>
        </w:rPr>
      </w:pPr>
      <w:r>
        <w:rPr>
          <w:rFonts w:hint="eastAsia" w:ascii="仿宋_GB2312" w:hAnsi="仿宋_GB2312" w:eastAsia="仿宋_GB2312" w:cs="仿宋_GB2312"/>
          <w:kern w:val="2"/>
          <w:sz w:val="32"/>
          <w:szCs w:val="24"/>
          <w:shd w:val="clear"/>
          <w:lang w:bidi="zh-TW"/>
        </w:rPr>
        <w:t>南控母基金</w:t>
      </w:r>
      <w:r>
        <w:rPr>
          <w:rFonts w:hint="eastAsia" w:ascii="仿宋_GB2312" w:hAnsi="仿宋_GB2312" w:eastAsia="仿宋_GB2312" w:cs="仿宋_GB2312"/>
          <w:kern w:val="2"/>
          <w:sz w:val="32"/>
          <w:szCs w:val="24"/>
          <w:shd w:val="clear"/>
          <w:lang w:val="en-US" w:eastAsia="zh-CN" w:bidi="zh-TW"/>
        </w:rPr>
        <w:t>通过定期申报通道（即公开比选、统一评审）遴选子基金管理机构的，不适用本办法，实施方案</w:t>
      </w:r>
      <w:r>
        <w:rPr>
          <w:rFonts w:hint="eastAsia" w:ascii="仿宋_GB2312" w:hAnsi="仿宋_GB2312" w:eastAsia="仿宋_GB2312" w:cs="仿宋_GB2312"/>
          <w:kern w:val="2"/>
          <w:sz w:val="32"/>
          <w:szCs w:val="24"/>
          <w:shd w:val="clear"/>
          <w:lang w:bidi="zh-TW"/>
        </w:rPr>
        <w:t>另行</w:t>
      </w:r>
      <w:r>
        <w:rPr>
          <w:rFonts w:hint="eastAsia" w:ascii="仿宋_GB2312" w:hAnsi="仿宋_GB2312" w:eastAsia="仿宋_GB2312" w:cs="仿宋_GB2312"/>
          <w:kern w:val="2"/>
          <w:sz w:val="32"/>
          <w:szCs w:val="24"/>
          <w:shd w:val="clear"/>
          <w:lang w:val="en-US" w:eastAsia="zh-CN" w:bidi="zh-TW"/>
        </w:rPr>
        <w:t>制定</w:t>
      </w:r>
      <w:r>
        <w:rPr>
          <w:rFonts w:hint="eastAsia" w:ascii="仿宋_GB2312" w:hAnsi="仿宋_GB2312" w:eastAsia="仿宋_GB2312" w:cs="仿宋_GB2312"/>
          <w:kern w:val="2"/>
          <w:sz w:val="32"/>
          <w:szCs w:val="24"/>
          <w:shd w:val="clear"/>
          <w:lang w:eastAsia="zh-CN" w:bidi="zh-TW"/>
        </w:rPr>
        <w:t>。</w:t>
      </w:r>
    </w:p>
    <w:p>
      <w:pPr>
        <w:pStyle w:val="8"/>
        <w:widowControl/>
        <w:numPr>
          <w:ilvl w:val="0"/>
          <w:numId w:val="1"/>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lang w:val="en-US" w:eastAsia="zh-CN" w:bidi="zh-TW"/>
        </w:rPr>
      </w:pPr>
      <w:r>
        <w:rPr>
          <w:rFonts w:hint="eastAsia" w:ascii="仿宋_GB2312" w:hAnsi="仿宋_GB2312" w:eastAsia="仿宋_GB2312" w:cs="仿宋_GB2312"/>
          <w:kern w:val="2"/>
          <w:sz w:val="32"/>
          <w:szCs w:val="24"/>
          <w:shd w:val="clear"/>
          <w:lang w:val="en-US" w:eastAsia="zh-CN" w:bidi="zh-TW"/>
        </w:rPr>
        <w:t>本办法要求的规模条件、经验条件所涵盖的基金均指股权投资基金（不含基础设施投资、另类投资等）。</w:t>
      </w:r>
    </w:p>
    <w:p>
      <w:pPr>
        <w:pStyle w:val="8"/>
        <w:widowControl/>
        <w:numPr>
          <w:ilvl w:val="0"/>
          <w:numId w:val="1"/>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lang w:bidi="zh-TW"/>
        </w:rPr>
      </w:pPr>
      <w:r>
        <w:rPr>
          <w:rFonts w:hint="eastAsia" w:ascii="仿宋_GB2312" w:hAnsi="仿宋_GB2312" w:eastAsia="仿宋_GB2312" w:cs="仿宋_GB2312"/>
          <w:kern w:val="2"/>
          <w:sz w:val="32"/>
          <w:szCs w:val="24"/>
          <w:shd w:val="clear"/>
          <w:lang w:bidi="zh-TW"/>
        </w:rPr>
        <w:t>本办法解释权归属于南控基金公司。</w:t>
      </w:r>
    </w:p>
    <w:p>
      <w:pPr>
        <w:pStyle w:val="8"/>
        <w:widowControl/>
        <w:numPr>
          <w:ilvl w:val="0"/>
          <w:numId w:val="1"/>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lang w:bidi="zh-TW"/>
        </w:rPr>
      </w:pPr>
      <w:r>
        <w:rPr>
          <w:rFonts w:hint="eastAsia" w:ascii="仿宋_GB2312" w:hAnsi="仿宋_GB2312" w:eastAsia="仿宋_GB2312" w:cs="仿宋_GB2312"/>
          <w:kern w:val="2"/>
          <w:sz w:val="32"/>
          <w:szCs w:val="24"/>
          <w:shd w:val="clear"/>
          <w:lang w:bidi="zh-TW"/>
        </w:rPr>
        <w:t>本办法</w:t>
      </w:r>
      <w:r>
        <w:rPr>
          <w:rFonts w:hint="eastAsia" w:ascii="仿宋_GB2312" w:hAnsi="仿宋_GB2312" w:eastAsia="仿宋_GB2312" w:cs="仿宋_GB2312"/>
          <w:kern w:val="2"/>
          <w:sz w:val="32"/>
          <w:szCs w:val="24"/>
          <w:shd w:val="clear"/>
          <w:lang w:val="en-US" w:eastAsia="zh-CN" w:bidi="zh-TW"/>
        </w:rPr>
        <w:t>自</w:t>
      </w:r>
      <w:r>
        <w:rPr>
          <w:rFonts w:hint="eastAsia" w:ascii="仿宋_GB2312" w:hAnsi="仿宋_GB2312" w:eastAsia="仿宋_GB2312" w:cs="仿宋_GB2312"/>
          <w:kern w:val="2"/>
          <w:sz w:val="32"/>
          <w:szCs w:val="24"/>
          <w:shd w:val="clear"/>
          <w:lang w:bidi="zh-TW"/>
        </w:rPr>
        <w:t>南控母基金投资决策委员会常务委员会审议通过之日起实施。</w:t>
      </w:r>
    </w:p>
    <w:p>
      <w:pPr>
        <w:pStyle w:val="8"/>
        <w:widowControl/>
        <w:shd w:val="clear" w:color="auto" w:fill="FFFFFF"/>
        <w:wordWrap w:val="0"/>
        <w:spacing w:beforeAutospacing="0" w:afterAutospacing="0" w:line="520" w:lineRule="exact"/>
        <w:ind w:firstLine="640" w:firstLineChars="200"/>
        <w:rPr>
          <w:rFonts w:hint="eastAsia" w:ascii="仿宋_GB2312" w:hAnsi="仿宋_GB2312" w:eastAsia="仿宋_GB2312" w:cs="仿宋_GB2312"/>
          <w:color w:val="444444"/>
          <w:sz w:val="32"/>
          <w:szCs w:val="32"/>
          <w:highlight w:val="none"/>
          <w:shd w:val="clear" w:color="auto" w:fill="FFFFFF"/>
        </w:rPr>
      </w:pPr>
    </w:p>
    <w:p>
      <w:pPr>
        <w:pStyle w:val="8"/>
        <w:widowControl/>
        <w:shd w:val="clear" w:color="auto" w:fill="FFFFFF"/>
        <w:wordWrap w:val="0"/>
        <w:spacing w:beforeAutospacing="0" w:afterAutospacing="0" w:line="520" w:lineRule="exact"/>
        <w:rPr>
          <w:rFonts w:ascii="Helvetica" w:hAnsi="Helvetica" w:eastAsia="Helvetica" w:cs="Helvetica"/>
          <w:color w:val="444444"/>
          <w:sz w:val="32"/>
          <w:szCs w:val="32"/>
          <w:highlight w:val="none"/>
          <w:shd w:val="clear" w:color="auto" w:fill="FFFFFF"/>
        </w:rPr>
      </w:pPr>
    </w:p>
    <w:p>
      <w:pPr>
        <w:pStyle w:val="8"/>
        <w:widowControl/>
        <w:shd w:val="clear" w:color="auto" w:fill="FFFFFF"/>
        <w:wordWrap w:val="0"/>
        <w:spacing w:beforeAutospacing="0" w:afterAutospacing="0" w:line="520" w:lineRule="exact"/>
        <w:rPr>
          <w:rFonts w:ascii="Helvetica" w:hAnsi="Helvetica" w:eastAsia="Helvetica" w:cs="Helvetica"/>
          <w:color w:val="444444"/>
          <w:sz w:val="32"/>
          <w:szCs w:val="32"/>
          <w:highlight w:val="none"/>
          <w:shd w:val="clear" w:color="auto" w:fill="FFFFFF"/>
        </w:rPr>
      </w:pPr>
    </w:p>
    <w:p>
      <w:pPr>
        <w:pStyle w:val="8"/>
        <w:widowControl/>
        <w:shd w:val="clear" w:color="auto" w:fill="FFFFFF"/>
        <w:wordWrap w:val="0"/>
        <w:spacing w:beforeAutospacing="0" w:afterAutospacing="0" w:line="520" w:lineRule="exact"/>
        <w:ind w:firstLine="420"/>
        <w:rPr>
          <w:rStyle w:val="12"/>
          <w:rFonts w:ascii="Helvetica" w:hAnsi="Helvetica" w:eastAsia="Helvetica" w:cs="Helvetica"/>
          <w:color w:val="444444"/>
          <w:sz w:val="32"/>
          <w:szCs w:val="32"/>
          <w:highlight w:val="none"/>
          <w:shd w:val="clear" w:color="auto" w:fill="FFFFFF"/>
        </w:rPr>
      </w:pPr>
    </w:p>
    <w:p>
      <w:pPr>
        <w:rPr>
          <w:highlight w:val="none"/>
        </w:rPr>
      </w:pPr>
    </w:p>
    <w:sectPr>
      <w:pgSz w:w="11906" w:h="16838"/>
      <w:pgMar w:top="1440" w:right="1474"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pPr>
        <w:pStyle w:val="7"/>
        <w:snapToGrid w:val="0"/>
      </w:pPr>
      <w:r>
        <w:rPr>
          <w:rStyle w:val="15"/>
        </w:rPr>
        <w:footnoteRef/>
      </w:r>
      <w:r>
        <w:t xml:space="preserve"> </w:t>
      </w:r>
      <w:r>
        <w:rPr>
          <w:rFonts w:hint="eastAsia"/>
        </w:rPr>
        <w:t>定向申请</w:t>
      </w:r>
      <w:r>
        <w:rPr>
          <w:rFonts w:hint="eastAsia"/>
          <w:lang w:val="en-US" w:eastAsia="zh-CN"/>
        </w:rPr>
        <w:t>是指满足条件的申请机构通过常年申报窗口向南控母基金提出投资申请的行为。</w:t>
      </w:r>
    </w:p>
  </w:footnote>
  <w:footnote w:id="1">
    <w:p>
      <w:pPr>
        <w:pStyle w:val="7"/>
        <w:snapToGrid w:val="0"/>
        <w:rPr>
          <w:rFonts w:hint="default" w:eastAsiaTheme="minorEastAsia"/>
          <w:lang w:val="en-US" w:eastAsia="zh-CN"/>
        </w:rPr>
      </w:pPr>
      <w:r>
        <w:rPr>
          <w:rStyle w:val="15"/>
          <w:rFonts w:ascii="Times New Roman" w:hAnsi="Times New Roman" w:eastAsia="宋体" w:cs="Times New Roman"/>
        </w:rPr>
        <w:t xml:space="preserve">2 </w:t>
      </w:r>
      <w:r>
        <w:rPr>
          <w:rFonts w:hint="eastAsia"/>
          <w:lang w:val="en-US" w:eastAsia="zh-CN"/>
        </w:rPr>
        <w:t>累计管理规模是指所管理基金的累计实缴金额。</w:t>
      </w:r>
    </w:p>
    <w:p>
      <w:pPr>
        <w:pStyle w:val="7"/>
        <w:snapToGrid w:val="0"/>
        <w:rPr>
          <w:rFonts w:hint="default" w:eastAsiaTheme="minorEastAsia"/>
          <w:lang w:val="en-US" w:eastAsia="zh-CN"/>
        </w:rPr>
      </w:pPr>
    </w:p>
  </w:footnote>
  <w:footnote w:id="2">
    <w:p>
      <w:pPr>
        <w:pStyle w:val="7"/>
        <w:snapToGrid w:val="0"/>
        <w:rPr>
          <w:rFonts w:hint="default" w:eastAsiaTheme="minorEastAsia"/>
          <w:lang w:val="en-US" w:eastAsia="zh-CN"/>
        </w:rPr>
      </w:pPr>
      <w:r>
        <w:rPr>
          <w:rStyle w:val="15"/>
        </w:rPr>
        <w:footnoteRef/>
      </w:r>
      <w:r>
        <w:t xml:space="preserve"> </w:t>
      </w:r>
      <w:r>
        <w:rPr>
          <w:rFonts w:hint="eastAsia"/>
          <w:lang w:val="en-US" w:eastAsia="zh-CN"/>
        </w:rPr>
        <w:t>核心管理成员是指管理团队核心人员或管理机构派出到子基金的投委会委员。</w:t>
      </w:r>
    </w:p>
  </w:footnote>
  <w:footnote w:id="3">
    <w:p>
      <w:pPr>
        <w:pStyle w:val="7"/>
        <w:snapToGrid w:val="0"/>
        <w:rPr>
          <w:rFonts w:hint="default" w:eastAsiaTheme="minorEastAsia"/>
          <w:lang w:val="en-US" w:eastAsia="zh-CN"/>
        </w:rPr>
      </w:pPr>
      <w:r>
        <w:rPr>
          <w:rStyle w:val="15"/>
        </w:rPr>
        <w:footnoteRef/>
      </w:r>
      <w:r>
        <w:t xml:space="preserve"> </w:t>
      </w:r>
      <w:r>
        <w:rPr>
          <w:rFonts w:hint="eastAsia"/>
        </w:rPr>
        <w:t>投资回报率</w:t>
      </w:r>
      <w:r>
        <w:rPr>
          <w:rFonts w:hint="eastAsia"/>
          <w:lang w:val="en-US" w:eastAsia="zh-CN"/>
        </w:rPr>
        <w:t>=收回现金/投资本金-1。</w:t>
      </w:r>
    </w:p>
  </w:footnote>
  <w:footnote w:id="4">
    <w:p>
      <w:pPr>
        <w:pStyle w:val="7"/>
        <w:snapToGrid w:val="0"/>
        <w:rPr>
          <w:rFonts w:hint="default" w:eastAsiaTheme="minorEastAsia"/>
          <w:lang w:val="en-US" w:eastAsia="zh-CN"/>
        </w:rPr>
      </w:pPr>
      <w:r>
        <w:rPr>
          <w:rStyle w:val="15"/>
        </w:rPr>
        <w:footnoteRef/>
      </w:r>
      <w:r>
        <w:t xml:space="preserve"> </w:t>
      </w:r>
      <w:r>
        <w:rPr>
          <w:rFonts w:hint="eastAsia"/>
          <w:lang w:val="en-US" w:eastAsia="zh-CN"/>
        </w:rPr>
        <w:t>门槛收益率代表有限合伙人的优先收益，在达到该收益率前，管理机构不提取业绩报酬。</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7F43D"/>
    <w:multiLevelType w:val="singleLevel"/>
    <w:tmpl w:val="9297F43D"/>
    <w:lvl w:ilvl="0" w:tentative="0">
      <w:start w:val="1"/>
      <w:numFmt w:val="chineseCounting"/>
      <w:suff w:val="nothing"/>
      <w:lvlText w:val="第%1条 "/>
      <w:lvlJc w:val="left"/>
      <w:pPr>
        <w:ind w:left="0" w:firstLine="420"/>
      </w:pPr>
      <w:rPr>
        <w:rFonts w:hint="eastAsia" w:eastAsia="仿宋"/>
        <w:b/>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0"/>
    <w:footnote w:id="11"/>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hZTY4MDBlMzFjOGMzODlkNTJkZjAxMzVlNTA3ZTYifQ=="/>
  </w:docVars>
  <w:rsids>
    <w:rsidRoot w:val="00E03CF9"/>
    <w:rsid w:val="00054CBF"/>
    <w:rsid w:val="001C0804"/>
    <w:rsid w:val="00293AAE"/>
    <w:rsid w:val="002D70D3"/>
    <w:rsid w:val="00542396"/>
    <w:rsid w:val="005D386A"/>
    <w:rsid w:val="005F5E35"/>
    <w:rsid w:val="006663DE"/>
    <w:rsid w:val="006710D0"/>
    <w:rsid w:val="00717377"/>
    <w:rsid w:val="008F6F6E"/>
    <w:rsid w:val="00900D67"/>
    <w:rsid w:val="009C4605"/>
    <w:rsid w:val="009D052A"/>
    <w:rsid w:val="00A11B49"/>
    <w:rsid w:val="00A90094"/>
    <w:rsid w:val="00C64DEB"/>
    <w:rsid w:val="00C77EAB"/>
    <w:rsid w:val="00C929A2"/>
    <w:rsid w:val="00CC1D62"/>
    <w:rsid w:val="00D0249D"/>
    <w:rsid w:val="00D74573"/>
    <w:rsid w:val="00DC10D3"/>
    <w:rsid w:val="00DF3269"/>
    <w:rsid w:val="00E03CF9"/>
    <w:rsid w:val="00E06F3D"/>
    <w:rsid w:val="00E50A2D"/>
    <w:rsid w:val="00E548A6"/>
    <w:rsid w:val="00E60F86"/>
    <w:rsid w:val="00EE53E0"/>
    <w:rsid w:val="00F10716"/>
    <w:rsid w:val="00F76413"/>
    <w:rsid w:val="00FE3611"/>
    <w:rsid w:val="011E3A51"/>
    <w:rsid w:val="016A2B9E"/>
    <w:rsid w:val="016D708D"/>
    <w:rsid w:val="01700269"/>
    <w:rsid w:val="02BE3A7E"/>
    <w:rsid w:val="0321400D"/>
    <w:rsid w:val="032D3A0D"/>
    <w:rsid w:val="03550708"/>
    <w:rsid w:val="037C11E5"/>
    <w:rsid w:val="043B5049"/>
    <w:rsid w:val="04463D2B"/>
    <w:rsid w:val="04D76A78"/>
    <w:rsid w:val="05432019"/>
    <w:rsid w:val="05736CB9"/>
    <w:rsid w:val="05801F0A"/>
    <w:rsid w:val="05A16883"/>
    <w:rsid w:val="05AD1B88"/>
    <w:rsid w:val="05C65FBA"/>
    <w:rsid w:val="05F61CD7"/>
    <w:rsid w:val="061867C2"/>
    <w:rsid w:val="06702586"/>
    <w:rsid w:val="06FC4B75"/>
    <w:rsid w:val="07F7429B"/>
    <w:rsid w:val="096C359A"/>
    <w:rsid w:val="0A2E42DB"/>
    <w:rsid w:val="0A546CFD"/>
    <w:rsid w:val="0A5A3016"/>
    <w:rsid w:val="0B61279E"/>
    <w:rsid w:val="0B74794C"/>
    <w:rsid w:val="0CD21176"/>
    <w:rsid w:val="0CEF64AF"/>
    <w:rsid w:val="0D4E6F1C"/>
    <w:rsid w:val="0E937BA3"/>
    <w:rsid w:val="0F6E554F"/>
    <w:rsid w:val="0F97630B"/>
    <w:rsid w:val="10521CAA"/>
    <w:rsid w:val="10953945"/>
    <w:rsid w:val="10B63062"/>
    <w:rsid w:val="10E9131C"/>
    <w:rsid w:val="111E17F9"/>
    <w:rsid w:val="112A6783"/>
    <w:rsid w:val="115D6261"/>
    <w:rsid w:val="11866D7B"/>
    <w:rsid w:val="12CE1470"/>
    <w:rsid w:val="13541CD9"/>
    <w:rsid w:val="138E4DA7"/>
    <w:rsid w:val="14284ADD"/>
    <w:rsid w:val="14321751"/>
    <w:rsid w:val="145A32F0"/>
    <w:rsid w:val="14A01236"/>
    <w:rsid w:val="14E62A53"/>
    <w:rsid w:val="165C118C"/>
    <w:rsid w:val="168C1618"/>
    <w:rsid w:val="16CB1E6E"/>
    <w:rsid w:val="170138CF"/>
    <w:rsid w:val="172E0938"/>
    <w:rsid w:val="17377504"/>
    <w:rsid w:val="175C51BC"/>
    <w:rsid w:val="17927859"/>
    <w:rsid w:val="18FA5478"/>
    <w:rsid w:val="19A42FCB"/>
    <w:rsid w:val="19AC242B"/>
    <w:rsid w:val="19BE5CBA"/>
    <w:rsid w:val="19BF16E6"/>
    <w:rsid w:val="1A433D66"/>
    <w:rsid w:val="1ACB1CC6"/>
    <w:rsid w:val="1AEC2118"/>
    <w:rsid w:val="1AFE39C6"/>
    <w:rsid w:val="1BA50C53"/>
    <w:rsid w:val="1BFD4988"/>
    <w:rsid w:val="1CE64BC5"/>
    <w:rsid w:val="1D3249F5"/>
    <w:rsid w:val="1D54573F"/>
    <w:rsid w:val="1ED41ADC"/>
    <w:rsid w:val="1F2F5445"/>
    <w:rsid w:val="1F9E5BF0"/>
    <w:rsid w:val="1FBB7770"/>
    <w:rsid w:val="1FDB3ED7"/>
    <w:rsid w:val="1FF53224"/>
    <w:rsid w:val="201A7289"/>
    <w:rsid w:val="203211B0"/>
    <w:rsid w:val="208D63E6"/>
    <w:rsid w:val="209E5928"/>
    <w:rsid w:val="21026122"/>
    <w:rsid w:val="21E424B1"/>
    <w:rsid w:val="22151481"/>
    <w:rsid w:val="22613C9E"/>
    <w:rsid w:val="22A917A5"/>
    <w:rsid w:val="24676B67"/>
    <w:rsid w:val="246A65D9"/>
    <w:rsid w:val="247E2A4A"/>
    <w:rsid w:val="24E011DB"/>
    <w:rsid w:val="251F61A7"/>
    <w:rsid w:val="26146B11"/>
    <w:rsid w:val="265A5BD7"/>
    <w:rsid w:val="26A36511"/>
    <w:rsid w:val="27020428"/>
    <w:rsid w:val="27284698"/>
    <w:rsid w:val="27B63403"/>
    <w:rsid w:val="27BE3FA7"/>
    <w:rsid w:val="28722A91"/>
    <w:rsid w:val="28D53904"/>
    <w:rsid w:val="28E479EF"/>
    <w:rsid w:val="28F3072E"/>
    <w:rsid w:val="2920429C"/>
    <w:rsid w:val="299B7DC6"/>
    <w:rsid w:val="29D944B7"/>
    <w:rsid w:val="2A3F69A3"/>
    <w:rsid w:val="2AB21F59"/>
    <w:rsid w:val="2AE16F1C"/>
    <w:rsid w:val="2AE412F9"/>
    <w:rsid w:val="2B2106C7"/>
    <w:rsid w:val="2B446D06"/>
    <w:rsid w:val="2B993AA8"/>
    <w:rsid w:val="2BE2538B"/>
    <w:rsid w:val="2C5277D4"/>
    <w:rsid w:val="2C733AD6"/>
    <w:rsid w:val="2C790B88"/>
    <w:rsid w:val="2CD136E6"/>
    <w:rsid w:val="2D1B4181"/>
    <w:rsid w:val="2D1B7805"/>
    <w:rsid w:val="2D92328E"/>
    <w:rsid w:val="2E1F4D5C"/>
    <w:rsid w:val="2E47051C"/>
    <w:rsid w:val="2ECE1240"/>
    <w:rsid w:val="2EE819F2"/>
    <w:rsid w:val="2F1B0D1E"/>
    <w:rsid w:val="2F5E096F"/>
    <w:rsid w:val="2F7C399C"/>
    <w:rsid w:val="2F9432ED"/>
    <w:rsid w:val="2FD73F10"/>
    <w:rsid w:val="2FEA09BC"/>
    <w:rsid w:val="309B36C1"/>
    <w:rsid w:val="30C11E23"/>
    <w:rsid w:val="30C96206"/>
    <w:rsid w:val="31307046"/>
    <w:rsid w:val="317A3D89"/>
    <w:rsid w:val="318A157D"/>
    <w:rsid w:val="31E14105"/>
    <w:rsid w:val="329648E8"/>
    <w:rsid w:val="32CE1B91"/>
    <w:rsid w:val="32E8346A"/>
    <w:rsid w:val="339C2976"/>
    <w:rsid w:val="34337579"/>
    <w:rsid w:val="3464305B"/>
    <w:rsid w:val="3464423E"/>
    <w:rsid w:val="348558FB"/>
    <w:rsid w:val="34D40DB9"/>
    <w:rsid w:val="352C7C76"/>
    <w:rsid w:val="35AE0E97"/>
    <w:rsid w:val="36175ECB"/>
    <w:rsid w:val="367B6FB5"/>
    <w:rsid w:val="36826596"/>
    <w:rsid w:val="375A306E"/>
    <w:rsid w:val="3835324F"/>
    <w:rsid w:val="38486BFC"/>
    <w:rsid w:val="3A347BA7"/>
    <w:rsid w:val="3AAF4A54"/>
    <w:rsid w:val="3AF908AF"/>
    <w:rsid w:val="3B163BB0"/>
    <w:rsid w:val="3B1F2605"/>
    <w:rsid w:val="3B547DD5"/>
    <w:rsid w:val="3B952C18"/>
    <w:rsid w:val="3C5B0B23"/>
    <w:rsid w:val="3CB72D11"/>
    <w:rsid w:val="3CEB03DE"/>
    <w:rsid w:val="3D65170A"/>
    <w:rsid w:val="3D8F7C8C"/>
    <w:rsid w:val="3E082447"/>
    <w:rsid w:val="3E0E5FDB"/>
    <w:rsid w:val="3E386BB2"/>
    <w:rsid w:val="3E7B1872"/>
    <w:rsid w:val="3EC44961"/>
    <w:rsid w:val="3EEA0902"/>
    <w:rsid w:val="3F426DA7"/>
    <w:rsid w:val="3F4343E8"/>
    <w:rsid w:val="3F553490"/>
    <w:rsid w:val="3FE32DBF"/>
    <w:rsid w:val="40BF075F"/>
    <w:rsid w:val="40E41D7C"/>
    <w:rsid w:val="41531C8B"/>
    <w:rsid w:val="41D376F9"/>
    <w:rsid w:val="41EC6700"/>
    <w:rsid w:val="42897915"/>
    <w:rsid w:val="42CB1347"/>
    <w:rsid w:val="43476B9D"/>
    <w:rsid w:val="43A510E9"/>
    <w:rsid w:val="43AD32A3"/>
    <w:rsid w:val="44125F9D"/>
    <w:rsid w:val="44202DBE"/>
    <w:rsid w:val="44275987"/>
    <w:rsid w:val="4440539A"/>
    <w:rsid w:val="44431580"/>
    <w:rsid w:val="44590C0A"/>
    <w:rsid w:val="45C66412"/>
    <w:rsid w:val="460971AB"/>
    <w:rsid w:val="47370CD6"/>
    <w:rsid w:val="47630217"/>
    <w:rsid w:val="47834051"/>
    <w:rsid w:val="47865950"/>
    <w:rsid w:val="48126A4D"/>
    <w:rsid w:val="483E6094"/>
    <w:rsid w:val="48816294"/>
    <w:rsid w:val="48BF71D5"/>
    <w:rsid w:val="49437D1F"/>
    <w:rsid w:val="49C64E72"/>
    <w:rsid w:val="49FB4A4D"/>
    <w:rsid w:val="4A1A684D"/>
    <w:rsid w:val="4A207973"/>
    <w:rsid w:val="4AA04835"/>
    <w:rsid w:val="4AB42918"/>
    <w:rsid w:val="4AFB0D07"/>
    <w:rsid w:val="4B475260"/>
    <w:rsid w:val="4B667DDC"/>
    <w:rsid w:val="4BA92EDF"/>
    <w:rsid w:val="4CC43E58"/>
    <w:rsid w:val="4CD62E66"/>
    <w:rsid w:val="4D094DA2"/>
    <w:rsid w:val="4D21358B"/>
    <w:rsid w:val="4D3F35A8"/>
    <w:rsid w:val="4D722A68"/>
    <w:rsid w:val="4D902EEE"/>
    <w:rsid w:val="4E273766"/>
    <w:rsid w:val="4EE9271D"/>
    <w:rsid w:val="4FC43323"/>
    <w:rsid w:val="4FD95690"/>
    <w:rsid w:val="4FF46DCD"/>
    <w:rsid w:val="503E4E84"/>
    <w:rsid w:val="516B6209"/>
    <w:rsid w:val="51726E3B"/>
    <w:rsid w:val="51E06F6D"/>
    <w:rsid w:val="52CE1556"/>
    <w:rsid w:val="5345387F"/>
    <w:rsid w:val="537F18D6"/>
    <w:rsid w:val="5424149C"/>
    <w:rsid w:val="542B1BC3"/>
    <w:rsid w:val="542C4452"/>
    <w:rsid w:val="547277F2"/>
    <w:rsid w:val="54D45DB6"/>
    <w:rsid w:val="55480552"/>
    <w:rsid w:val="55AE4859"/>
    <w:rsid w:val="55B856D8"/>
    <w:rsid w:val="55D10548"/>
    <w:rsid w:val="564C56FD"/>
    <w:rsid w:val="56A32A57"/>
    <w:rsid w:val="56DA167E"/>
    <w:rsid w:val="575925A3"/>
    <w:rsid w:val="57DD5399"/>
    <w:rsid w:val="58361F13"/>
    <w:rsid w:val="5838323D"/>
    <w:rsid w:val="58B32187"/>
    <w:rsid w:val="58D37E8A"/>
    <w:rsid w:val="594363E9"/>
    <w:rsid w:val="59702099"/>
    <w:rsid w:val="598D29D8"/>
    <w:rsid w:val="59A3020E"/>
    <w:rsid w:val="59FE53B0"/>
    <w:rsid w:val="5A332E58"/>
    <w:rsid w:val="5A3F517B"/>
    <w:rsid w:val="5AFC3B3E"/>
    <w:rsid w:val="5B4377F2"/>
    <w:rsid w:val="5C14118E"/>
    <w:rsid w:val="5CA00C74"/>
    <w:rsid w:val="5D133DB6"/>
    <w:rsid w:val="5D5C4B9B"/>
    <w:rsid w:val="5D6B3AFB"/>
    <w:rsid w:val="5D9E3405"/>
    <w:rsid w:val="5DE7164B"/>
    <w:rsid w:val="5DE76FE9"/>
    <w:rsid w:val="5E2F641B"/>
    <w:rsid w:val="5F2A6742"/>
    <w:rsid w:val="5F6B7317"/>
    <w:rsid w:val="5F6E1130"/>
    <w:rsid w:val="608368E3"/>
    <w:rsid w:val="60CD7D01"/>
    <w:rsid w:val="619C351D"/>
    <w:rsid w:val="619C7C5C"/>
    <w:rsid w:val="61F45CEA"/>
    <w:rsid w:val="628A3F58"/>
    <w:rsid w:val="62D84CC4"/>
    <w:rsid w:val="638C129E"/>
    <w:rsid w:val="63946A01"/>
    <w:rsid w:val="63DB4215"/>
    <w:rsid w:val="64116723"/>
    <w:rsid w:val="65AB66C0"/>
    <w:rsid w:val="65BD2897"/>
    <w:rsid w:val="66480616"/>
    <w:rsid w:val="66631A1B"/>
    <w:rsid w:val="669752A9"/>
    <w:rsid w:val="673C42AA"/>
    <w:rsid w:val="67486190"/>
    <w:rsid w:val="676F7FDF"/>
    <w:rsid w:val="67946EBD"/>
    <w:rsid w:val="67C27CF0"/>
    <w:rsid w:val="67DA328C"/>
    <w:rsid w:val="685F19E3"/>
    <w:rsid w:val="68AF22D5"/>
    <w:rsid w:val="68C97E1D"/>
    <w:rsid w:val="68EC4AF7"/>
    <w:rsid w:val="69164F01"/>
    <w:rsid w:val="691C1682"/>
    <w:rsid w:val="692452E8"/>
    <w:rsid w:val="692D3B31"/>
    <w:rsid w:val="69771C71"/>
    <w:rsid w:val="69F25A1F"/>
    <w:rsid w:val="6A0F174C"/>
    <w:rsid w:val="6A650B85"/>
    <w:rsid w:val="6A820D36"/>
    <w:rsid w:val="6A8B2F63"/>
    <w:rsid w:val="6AAE5078"/>
    <w:rsid w:val="6B6537B4"/>
    <w:rsid w:val="6C012BAE"/>
    <w:rsid w:val="6C573BB8"/>
    <w:rsid w:val="6D485512"/>
    <w:rsid w:val="6DAD26DF"/>
    <w:rsid w:val="6DF16DBB"/>
    <w:rsid w:val="6E7B21D2"/>
    <w:rsid w:val="6F1850A4"/>
    <w:rsid w:val="6F2F0399"/>
    <w:rsid w:val="6F543924"/>
    <w:rsid w:val="6FBE0650"/>
    <w:rsid w:val="6FFB46E7"/>
    <w:rsid w:val="70666265"/>
    <w:rsid w:val="70836B77"/>
    <w:rsid w:val="70D158B5"/>
    <w:rsid w:val="71367494"/>
    <w:rsid w:val="715C7D6A"/>
    <w:rsid w:val="71AE0E72"/>
    <w:rsid w:val="72AD6860"/>
    <w:rsid w:val="72D57472"/>
    <w:rsid w:val="72F206DA"/>
    <w:rsid w:val="731F6F7A"/>
    <w:rsid w:val="735F3F5F"/>
    <w:rsid w:val="739C2937"/>
    <w:rsid w:val="73C61A4F"/>
    <w:rsid w:val="74513284"/>
    <w:rsid w:val="75361346"/>
    <w:rsid w:val="75393B33"/>
    <w:rsid w:val="75571220"/>
    <w:rsid w:val="7571513D"/>
    <w:rsid w:val="75894543"/>
    <w:rsid w:val="75F776FF"/>
    <w:rsid w:val="762B636B"/>
    <w:rsid w:val="76340CF6"/>
    <w:rsid w:val="76F31AA4"/>
    <w:rsid w:val="76FC65B8"/>
    <w:rsid w:val="770D3148"/>
    <w:rsid w:val="772C22EB"/>
    <w:rsid w:val="77BD4C91"/>
    <w:rsid w:val="77D575CC"/>
    <w:rsid w:val="78114613"/>
    <w:rsid w:val="788334CC"/>
    <w:rsid w:val="78D07B83"/>
    <w:rsid w:val="78ED3A40"/>
    <w:rsid w:val="79667075"/>
    <w:rsid w:val="79986942"/>
    <w:rsid w:val="79C30024"/>
    <w:rsid w:val="7A593649"/>
    <w:rsid w:val="7A714879"/>
    <w:rsid w:val="7BFA5853"/>
    <w:rsid w:val="7C684EB3"/>
    <w:rsid w:val="7C9D6193"/>
    <w:rsid w:val="7CCC7C8A"/>
    <w:rsid w:val="7D9D0F36"/>
    <w:rsid w:val="7DAC5107"/>
    <w:rsid w:val="7DDF384A"/>
    <w:rsid w:val="7DFF1F11"/>
    <w:rsid w:val="7E7B6FE3"/>
    <w:rsid w:val="7F121106"/>
    <w:rsid w:val="7F1B3A29"/>
    <w:rsid w:val="7F6B469C"/>
    <w:rsid w:val="7F7B3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120" w:after="120"/>
      <w:outlineLvl w:val="1"/>
    </w:pPr>
    <w:rPr>
      <w:b/>
      <w:bCs/>
      <w:sz w:val="24"/>
      <w:szCs w:val="26"/>
      <w:lang w:eastAsia="ja-JP"/>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tabs>
        <w:tab w:val="right" w:leader="dot" w:pos="8778"/>
      </w:tabs>
      <w:ind w:left="210"/>
      <w:jc w:val="left"/>
    </w:pPr>
    <w:rPr>
      <w:rFonts w:ascii="隶书" w:hAnsi="华文楷体" w:eastAsia="隶书" w:cs="Calibri"/>
      <w:b/>
      <w:smallCaps/>
      <w:sz w:val="28"/>
      <w:szCs w:val="28"/>
    </w:rPr>
  </w:style>
  <w:style w:type="paragraph" w:styleId="5">
    <w:name w:val="annotation text"/>
    <w:basedOn w:val="1"/>
    <w:link w:val="18"/>
    <w:qFormat/>
    <w:uiPriority w:val="0"/>
    <w:pPr>
      <w:jc w:val="left"/>
    </w:pPr>
  </w:style>
  <w:style w:type="paragraph" w:styleId="6">
    <w:name w:val="endnote text"/>
    <w:basedOn w:val="1"/>
    <w:qFormat/>
    <w:uiPriority w:val="0"/>
    <w:pPr>
      <w:snapToGrid w:val="0"/>
      <w:jc w:val="left"/>
    </w:p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5"/>
    <w:next w:val="5"/>
    <w:link w:val="19"/>
    <w:qFormat/>
    <w:uiPriority w:val="0"/>
    <w:rPr>
      <w:b/>
      <w:bCs/>
    </w:rPr>
  </w:style>
  <w:style w:type="character" w:styleId="12">
    <w:name w:val="Strong"/>
    <w:basedOn w:val="11"/>
    <w:qFormat/>
    <w:uiPriority w:val="0"/>
    <w:rPr>
      <w:b/>
    </w:rPr>
  </w:style>
  <w:style w:type="character" w:styleId="13">
    <w:name w:val="endnote reference"/>
    <w:basedOn w:val="11"/>
    <w:qFormat/>
    <w:uiPriority w:val="0"/>
    <w:rPr>
      <w:vertAlign w:val="superscript"/>
    </w:rPr>
  </w:style>
  <w:style w:type="character" w:styleId="14">
    <w:name w:val="annotation reference"/>
    <w:basedOn w:val="11"/>
    <w:qFormat/>
    <w:uiPriority w:val="0"/>
    <w:rPr>
      <w:sz w:val="21"/>
      <w:szCs w:val="21"/>
    </w:rPr>
  </w:style>
  <w:style w:type="character" w:styleId="15">
    <w:name w:val="footnote reference"/>
    <w:basedOn w:val="11"/>
    <w:qFormat/>
    <w:uiPriority w:val="0"/>
    <w:rPr>
      <w:vertAlign w:val="superscript"/>
    </w:rPr>
  </w:style>
  <w:style w:type="paragraph" w:customStyle="1" w:styleId="16">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字符"/>
    <w:basedOn w:val="11"/>
    <w:link w:val="5"/>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3359</Words>
  <Characters>3431</Characters>
  <Lines>3</Lines>
  <Paragraphs>9</Paragraphs>
  <TotalTime>10</TotalTime>
  <ScaleCrop>false</ScaleCrop>
  <LinksUpToDate>false</LinksUpToDate>
  <CharactersWithSpaces>3441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2023-11-01T09:14:00Z</dcterms:created>
  <dc:creator>admin</dc:creator>
  <cp:lastModifiedBy>南海控股发文</cp:lastModifiedBy>
  <cp:lastPrinted>2023-11-10T07:27:00Z</cp:lastPrinted>
  <dcterms:modified xsi:type="dcterms:W3CDTF">2025-09-16T03:48:54Z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AC8AC35B1E78431586C8661643849855</vt:lpwstr>
  </property>
  <property fmtid="{D5CDD505-2E9C-101B-9397-08002B2CF9AE}" pid="4" name="KSOTemplateDocerSaveRecord">
    <vt:lpwstr>eyJoZGlkIjoiN2YzNjBkOTgyNWQ1YTMxYzM3MzMwNWFiODNmOWIzYWMiLCJ1c2VySWQiOiI0NzU2Nzg4MzgifQ==</vt:lpwstr>
  </property>
</Properties>
</file>