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F3EE3">
      <w:pPr>
        <w:spacing w:line="600" w:lineRule="exact"/>
        <w:rPr>
          <w:rFonts w:ascii="黑体" w:hAnsi="黑体" w:eastAsia="黑体" w:cs="Times New Roman"/>
          <w:szCs w:val="32"/>
          <w14:ligatures w14:val="none"/>
        </w:rPr>
      </w:pPr>
      <w:bookmarkStart w:id="0" w:name="_Hlk204770148"/>
      <w:r>
        <w:rPr>
          <w:rFonts w:hint="eastAsia" w:ascii="黑体" w:hAnsi="黑体" w:eastAsia="黑体"/>
        </w:rPr>
        <w:t>附件一：</w:t>
      </w:r>
    </w:p>
    <w:p w14:paraId="08169C8B">
      <w:pPr>
        <w:jc w:val="center"/>
        <w:rPr>
          <w:rFonts w:eastAsia="方正小标宋简体"/>
          <w:sz w:val="44"/>
          <w:szCs w:val="44"/>
        </w:rPr>
      </w:pPr>
    </w:p>
    <w:p w14:paraId="49D8651F">
      <w:pPr>
        <w:jc w:val="center"/>
        <w:rPr>
          <w:rFonts w:eastAsia="方正小标宋简体"/>
          <w:sz w:val="44"/>
          <w:szCs w:val="44"/>
        </w:rPr>
      </w:pPr>
      <w:r>
        <w:rPr>
          <w:rFonts w:hint="eastAsia" w:eastAsia="方正小标宋简体"/>
          <w:sz w:val="44"/>
          <w:szCs w:val="44"/>
        </w:rPr>
        <w:t>河南</w:t>
      </w:r>
      <w:bookmarkStart w:id="2" w:name="_GoBack"/>
      <w:bookmarkEnd w:id="2"/>
      <w:r>
        <w:rPr>
          <w:rFonts w:hint="eastAsia" w:eastAsia="方正小标宋简体"/>
          <w:sz w:val="44"/>
          <w:szCs w:val="44"/>
        </w:rPr>
        <w:t>省股权投资基金子基金</w:t>
      </w:r>
    </w:p>
    <w:bookmarkEnd w:id="0"/>
    <w:p w14:paraId="0DAC2ADC">
      <w:pPr>
        <w:jc w:val="center"/>
        <w:rPr>
          <w:rFonts w:eastAsia="方正小标宋简体"/>
          <w:sz w:val="44"/>
          <w:szCs w:val="44"/>
        </w:rPr>
      </w:pPr>
      <w:r>
        <w:rPr>
          <w:rFonts w:hint="eastAsia" w:eastAsia="方正小标宋简体"/>
          <w:sz w:val="44"/>
          <w:szCs w:val="44"/>
        </w:rPr>
        <w:t>申报指南及管理机构遴选办法</w:t>
      </w:r>
    </w:p>
    <w:p w14:paraId="20F4F02C">
      <w:pPr>
        <w:pStyle w:val="13"/>
        <w:spacing w:line="600" w:lineRule="exact"/>
        <w:ind w:left="1360" w:firstLine="640"/>
        <w:rPr>
          <w:rFonts w:ascii="黑体" w:hAnsi="黑体" w:eastAsia="黑体"/>
        </w:rPr>
      </w:pPr>
    </w:p>
    <w:p w14:paraId="6FAE8EF0">
      <w:pPr>
        <w:pStyle w:val="13"/>
        <w:numPr>
          <w:ilvl w:val="0"/>
          <w:numId w:val="1"/>
        </w:numPr>
        <w:spacing w:line="600" w:lineRule="exact"/>
        <w:ind w:firstLineChars="0"/>
        <w:rPr>
          <w:rFonts w:ascii="黑体" w:hAnsi="黑体" w:eastAsia="黑体"/>
        </w:rPr>
      </w:pPr>
      <w:r>
        <w:rPr>
          <w:rFonts w:hint="eastAsia" w:ascii="黑体" w:hAnsi="黑体" w:eastAsia="黑体"/>
        </w:rPr>
        <w:t>功能定位</w:t>
      </w:r>
    </w:p>
    <w:p w14:paraId="16AE8DEB">
      <w:pPr>
        <w:spacing w:line="600" w:lineRule="exact"/>
        <w:ind w:firstLine="640" w:firstLineChars="200"/>
      </w:pPr>
      <w:r>
        <w:rPr>
          <w:rFonts w:hint="eastAsia"/>
        </w:rPr>
        <w:t>河南省股权投资基金旨在汇聚社会资本，大力吸引创业投资和股权投资机构落户河南，持续优化我省基金发展生态，培育发展新质生产力和加快现代化产业体系建设。基金围绕省委、省政府重大产业发展规划，投向传统产业转型升级、新兴产业培育壮大、未来产业前瞻布局等全领域子基金，对投资种子期、初创期等早期科创企业的天使类基金予以倾斜。</w:t>
      </w:r>
    </w:p>
    <w:p w14:paraId="12D2AD8A">
      <w:pPr>
        <w:spacing w:line="600" w:lineRule="exact"/>
        <w:ind w:left="640"/>
        <w:rPr>
          <w:rFonts w:ascii="楷体_GB2312" w:hAnsi="楷体_GB2312" w:eastAsia="楷体_GB2312" w:cs="楷体_GB2312"/>
          <w:b/>
          <w:bCs/>
        </w:rPr>
      </w:pPr>
      <w:r>
        <w:rPr>
          <w:rFonts w:hint="eastAsia" w:ascii="黑体" w:hAnsi="黑体" w:eastAsia="黑体" w:cs="黑体"/>
          <w:b/>
          <w:bCs/>
        </w:rPr>
        <w:t>二、</w:t>
      </w:r>
      <w:r>
        <w:rPr>
          <w:rFonts w:hint="eastAsia" w:eastAsia="黑体"/>
        </w:rPr>
        <w:t>子基金管理机构应具备条件</w:t>
      </w:r>
    </w:p>
    <w:p w14:paraId="375847CC">
      <w:pPr>
        <w:numPr>
          <w:ilvl w:val="0"/>
          <w:numId w:val="2"/>
        </w:numPr>
        <w:spacing w:line="600"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管理资质</w:t>
      </w:r>
    </w:p>
    <w:p w14:paraId="50C72D95">
      <w:pPr>
        <w:spacing w:line="600" w:lineRule="exact"/>
        <w:ind w:firstLine="640" w:firstLineChars="200"/>
      </w:pPr>
      <w:r>
        <w:rPr>
          <w:rFonts w:hint="eastAsia"/>
        </w:rPr>
        <w:t>子基金管理机构实缴出资不低于1000万元人民币，并在中国证券投资基金业协会完成相关登记，后续根据中国证券投资基金业协会要求动态调整实缴出资门槛。</w:t>
      </w:r>
    </w:p>
    <w:p w14:paraId="042C8A1E">
      <w:pPr>
        <w:numPr>
          <w:ilvl w:val="0"/>
          <w:numId w:val="2"/>
        </w:numPr>
        <w:spacing w:line="600"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管理团队</w:t>
      </w:r>
    </w:p>
    <w:p w14:paraId="3BBB6456">
      <w:pPr>
        <w:spacing w:line="600" w:lineRule="exact"/>
        <w:ind w:firstLine="640" w:firstLineChars="200"/>
      </w:pPr>
      <w:r>
        <w:rPr>
          <w:rFonts w:hint="eastAsia"/>
        </w:rPr>
        <w:t>子基金管理机构须配备专属且稳定的管理团队，有不少于5名专业投资人员，其中具有5年以上相关经验的核心投资人员至少有3名，彼此之间有3年以上合作经历；管理团队主要成员未有受过行政主管机关或司法机关处罚的不良记录。</w:t>
      </w:r>
    </w:p>
    <w:p w14:paraId="1F04FD01">
      <w:pPr>
        <w:numPr>
          <w:ilvl w:val="0"/>
          <w:numId w:val="2"/>
        </w:numPr>
        <w:spacing w:line="600"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投资能力</w:t>
      </w:r>
    </w:p>
    <w:p w14:paraId="1D6AC6F6">
      <w:pPr>
        <w:spacing w:line="600" w:lineRule="exact"/>
        <w:ind w:firstLine="640" w:firstLineChars="200"/>
      </w:pPr>
      <w:r>
        <w:rPr>
          <w:rFonts w:hint="eastAsia"/>
        </w:rPr>
        <w:t>子基金管理机构或其主要股东（公司制）、普通合伙人（合伙制）或3名以上管理团队主要成员以骨干身份，共同累计管理创业投资基金和股权投资基金实缴规模不低于10亿元，所管基金中成功投资案例不少于5个（成功投资案例是指投资项目以现金方式退出部分或全部股权，且该退出部分股权投资收益率超过</w:t>
      </w:r>
      <w:r>
        <w:t>50%</w:t>
      </w:r>
      <w:r>
        <w:rPr>
          <w:rFonts w:hint="eastAsia"/>
        </w:rPr>
        <w:t>）。</w:t>
      </w:r>
    </w:p>
    <w:p w14:paraId="245F9CAB">
      <w:pPr>
        <w:numPr>
          <w:ilvl w:val="0"/>
          <w:numId w:val="2"/>
        </w:numPr>
        <w:spacing w:line="600"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风险控制</w:t>
      </w:r>
    </w:p>
    <w:p w14:paraId="030A02AC">
      <w:pPr>
        <w:spacing w:line="600" w:lineRule="exact"/>
        <w:ind w:firstLine="640" w:firstLineChars="200"/>
      </w:pPr>
      <w:r>
        <w:rPr>
          <w:rFonts w:hint="eastAsia"/>
        </w:rPr>
        <w:t>子基金管理机构管理和投资运作规范，具有完善的投资决策流程、全面的风险控制机制和健全的财务管理制度。</w:t>
      </w:r>
    </w:p>
    <w:p w14:paraId="32153CF4">
      <w:pPr>
        <w:numPr>
          <w:ilvl w:val="0"/>
          <w:numId w:val="2"/>
        </w:numPr>
        <w:spacing w:line="600"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募资能力</w:t>
      </w:r>
    </w:p>
    <w:p w14:paraId="73D02685">
      <w:pPr>
        <w:spacing w:line="600" w:lineRule="exact"/>
        <w:ind w:firstLine="640" w:firstLineChars="200"/>
      </w:pPr>
      <w:r>
        <w:rPr>
          <w:rFonts w:hint="eastAsia"/>
        </w:rPr>
        <w:t>子基金管理机构应向《私募投资基金监督管理暂行办法》等所规定的合格投资者募集资金。申请新设子基金的，子基金管理机构须至少已经募集到拟设立子基金总规模的50%资金，并提供拟出资人的出资承诺函、出资能力证明等材料。</w:t>
      </w:r>
    </w:p>
    <w:p w14:paraId="1362B0E8">
      <w:pPr>
        <w:numPr>
          <w:ilvl w:val="0"/>
          <w:numId w:val="2"/>
        </w:numPr>
        <w:spacing w:line="600" w:lineRule="exact"/>
        <w:ind w:firstLine="643" w:firstLineChars="200"/>
        <w:rPr>
          <w:rFonts w:ascii="楷体_GB2312" w:hAnsi="楷体_GB2312" w:eastAsia="楷体_GB2312" w:cs="楷体_GB2312"/>
          <w:b/>
          <w:bCs/>
        </w:rPr>
      </w:pPr>
      <w:r>
        <w:rPr>
          <w:rFonts w:hint="eastAsia" w:ascii="楷体_GB2312" w:hAnsi="楷体_GB2312" w:eastAsia="楷体_GB2312" w:cs="楷体_GB2312"/>
          <w:b/>
          <w:bCs/>
        </w:rPr>
        <w:t>出资能力</w:t>
      </w:r>
    </w:p>
    <w:p w14:paraId="4C298009">
      <w:pPr>
        <w:spacing w:line="600" w:lineRule="exact"/>
        <w:ind w:firstLine="640" w:firstLineChars="200"/>
      </w:pPr>
      <w:r>
        <w:rPr>
          <w:rFonts w:hint="eastAsia"/>
        </w:rPr>
        <w:t>子基金管理机构在子基金中认缴出资额原则上不低于子基金规模的1%。</w:t>
      </w:r>
    </w:p>
    <w:p w14:paraId="6F21A53F">
      <w:pPr>
        <w:ind w:left="640"/>
        <w:rPr>
          <w:rFonts w:eastAsia="黑体"/>
        </w:rPr>
      </w:pPr>
      <w:r>
        <w:rPr>
          <w:rFonts w:hint="eastAsia" w:ascii="黑体" w:hAnsi="黑体" w:eastAsia="黑体" w:cs="黑体"/>
        </w:rPr>
        <w:t>三、</w:t>
      </w:r>
      <w:r>
        <w:rPr>
          <w:rFonts w:hint="eastAsia" w:eastAsia="黑体"/>
        </w:rPr>
        <w:t>子基金设立及运作要求</w:t>
      </w:r>
    </w:p>
    <w:p w14:paraId="78CD42C4">
      <w:pPr>
        <w:numPr>
          <w:ilvl w:val="0"/>
          <w:numId w:val="3"/>
        </w:numPr>
        <w:ind w:firstLine="643" w:firstLineChars="200"/>
        <w:rPr>
          <w:rFonts w:ascii="楷体_GB2312" w:hAnsi="楷体_GB2312" w:eastAsia="楷体_GB2312" w:cs="楷体_GB2312"/>
          <w:b/>
          <w:bCs/>
        </w:rPr>
      </w:pPr>
      <w:r>
        <w:rPr>
          <w:rFonts w:hint="eastAsia" w:ascii="楷体_GB2312" w:hAnsi="楷体_GB2312" w:eastAsia="楷体_GB2312" w:cs="楷体_GB2312"/>
          <w:b/>
          <w:bCs/>
        </w:rPr>
        <w:t>注册区域</w:t>
      </w:r>
    </w:p>
    <w:p w14:paraId="75875428">
      <w:pPr>
        <w:spacing w:line="600" w:lineRule="exact"/>
        <w:ind w:firstLine="640" w:firstLineChars="200"/>
      </w:pPr>
      <w:r>
        <w:t>子基金要求注册在河南省内，子基金管理机构应配备至少5名核心人员的稳定管理团队，其中至少2名人员常驻河南办公。</w:t>
      </w:r>
    </w:p>
    <w:p w14:paraId="46A577D8">
      <w:pPr>
        <w:numPr>
          <w:ilvl w:val="0"/>
          <w:numId w:val="3"/>
        </w:numPr>
        <w:ind w:firstLine="643" w:firstLineChars="200"/>
        <w:rPr>
          <w:rFonts w:ascii="楷体_GB2312" w:hAnsi="楷体_GB2312" w:eastAsia="楷体_GB2312" w:cs="楷体_GB2312"/>
          <w:b/>
          <w:bCs/>
        </w:rPr>
      </w:pPr>
      <w:r>
        <w:rPr>
          <w:rFonts w:hint="eastAsia" w:ascii="楷体_GB2312" w:hAnsi="楷体_GB2312" w:eastAsia="楷体_GB2312" w:cs="楷体_GB2312"/>
          <w:b/>
          <w:bCs/>
        </w:rPr>
        <w:t>投资管理</w:t>
      </w:r>
    </w:p>
    <w:p w14:paraId="120D95B1">
      <w:pPr>
        <w:spacing w:line="600" w:lineRule="exact"/>
        <w:ind w:firstLine="640" w:firstLineChars="200"/>
      </w:pPr>
      <w:r>
        <w:rPr>
          <w:rFonts w:hint="eastAsia"/>
        </w:rPr>
        <w:t>股权投资基金对单只子基金的出资比例、出资上限及省市县（区）财政对单只子基金的出资总额等相关要求见《河南省股权投资引导基金管理办法》。</w:t>
      </w:r>
    </w:p>
    <w:p w14:paraId="63B48594">
      <w:pPr>
        <w:numPr>
          <w:ilvl w:val="0"/>
          <w:numId w:val="3"/>
        </w:numPr>
        <w:ind w:firstLine="643" w:firstLineChars="200"/>
        <w:rPr>
          <w:rFonts w:ascii="楷体_GB2312" w:hAnsi="楷体_GB2312" w:eastAsia="楷体_GB2312" w:cs="楷体_GB2312"/>
          <w:b/>
          <w:bCs/>
        </w:rPr>
      </w:pPr>
      <w:r>
        <w:rPr>
          <w:rFonts w:hint="eastAsia" w:ascii="楷体_GB2312" w:hAnsi="楷体_GB2312" w:eastAsia="楷体_GB2312" w:cs="楷体_GB2312"/>
          <w:b/>
          <w:bCs/>
        </w:rPr>
        <w:t>返投要求</w:t>
      </w:r>
    </w:p>
    <w:p w14:paraId="1F757322">
      <w:pPr>
        <w:spacing w:line="600" w:lineRule="exact"/>
        <w:ind w:firstLine="640" w:firstLineChars="200"/>
      </w:pPr>
      <w:r>
        <w:t>子基金返投河南金额不低于</w:t>
      </w:r>
      <w:r>
        <w:rPr>
          <w:rFonts w:hint="eastAsia"/>
        </w:rPr>
        <w:t>股权投资基金</w:t>
      </w:r>
      <w:r>
        <w:t>对其实缴出资额的1倍</w:t>
      </w:r>
      <w:r>
        <w:rPr>
          <w:rFonts w:hint="eastAsia"/>
        </w:rPr>
        <w:t>，</w:t>
      </w:r>
      <w:r>
        <w:t>子基金存续期内，以下情形可纳入返投认定范围</w:t>
      </w:r>
      <w:r>
        <w:rPr>
          <w:rFonts w:hint="eastAsia"/>
        </w:rPr>
        <w:t>：</w:t>
      </w:r>
    </w:p>
    <w:p w14:paraId="77CE9632">
      <w:pPr>
        <w:numPr>
          <w:ilvl w:val="0"/>
          <w:numId w:val="4"/>
        </w:numPr>
        <w:spacing w:line="600" w:lineRule="exact"/>
        <w:ind w:firstLine="640" w:firstLineChars="200"/>
      </w:pPr>
      <w:r>
        <w:t>注册地在河南省内的非投资类公司制企业，子基金投资实缴金额计入返投金额；</w:t>
      </w:r>
    </w:p>
    <w:p w14:paraId="4B64FADE">
      <w:pPr>
        <w:numPr>
          <w:ilvl w:val="0"/>
          <w:numId w:val="4"/>
        </w:numPr>
        <w:spacing w:line="600" w:lineRule="exact"/>
        <w:ind w:firstLine="640" w:firstLineChars="200"/>
      </w:pPr>
      <w:r>
        <w:t>注册地迁入河南省内的河南省外被投企业（含其实控、关联企业），子基金投资实缴金额计入返投金额；</w:t>
      </w:r>
    </w:p>
    <w:p w14:paraId="7BF8F67A">
      <w:pPr>
        <w:numPr>
          <w:ilvl w:val="0"/>
          <w:numId w:val="4"/>
        </w:numPr>
        <w:spacing w:line="600" w:lineRule="exact"/>
        <w:ind w:firstLine="640" w:firstLineChars="200"/>
      </w:pPr>
      <w:r>
        <w:t>子基金投资决策后，河南省外被投企业在河南省投资新设并实际运营的企业（区域总部、研发基地或生产基地），子基金投资实缴金额计入返投金额；</w:t>
      </w:r>
    </w:p>
    <w:p w14:paraId="1914B2BD">
      <w:pPr>
        <w:numPr>
          <w:ilvl w:val="0"/>
          <w:numId w:val="4"/>
        </w:numPr>
        <w:spacing w:line="600" w:lineRule="exact"/>
        <w:ind w:firstLine="640" w:firstLineChars="200"/>
      </w:pPr>
      <w:r>
        <w:t>“走出去”的河南省企业，即注册地在河南省内的企业在河南省外新增设立且控股并表子企业，子基金投资实缴金额计入返投金额。</w:t>
      </w:r>
    </w:p>
    <w:p w14:paraId="4A19BF6C">
      <w:pPr>
        <w:numPr>
          <w:ilvl w:val="0"/>
          <w:numId w:val="3"/>
        </w:numPr>
        <w:ind w:firstLine="643" w:firstLineChars="200"/>
        <w:rPr>
          <w:rFonts w:ascii="楷体_GB2312" w:hAnsi="楷体_GB2312" w:eastAsia="楷体_GB2312" w:cs="楷体_GB2312"/>
          <w:b/>
          <w:bCs/>
        </w:rPr>
      </w:pPr>
      <w:r>
        <w:rPr>
          <w:rFonts w:hint="eastAsia" w:ascii="楷体_GB2312" w:hAnsi="楷体_GB2312" w:eastAsia="楷体_GB2312" w:cs="楷体_GB2312"/>
          <w:b/>
          <w:bCs/>
        </w:rPr>
        <w:t>管理费用</w:t>
      </w:r>
    </w:p>
    <w:p w14:paraId="3210D575">
      <w:pPr>
        <w:spacing w:line="600" w:lineRule="exact"/>
        <w:ind w:firstLine="640" w:firstLineChars="200"/>
        <w:rPr>
          <w:rFonts w:ascii="楷体_GB2312" w:hAnsi="楷体_GB2312" w:eastAsia="楷体_GB2312" w:cs="楷体_GB2312"/>
          <w:b/>
          <w:bCs/>
        </w:rPr>
      </w:pPr>
      <w:r>
        <w:rPr>
          <w:rFonts w:hint="eastAsia"/>
        </w:rPr>
        <w:t>子基金管理机构收取的管理费率每年最高不超过子基金实缴金额的</w:t>
      </w:r>
      <w:r>
        <w:t>2%</w:t>
      </w:r>
      <w:r>
        <w:rPr>
          <w:rFonts w:hint="eastAsia"/>
        </w:rPr>
        <w:t>。</w:t>
      </w:r>
    </w:p>
    <w:p w14:paraId="71112D5B">
      <w:pPr>
        <w:numPr>
          <w:ilvl w:val="0"/>
          <w:numId w:val="3"/>
        </w:numPr>
        <w:ind w:firstLine="643" w:firstLineChars="200"/>
        <w:rPr>
          <w:rFonts w:ascii="楷体_GB2312" w:hAnsi="楷体_GB2312" w:eastAsia="楷体_GB2312" w:cs="楷体_GB2312"/>
          <w:b/>
          <w:bCs/>
        </w:rPr>
      </w:pPr>
      <w:r>
        <w:rPr>
          <w:rFonts w:hint="eastAsia" w:ascii="楷体_GB2312" w:hAnsi="楷体_GB2312" w:eastAsia="楷体_GB2312" w:cs="楷体_GB2312"/>
          <w:b/>
          <w:bCs/>
        </w:rPr>
        <w:t>收益分配</w:t>
      </w:r>
    </w:p>
    <w:p w14:paraId="53DF9BC5">
      <w:pPr>
        <w:ind w:firstLine="640" w:firstLineChars="200"/>
      </w:pPr>
      <w:r>
        <w:rPr>
          <w:rFonts w:hint="eastAsia"/>
        </w:rPr>
        <w:t>股权投资基金的收入包括参股子基金对项目分红、项目退出本金和收益的分配，以及基金闲置资金的银行存款利息等投资收益。</w:t>
      </w:r>
    </w:p>
    <w:p w14:paraId="28162923">
      <w:pPr>
        <w:numPr>
          <w:ilvl w:val="0"/>
          <w:numId w:val="3"/>
        </w:numPr>
        <w:ind w:firstLine="643" w:firstLineChars="200"/>
        <w:rPr>
          <w:rFonts w:ascii="楷体_GB2312" w:hAnsi="楷体_GB2312" w:eastAsia="楷体_GB2312" w:cs="楷体_GB2312"/>
          <w:b/>
          <w:bCs/>
        </w:rPr>
      </w:pPr>
      <w:r>
        <w:rPr>
          <w:rFonts w:hint="eastAsia" w:ascii="楷体_GB2312" w:hAnsi="楷体_GB2312" w:eastAsia="楷体_GB2312" w:cs="楷体_GB2312"/>
          <w:b/>
          <w:bCs/>
        </w:rPr>
        <w:t>退出方式</w:t>
      </w:r>
    </w:p>
    <w:p w14:paraId="58D16601">
      <w:pPr>
        <w:ind w:firstLine="640" w:firstLineChars="200"/>
      </w:pPr>
      <w:r>
        <w:rPr>
          <w:rFonts w:hint="eastAsia"/>
        </w:rPr>
        <w:t>股权投资基金所投子基金可采取企业上市减持、股权（股份、份额）转让、并购重组、回购、减资、清算等方式退出，亦可按照事先约定的退出条件和方式择机退出。</w:t>
      </w:r>
    </w:p>
    <w:p w14:paraId="7443110C">
      <w:pPr>
        <w:numPr>
          <w:ilvl w:val="0"/>
          <w:numId w:val="3"/>
        </w:numPr>
        <w:ind w:firstLine="643" w:firstLineChars="200"/>
        <w:rPr>
          <w:rFonts w:ascii="楷体_GB2312" w:hAnsi="楷体_GB2312" w:eastAsia="楷体_GB2312" w:cs="楷体_GB2312"/>
          <w:b/>
          <w:bCs/>
        </w:rPr>
      </w:pPr>
      <w:r>
        <w:rPr>
          <w:rFonts w:hint="eastAsia" w:ascii="楷体_GB2312" w:hAnsi="楷体_GB2312" w:eastAsia="楷体_GB2312" w:cs="楷体_GB2312"/>
          <w:b/>
          <w:bCs/>
        </w:rPr>
        <w:t>风险控制</w:t>
      </w:r>
    </w:p>
    <w:p w14:paraId="4BF1EDA6">
      <w:pPr>
        <w:ind w:firstLine="640" w:firstLineChars="200"/>
      </w:pPr>
      <w:r>
        <w:rPr>
          <w:rFonts w:hint="eastAsia"/>
        </w:rPr>
        <w:t>子基金不得从事以下业务：</w:t>
      </w:r>
    </w:p>
    <w:p w14:paraId="1B36CF8D">
      <w:pPr>
        <w:ind w:firstLine="640" w:firstLineChars="200"/>
      </w:pPr>
      <w:r>
        <w:rPr>
          <w:rFonts w:hint="eastAsia"/>
        </w:rPr>
        <w:t>（1） 从事融资担保以外的担保、抵押、委托贷款等业务；</w:t>
      </w:r>
    </w:p>
    <w:p w14:paraId="20C50A53">
      <w:pPr>
        <w:ind w:firstLine="640" w:firstLineChars="200"/>
      </w:pPr>
      <w:r>
        <w:rPr>
          <w:rFonts w:hint="eastAsia"/>
        </w:rPr>
        <w:t>（2） 投资二级市场股票（大宗交易、协议转让、战略配售、定向增发、并购重组除外）、期货、房地产、证券投资基金、评级AAA以下的企业债、信托产品、非保本型理财产品、保险计划及其他金融衍生品；</w:t>
      </w:r>
    </w:p>
    <w:p w14:paraId="4229CB2C">
      <w:pPr>
        <w:ind w:firstLine="640" w:firstLineChars="200"/>
      </w:pPr>
      <w:r>
        <w:rPr>
          <w:rFonts w:hint="eastAsia"/>
        </w:rPr>
        <w:t>（3） 向任何第三方提供赞助、捐赠（经批准的公益性捐赠除外）；</w:t>
      </w:r>
    </w:p>
    <w:p w14:paraId="58643997">
      <w:pPr>
        <w:ind w:firstLine="640" w:firstLineChars="200"/>
      </w:pPr>
      <w:r>
        <w:rPr>
          <w:rFonts w:hint="eastAsia"/>
        </w:rPr>
        <w:t>（4） 吸收或者变相吸收存款，或者向第三方提供贷款和资金拆借；</w:t>
      </w:r>
    </w:p>
    <w:p w14:paraId="18023132">
      <w:pPr>
        <w:ind w:firstLine="640" w:firstLineChars="200"/>
      </w:pPr>
      <w:r>
        <w:rPr>
          <w:rFonts w:hint="eastAsia"/>
        </w:rPr>
        <w:t>（5） 进行承担无限连带责任的对外投资；</w:t>
      </w:r>
    </w:p>
    <w:p w14:paraId="27260EC0">
      <w:pPr>
        <w:ind w:firstLine="640" w:firstLineChars="200"/>
      </w:pPr>
      <w:r>
        <w:rPr>
          <w:rFonts w:hint="eastAsia"/>
        </w:rPr>
        <w:t>（6） 发行信托或者集合理财产品募集资金；</w:t>
      </w:r>
    </w:p>
    <w:p w14:paraId="7A10AF71">
      <w:pPr>
        <w:ind w:firstLine="640" w:firstLineChars="200"/>
      </w:pPr>
      <w:r>
        <w:rPr>
          <w:rFonts w:hint="eastAsia"/>
        </w:rPr>
        <w:t>（7） 其他国家法律法规禁止从事的业务。</w:t>
      </w:r>
    </w:p>
    <w:p w14:paraId="6D277E21">
      <w:pPr>
        <w:numPr>
          <w:ilvl w:val="0"/>
          <w:numId w:val="3"/>
        </w:numPr>
        <w:ind w:firstLine="643" w:firstLineChars="200"/>
        <w:rPr>
          <w:rFonts w:ascii="楷体_GB2312" w:hAnsi="楷体_GB2312" w:eastAsia="楷体_GB2312" w:cs="楷体_GB2312"/>
          <w:b/>
          <w:bCs/>
        </w:rPr>
      </w:pPr>
      <w:r>
        <w:rPr>
          <w:rFonts w:ascii="楷体_GB2312" w:hAnsi="楷体_GB2312" w:eastAsia="楷体_GB2312" w:cs="楷体_GB2312"/>
          <w:b/>
          <w:bCs/>
        </w:rPr>
        <w:t>存续期限</w:t>
      </w:r>
    </w:p>
    <w:p w14:paraId="1F1EB066">
      <w:pPr>
        <w:ind w:firstLine="640" w:firstLineChars="200"/>
      </w:pPr>
      <w:r>
        <w:rPr>
          <w:rFonts w:hint="eastAsia"/>
        </w:rPr>
        <w:t>股权投资基金存续期15年。子基金明确投资期和退出期，子基金存续期到期日不得晚于股权投资基金最后到期日。</w:t>
      </w:r>
    </w:p>
    <w:p w14:paraId="12D0C7A0">
      <w:pPr>
        <w:numPr>
          <w:ilvl w:val="0"/>
          <w:numId w:val="3"/>
        </w:numPr>
        <w:ind w:firstLine="643" w:firstLineChars="200"/>
        <w:rPr>
          <w:rFonts w:ascii="楷体_GB2312" w:hAnsi="楷体_GB2312" w:eastAsia="楷体_GB2312" w:cs="楷体_GB2312"/>
          <w:b/>
          <w:bCs/>
        </w:rPr>
      </w:pPr>
      <w:r>
        <w:rPr>
          <w:rFonts w:hint="eastAsia" w:ascii="楷体_GB2312" w:hAnsi="楷体_GB2312" w:eastAsia="楷体_GB2312" w:cs="楷体_GB2312"/>
          <w:b/>
          <w:bCs/>
        </w:rPr>
        <w:t>基金托管</w:t>
      </w:r>
    </w:p>
    <w:p w14:paraId="15E354E9">
      <w:pPr>
        <w:ind w:firstLine="640" w:firstLineChars="200"/>
      </w:pPr>
      <w:r>
        <w:rPr>
          <w:rFonts w:hint="eastAsia"/>
        </w:rPr>
        <w:t>为保证基金资金安全合规运行，子基金须选择具有托管资质的商业银行等机构托管基金资产，主要负责资金保管、拨付、结算等日常工作，定期向股权投资基金管理机构提交资金托管报告。</w:t>
      </w:r>
    </w:p>
    <w:p w14:paraId="114E2437">
      <w:pPr>
        <w:numPr>
          <w:ilvl w:val="0"/>
          <w:numId w:val="3"/>
        </w:numPr>
        <w:ind w:firstLine="643" w:firstLineChars="200"/>
        <w:rPr>
          <w:rFonts w:ascii="楷体_GB2312" w:hAnsi="楷体_GB2312" w:eastAsia="楷体_GB2312" w:cs="楷体_GB2312"/>
          <w:b/>
          <w:bCs/>
        </w:rPr>
      </w:pPr>
      <w:r>
        <w:rPr>
          <w:rFonts w:hint="eastAsia" w:ascii="楷体_GB2312" w:hAnsi="楷体_GB2312" w:eastAsia="楷体_GB2312" w:cs="楷体_GB2312"/>
          <w:b/>
          <w:bCs/>
        </w:rPr>
        <w:t>信息披露</w:t>
      </w:r>
    </w:p>
    <w:p w14:paraId="691AA31E">
      <w:pPr>
        <w:ind w:firstLine="640" w:firstLineChars="200"/>
      </w:pPr>
      <w:r>
        <w:rPr>
          <w:rFonts w:hint="eastAsia"/>
        </w:rPr>
        <w:t>子基金管理机构应于每季度定期向股权投资基金管理机构提交上季度子基金运营报告，并于每个会计年度结束后4个月内提交经注册会计师审计的子基金年度审计报告、年度运营报告及年度银行托管报告。</w:t>
      </w:r>
    </w:p>
    <w:p w14:paraId="4D0B9808">
      <w:pPr>
        <w:numPr>
          <w:ilvl w:val="0"/>
          <w:numId w:val="3"/>
        </w:numPr>
        <w:ind w:firstLine="643" w:firstLineChars="200"/>
        <w:rPr>
          <w:rFonts w:ascii="楷体_GB2312" w:hAnsi="楷体_GB2312" w:eastAsia="楷体_GB2312" w:cs="楷体_GB2312"/>
          <w:b/>
          <w:bCs/>
        </w:rPr>
      </w:pPr>
      <w:r>
        <w:rPr>
          <w:rFonts w:hint="eastAsia" w:ascii="楷体_GB2312" w:hAnsi="楷体_GB2312" w:eastAsia="楷体_GB2312" w:cs="楷体_GB2312"/>
          <w:b/>
          <w:bCs/>
        </w:rPr>
        <w:t>强制清算及退出权</w:t>
      </w:r>
    </w:p>
    <w:p w14:paraId="011541D7">
      <w:pPr>
        <w:ind w:firstLine="640" w:firstLineChars="200"/>
      </w:pPr>
      <w:r>
        <w:rPr>
          <w:rFonts w:hint="eastAsia"/>
        </w:rPr>
        <w:t>股权投资基金管理机构不干预子基金的日常运作，但有下列情形之一的，子基金其他出资人须签署一切必要的文件或履行所有必要的程序以确保股权投资基金退出，退出价格按照子基金合伙协议（或公司章程）约定计算，并不低于投资本金及同期银行存款利率计算的收益之和：</w:t>
      </w:r>
    </w:p>
    <w:p w14:paraId="313CB432">
      <w:pPr>
        <w:ind w:firstLine="640" w:firstLineChars="200"/>
      </w:pPr>
      <w:r>
        <w:rPr>
          <w:rFonts w:hint="eastAsia"/>
        </w:rPr>
        <w:t>（1）子基金未按合伙协议（或公司章程）约定投资且未能有效整改的；</w:t>
      </w:r>
    </w:p>
    <w:p w14:paraId="21F1D4A0">
      <w:pPr>
        <w:ind w:firstLine="640" w:firstLineChars="200"/>
      </w:pPr>
      <w:r>
        <w:rPr>
          <w:rFonts w:hint="eastAsia"/>
        </w:rPr>
        <w:t>（2）股权投资基金管理机构与子基金管理机构签订合伙协议（或公司章程）后，子基金管理机构未按规定程序完成设立及备案超过一年的；</w:t>
      </w:r>
    </w:p>
    <w:p w14:paraId="460C6CAB">
      <w:pPr>
        <w:ind w:firstLine="640" w:firstLineChars="200"/>
      </w:pPr>
      <w:r>
        <w:rPr>
          <w:rFonts w:hint="eastAsia"/>
        </w:rPr>
        <w:t>（3）股权投资基金出资资金拨付子基金账户后，子基金未开展投资业务超过一年的；</w:t>
      </w:r>
    </w:p>
    <w:p w14:paraId="6DE36CEF">
      <w:pPr>
        <w:ind w:firstLine="640" w:firstLineChars="200"/>
      </w:pPr>
      <w:r>
        <w:rPr>
          <w:rFonts w:hint="eastAsia"/>
        </w:rPr>
        <w:t>（4）子基金运营有违法违规行为的；</w:t>
      </w:r>
    </w:p>
    <w:p w14:paraId="524B9E73">
      <w:pPr>
        <w:ind w:firstLine="640" w:firstLineChars="200"/>
      </w:pPr>
      <w:r>
        <w:rPr>
          <w:rFonts w:hint="eastAsia"/>
        </w:rPr>
        <w:t>（5）子基金管理机构发生实质性变化的。</w:t>
      </w:r>
    </w:p>
    <w:p w14:paraId="77620EFF">
      <w:pPr>
        <w:tabs>
          <w:tab w:val="left" w:pos="841"/>
        </w:tabs>
        <w:ind w:left="640"/>
        <w:jc w:val="left"/>
        <w:rPr>
          <w:rFonts w:ascii="黑体" w:hAnsi="黑体" w:eastAsia="黑体" w:cs="黑体"/>
        </w:rPr>
      </w:pPr>
      <w:r>
        <w:rPr>
          <w:rFonts w:hint="eastAsia" w:ascii="黑体" w:hAnsi="黑体" w:eastAsia="黑体" w:cs="黑体"/>
        </w:rPr>
        <w:t>四、子基金申报流程</w:t>
      </w:r>
    </w:p>
    <w:p w14:paraId="58B7FD4A">
      <w:pPr>
        <w:numPr>
          <w:ilvl w:val="0"/>
          <w:numId w:val="5"/>
        </w:numPr>
        <w:tabs>
          <w:tab w:val="left" w:pos="841"/>
        </w:tabs>
        <w:ind w:firstLine="640" w:firstLineChars="200"/>
      </w:pPr>
      <w:r>
        <w:rPr>
          <w:rFonts w:hint="eastAsia"/>
        </w:rPr>
        <w:t>公开征集：股权投资基金管理机构发布《河南省股权投资基金子基金申报指南及管理机构遴选办法》，公开征集子基金。</w:t>
      </w:r>
    </w:p>
    <w:p w14:paraId="2555F183">
      <w:pPr>
        <w:numPr>
          <w:ilvl w:val="0"/>
          <w:numId w:val="5"/>
        </w:numPr>
        <w:tabs>
          <w:tab w:val="left" w:pos="841"/>
        </w:tabs>
        <w:ind w:firstLine="640" w:firstLineChars="200"/>
      </w:pPr>
      <w:r>
        <w:rPr>
          <w:rFonts w:hint="eastAsia"/>
        </w:rPr>
        <w:t>材料申报：子基金申请机构根据本申报指南及遴选办法要求编制申报文件，提交至股权投资基金管理机构。</w:t>
      </w:r>
    </w:p>
    <w:p w14:paraId="6D1EF745">
      <w:pPr>
        <w:numPr>
          <w:ilvl w:val="0"/>
          <w:numId w:val="5"/>
        </w:numPr>
        <w:tabs>
          <w:tab w:val="left" w:pos="841"/>
        </w:tabs>
        <w:ind w:firstLine="640" w:firstLineChars="200"/>
      </w:pPr>
      <w:r>
        <w:rPr>
          <w:rFonts w:hint="eastAsia"/>
        </w:rPr>
        <w:t>材料初审：股权投资基金管理机构按照本申报指南及遴选办法要求，对申报材料进行初步审核、筛选，确定拟进行尽职调查的子基金名单。</w:t>
      </w:r>
    </w:p>
    <w:p w14:paraId="5800F33F">
      <w:pPr>
        <w:numPr>
          <w:ilvl w:val="0"/>
          <w:numId w:val="5"/>
        </w:numPr>
        <w:tabs>
          <w:tab w:val="left" w:pos="841"/>
        </w:tabs>
        <w:ind w:firstLine="640" w:firstLineChars="200"/>
      </w:pPr>
      <w:r>
        <w:rPr>
          <w:rFonts w:hint="eastAsia"/>
        </w:rPr>
        <w:t>尽职调查：股权投资基金管理机构独立或委托第三方机构对子基金及其管理机构（或拟设机构）等开展尽职调查，编制尽职调查报告，并提出投资建议。</w:t>
      </w:r>
    </w:p>
    <w:p w14:paraId="3780A85B">
      <w:pPr>
        <w:numPr>
          <w:ilvl w:val="0"/>
          <w:numId w:val="5"/>
        </w:numPr>
        <w:tabs>
          <w:tab w:val="left" w:pos="841"/>
        </w:tabs>
        <w:ind w:firstLine="640" w:firstLineChars="200"/>
      </w:pPr>
      <w:r>
        <w:rPr>
          <w:rFonts w:hint="eastAsia"/>
        </w:rPr>
        <w:t>投资评审：股权投资基金管理机构将子基金设立方案、投资建议、尽职调查报告等相关资料提交投委会进行评审，出具评审意见并提交至受托管理机构。</w:t>
      </w:r>
    </w:p>
    <w:p w14:paraId="5DC7772F">
      <w:pPr>
        <w:numPr>
          <w:ilvl w:val="0"/>
          <w:numId w:val="5"/>
        </w:numPr>
        <w:tabs>
          <w:tab w:val="left" w:pos="841"/>
        </w:tabs>
        <w:ind w:firstLine="640" w:firstLineChars="200"/>
      </w:pPr>
      <w:r>
        <w:rPr>
          <w:rFonts w:hint="eastAsia"/>
        </w:rPr>
        <w:t>社会公示：股权投资基金管理机构对拟支持的子基金在https://www.cicchuirong.com予以公示5个工作日。</w:t>
      </w:r>
    </w:p>
    <w:p w14:paraId="483434E5">
      <w:pPr>
        <w:numPr>
          <w:ilvl w:val="0"/>
          <w:numId w:val="5"/>
        </w:numPr>
        <w:tabs>
          <w:tab w:val="left" w:pos="841"/>
        </w:tabs>
        <w:ind w:firstLine="640" w:firstLineChars="200"/>
      </w:pPr>
      <w:r>
        <w:rPr>
          <w:rFonts w:hint="eastAsia"/>
        </w:rPr>
        <w:t>备案管理：公示无异议或有异议但经调查异议不成立的，受托管理机构将拟参股子基金投资方案及合伙协议（或公司章程）报财政厅进行备案。</w:t>
      </w:r>
    </w:p>
    <w:p w14:paraId="22DB54FF">
      <w:pPr>
        <w:widowControl/>
        <w:spacing w:line="240" w:lineRule="auto"/>
        <w:jc w:val="left"/>
      </w:pPr>
      <w:bookmarkStart w:id="1" w:name="_Hlk204769916"/>
      <w:bookmarkEnd w:id="1"/>
    </w:p>
    <w:sectPr>
      <w:footerReference r:id="rId5" w:type="default"/>
      <w:footerReference r:id="rId6" w:type="even"/>
      <w:pgSz w:w="11906" w:h="16838"/>
      <w:pgMar w:top="2098" w:right="1474" w:bottom="1985" w:left="1588" w:header="0" w:footer="1304"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B4398A-6127-4BF7-8D57-8AD4874B19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4ED79C7-2974-40AA-BE2F-A31E1ABDED3F}"/>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3" w:fontKey="{104568CA-C4C1-47FC-9C94-6437E9D38012}"/>
  </w:font>
  <w:font w:name="楷体_GB2312">
    <w:panose1 w:val="02010609030101010101"/>
    <w:charset w:val="86"/>
    <w:family w:val="modern"/>
    <w:pitch w:val="default"/>
    <w:sig w:usb0="00000001" w:usb1="080E0000" w:usb2="00000000" w:usb3="00000000" w:csb0="00040000" w:csb1="00000000"/>
    <w:embedRegular r:id="rId4" w:fontKey="{174BD982-753E-4534-B6E6-CEE4778B8E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2731717"/>
    </w:sdtPr>
    <w:sdtContent>
      <w:p w14:paraId="6F8F7C4B">
        <w:pPr>
          <w:pStyle w:val="5"/>
          <w:jc w:val="right"/>
        </w:pPr>
        <w:r>
          <w:rPr>
            <w:rFonts w:ascii="仿宋_GB2312"/>
            <w:sz w:val="32"/>
            <w:szCs w:val="32"/>
          </w:rPr>
          <w:fldChar w:fldCharType="begin"/>
        </w:r>
        <w:r>
          <w:rPr>
            <w:rFonts w:ascii="仿宋_GB2312"/>
            <w:sz w:val="32"/>
            <w:szCs w:val="32"/>
          </w:rPr>
          <w:instrText xml:space="preserve">PAGE   \* MERGEFORMAT</w:instrText>
        </w:r>
        <w:r>
          <w:rPr>
            <w:rFonts w:ascii="仿宋_GB2312"/>
            <w:sz w:val="32"/>
            <w:szCs w:val="32"/>
          </w:rPr>
          <w:fldChar w:fldCharType="separate"/>
        </w:r>
        <w:r>
          <w:rPr>
            <w:rFonts w:ascii="仿宋_GB2312"/>
            <w:sz w:val="32"/>
            <w:szCs w:val="32"/>
            <w:lang w:val="zh-CN"/>
          </w:rPr>
          <w:t>2</w:t>
        </w:r>
        <w:r>
          <w:rPr>
            <w:rFonts w:ascii="仿宋_GB2312"/>
            <w:sz w:val="32"/>
            <w:szCs w:val="32"/>
          </w:rPr>
          <w:fldChar w:fldCharType="end"/>
        </w:r>
      </w:p>
    </w:sdtContent>
  </w:sdt>
  <w:p w14:paraId="6EA02A0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6458298"/>
    </w:sdtPr>
    <w:sdtEndPr>
      <w:rPr>
        <w:rFonts w:hint="eastAsia" w:ascii="仿宋_GB2312"/>
        <w:sz w:val="32"/>
        <w:szCs w:val="32"/>
      </w:rPr>
    </w:sdtEndPr>
    <w:sdtContent>
      <w:p w14:paraId="3824DCC9">
        <w:pPr>
          <w:pStyle w:val="5"/>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PAGE   \* MERGEFORMAT</w:instrText>
        </w:r>
        <w:r>
          <w:rPr>
            <w:rFonts w:hint="eastAsia" w:ascii="仿宋_GB2312"/>
            <w:sz w:val="32"/>
            <w:szCs w:val="32"/>
          </w:rPr>
          <w:fldChar w:fldCharType="separate"/>
        </w:r>
        <w:r>
          <w:rPr>
            <w:rFonts w:hint="eastAsia" w:ascii="仿宋_GB2312"/>
            <w:sz w:val="32"/>
            <w:szCs w:val="32"/>
            <w:lang w:val="zh-CN"/>
          </w:rPr>
          <w:t>2</w:t>
        </w:r>
        <w:r>
          <w:rPr>
            <w:rFonts w:hint="eastAsia" w:ascii="仿宋_GB2312"/>
            <w:sz w:val="32"/>
            <w:szCs w:val="32"/>
          </w:rPr>
          <w:fldChar w:fldCharType="end"/>
        </w:r>
      </w:p>
    </w:sdtContent>
  </w:sdt>
  <w:p w14:paraId="7936E72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D4C8A"/>
    <w:multiLevelType w:val="singleLevel"/>
    <w:tmpl w:val="D9BD4C8A"/>
    <w:lvl w:ilvl="0" w:tentative="0">
      <w:start w:val="1"/>
      <w:numFmt w:val="chineseCounting"/>
      <w:suff w:val="space"/>
      <w:lvlText w:val="（%1）"/>
      <w:lvlJc w:val="left"/>
      <w:rPr>
        <w:rFonts w:hint="eastAsia"/>
      </w:rPr>
    </w:lvl>
  </w:abstractNum>
  <w:abstractNum w:abstractNumId="1">
    <w:nsid w:val="F41E25CB"/>
    <w:multiLevelType w:val="singleLevel"/>
    <w:tmpl w:val="F41E25CB"/>
    <w:lvl w:ilvl="0" w:tentative="0">
      <w:start w:val="1"/>
      <w:numFmt w:val="chineseCounting"/>
      <w:suff w:val="space"/>
      <w:lvlText w:val="（%1）"/>
      <w:lvlJc w:val="left"/>
      <w:rPr>
        <w:rFonts w:hint="eastAsia"/>
      </w:rPr>
    </w:lvl>
  </w:abstractNum>
  <w:abstractNum w:abstractNumId="2">
    <w:nsid w:val="F9D95600"/>
    <w:multiLevelType w:val="singleLevel"/>
    <w:tmpl w:val="F9D95600"/>
    <w:lvl w:ilvl="0" w:tentative="0">
      <w:start w:val="1"/>
      <w:numFmt w:val="chineseCounting"/>
      <w:suff w:val="space"/>
      <w:lvlText w:val="（%1）"/>
      <w:lvlJc w:val="left"/>
      <w:rPr>
        <w:rFonts w:hint="eastAsia"/>
      </w:rPr>
    </w:lvl>
  </w:abstractNum>
  <w:abstractNum w:abstractNumId="3">
    <w:nsid w:val="0A0753FF"/>
    <w:multiLevelType w:val="multilevel"/>
    <w:tmpl w:val="0A0753F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7BFD9AD1"/>
    <w:multiLevelType w:val="singleLevel"/>
    <w:tmpl w:val="7BFD9AD1"/>
    <w:lvl w:ilvl="0" w:tentative="0">
      <w:start w:val="1"/>
      <w:numFmt w:val="decimal"/>
      <w:suff w:val="space"/>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evenAndOddHeaders w:val="1"/>
  <w:drawingGridHorizontalSpacing w:val="160"/>
  <w:drawingGridVerticalSpacing w:val="435"/>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lMDAwMDM4ZWVhNjdjMDEwZTQ2NjJjNmYzOWZmODIifQ=="/>
  </w:docVars>
  <w:rsids>
    <w:rsidRoot w:val="00400EB1"/>
    <w:rsid w:val="00001790"/>
    <w:rsid w:val="000020EE"/>
    <w:rsid w:val="00003078"/>
    <w:rsid w:val="0000713D"/>
    <w:rsid w:val="0000727B"/>
    <w:rsid w:val="00014D05"/>
    <w:rsid w:val="00020236"/>
    <w:rsid w:val="000217F3"/>
    <w:rsid w:val="00021E45"/>
    <w:rsid w:val="00023028"/>
    <w:rsid w:val="0002330D"/>
    <w:rsid w:val="00026D6F"/>
    <w:rsid w:val="00026E0C"/>
    <w:rsid w:val="00030E2C"/>
    <w:rsid w:val="00031029"/>
    <w:rsid w:val="0003766D"/>
    <w:rsid w:val="00037AC4"/>
    <w:rsid w:val="000426C9"/>
    <w:rsid w:val="00043156"/>
    <w:rsid w:val="0004394C"/>
    <w:rsid w:val="00045BA0"/>
    <w:rsid w:val="00047201"/>
    <w:rsid w:val="000477AF"/>
    <w:rsid w:val="000501AF"/>
    <w:rsid w:val="000501C3"/>
    <w:rsid w:val="0005028D"/>
    <w:rsid w:val="0005060B"/>
    <w:rsid w:val="00051998"/>
    <w:rsid w:val="000548F7"/>
    <w:rsid w:val="0006070B"/>
    <w:rsid w:val="0006096B"/>
    <w:rsid w:val="00062642"/>
    <w:rsid w:val="00063FA4"/>
    <w:rsid w:val="0006505B"/>
    <w:rsid w:val="00065F16"/>
    <w:rsid w:val="00067B41"/>
    <w:rsid w:val="00070C36"/>
    <w:rsid w:val="00075B4B"/>
    <w:rsid w:val="0007623B"/>
    <w:rsid w:val="000767EB"/>
    <w:rsid w:val="00077B13"/>
    <w:rsid w:val="00082024"/>
    <w:rsid w:val="00082F2C"/>
    <w:rsid w:val="00084FC6"/>
    <w:rsid w:val="000861F7"/>
    <w:rsid w:val="00087ADC"/>
    <w:rsid w:val="00094937"/>
    <w:rsid w:val="0009555C"/>
    <w:rsid w:val="000958DD"/>
    <w:rsid w:val="00095E08"/>
    <w:rsid w:val="000960F2"/>
    <w:rsid w:val="000A14BB"/>
    <w:rsid w:val="000A3414"/>
    <w:rsid w:val="000A62E6"/>
    <w:rsid w:val="000A6DCD"/>
    <w:rsid w:val="000A721E"/>
    <w:rsid w:val="000A7AB9"/>
    <w:rsid w:val="000B10A6"/>
    <w:rsid w:val="000B460D"/>
    <w:rsid w:val="000B60DC"/>
    <w:rsid w:val="000B615D"/>
    <w:rsid w:val="000B7C48"/>
    <w:rsid w:val="000C1753"/>
    <w:rsid w:val="000C3C71"/>
    <w:rsid w:val="000C3E5E"/>
    <w:rsid w:val="000C5467"/>
    <w:rsid w:val="000C5762"/>
    <w:rsid w:val="000C6110"/>
    <w:rsid w:val="000C6DB2"/>
    <w:rsid w:val="000C7429"/>
    <w:rsid w:val="000D1CDA"/>
    <w:rsid w:val="000D2802"/>
    <w:rsid w:val="000D351D"/>
    <w:rsid w:val="000D54B2"/>
    <w:rsid w:val="000D60E9"/>
    <w:rsid w:val="000D63C8"/>
    <w:rsid w:val="000D797F"/>
    <w:rsid w:val="000E1032"/>
    <w:rsid w:val="000E1B8C"/>
    <w:rsid w:val="000E5C7E"/>
    <w:rsid w:val="000E615E"/>
    <w:rsid w:val="000E7751"/>
    <w:rsid w:val="000F32B7"/>
    <w:rsid w:val="000F4AF5"/>
    <w:rsid w:val="000F5CDE"/>
    <w:rsid w:val="001003F7"/>
    <w:rsid w:val="0010174E"/>
    <w:rsid w:val="00103EA9"/>
    <w:rsid w:val="001048EE"/>
    <w:rsid w:val="00104EAA"/>
    <w:rsid w:val="00105196"/>
    <w:rsid w:val="00106734"/>
    <w:rsid w:val="00106746"/>
    <w:rsid w:val="00110798"/>
    <w:rsid w:val="00110E2C"/>
    <w:rsid w:val="00111CA4"/>
    <w:rsid w:val="00112D33"/>
    <w:rsid w:val="00114135"/>
    <w:rsid w:val="0011729E"/>
    <w:rsid w:val="00117445"/>
    <w:rsid w:val="00117BF8"/>
    <w:rsid w:val="00120C21"/>
    <w:rsid w:val="00121508"/>
    <w:rsid w:val="0012155A"/>
    <w:rsid w:val="001224AF"/>
    <w:rsid w:val="0012360B"/>
    <w:rsid w:val="00123A29"/>
    <w:rsid w:val="00123B95"/>
    <w:rsid w:val="001242A6"/>
    <w:rsid w:val="00125B7B"/>
    <w:rsid w:val="00127294"/>
    <w:rsid w:val="00140C0E"/>
    <w:rsid w:val="0014103D"/>
    <w:rsid w:val="00141320"/>
    <w:rsid w:val="0014296E"/>
    <w:rsid w:val="00142A8F"/>
    <w:rsid w:val="00142E8B"/>
    <w:rsid w:val="0014326A"/>
    <w:rsid w:val="001435CD"/>
    <w:rsid w:val="001443F2"/>
    <w:rsid w:val="00153314"/>
    <w:rsid w:val="00153F84"/>
    <w:rsid w:val="00154FEF"/>
    <w:rsid w:val="00155B1A"/>
    <w:rsid w:val="00157ED7"/>
    <w:rsid w:val="00160224"/>
    <w:rsid w:val="001659EA"/>
    <w:rsid w:val="00166521"/>
    <w:rsid w:val="001673E9"/>
    <w:rsid w:val="00167553"/>
    <w:rsid w:val="00170496"/>
    <w:rsid w:val="00173F46"/>
    <w:rsid w:val="0017523D"/>
    <w:rsid w:val="00177446"/>
    <w:rsid w:val="00180641"/>
    <w:rsid w:val="00182957"/>
    <w:rsid w:val="00185310"/>
    <w:rsid w:val="00190D60"/>
    <w:rsid w:val="00191EDD"/>
    <w:rsid w:val="0019391A"/>
    <w:rsid w:val="00194DB3"/>
    <w:rsid w:val="001977FC"/>
    <w:rsid w:val="001A086D"/>
    <w:rsid w:val="001A2A53"/>
    <w:rsid w:val="001A3C11"/>
    <w:rsid w:val="001A4F07"/>
    <w:rsid w:val="001A63D2"/>
    <w:rsid w:val="001B0319"/>
    <w:rsid w:val="001B08C1"/>
    <w:rsid w:val="001B22BE"/>
    <w:rsid w:val="001B277F"/>
    <w:rsid w:val="001B47CE"/>
    <w:rsid w:val="001B4ACC"/>
    <w:rsid w:val="001B5810"/>
    <w:rsid w:val="001B5BA6"/>
    <w:rsid w:val="001C1BEA"/>
    <w:rsid w:val="001C4AA6"/>
    <w:rsid w:val="001C4BF2"/>
    <w:rsid w:val="001D1CCF"/>
    <w:rsid w:val="001D35D6"/>
    <w:rsid w:val="001D5022"/>
    <w:rsid w:val="001D705B"/>
    <w:rsid w:val="001D7FC0"/>
    <w:rsid w:val="001E1195"/>
    <w:rsid w:val="001E2716"/>
    <w:rsid w:val="001E2855"/>
    <w:rsid w:val="001E575C"/>
    <w:rsid w:val="001E663C"/>
    <w:rsid w:val="001E6906"/>
    <w:rsid w:val="001F1378"/>
    <w:rsid w:val="001F2BEE"/>
    <w:rsid w:val="001F4046"/>
    <w:rsid w:val="001F4247"/>
    <w:rsid w:val="001F5600"/>
    <w:rsid w:val="001F6DD8"/>
    <w:rsid w:val="0020014B"/>
    <w:rsid w:val="0020034C"/>
    <w:rsid w:val="00200E25"/>
    <w:rsid w:val="00202741"/>
    <w:rsid w:val="00203CD9"/>
    <w:rsid w:val="00204595"/>
    <w:rsid w:val="0020497F"/>
    <w:rsid w:val="00205C90"/>
    <w:rsid w:val="00207DF3"/>
    <w:rsid w:val="00211B67"/>
    <w:rsid w:val="002166DB"/>
    <w:rsid w:val="0021670D"/>
    <w:rsid w:val="00220596"/>
    <w:rsid w:val="00222DCE"/>
    <w:rsid w:val="0022639F"/>
    <w:rsid w:val="0022641D"/>
    <w:rsid w:val="00226801"/>
    <w:rsid w:val="00231C05"/>
    <w:rsid w:val="00233090"/>
    <w:rsid w:val="002341CD"/>
    <w:rsid w:val="00234C76"/>
    <w:rsid w:val="0024169F"/>
    <w:rsid w:val="00242B36"/>
    <w:rsid w:val="00243B15"/>
    <w:rsid w:val="00246147"/>
    <w:rsid w:val="00246E93"/>
    <w:rsid w:val="0024793B"/>
    <w:rsid w:val="00250B70"/>
    <w:rsid w:val="00252B12"/>
    <w:rsid w:val="00252CEF"/>
    <w:rsid w:val="002539F0"/>
    <w:rsid w:val="002552D4"/>
    <w:rsid w:val="00255711"/>
    <w:rsid w:val="00255F4F"/>
    <w:rsid w:val="002570AA"/>
    <w:rsid w:val="0026228E"/>
    <w:rsid w:val="002626A8"/>
    <w:rsid w:val="00265C4D"/>
    <w:rsid w:val="002664CB"/>
    <w:rsid w:val="002668C1"/>
    <w:rsid w:val="00266E94"/>
    <w:rsid w:val="00267D92"/>
    <w:rsid w:val="00272BA1"/>
    <w:rsid w:val="00275926"/>
    <w:rsid w:val="0028038C"/>
    <w:rsid w:val="002850CB"/>
    <w:rsid w:val="00285AD3"/>
    <w:rsid w:val="00287369"/>
    <w:rsid w:val="00293261"/>
    <w:rsid w:val="00294367"/>
    <w:rsid w:val="002960AC"/>
    <w:rsid w:val="00296692"/>
    <w:rsid w:val="00296D90"/>
    <w:rsid w:val="0029703B"/>
    <w:rsid w:val="002A018D"/>
    <w:rsid w:val="002A037D"/>
    <w:rsid w:val="002A0696"/>
    <w:rsid w:val="002A16D7"/>
    <w:rsid w:val="002A42CA"/>
    <w:rsid w:val="002A4326"/>
    <w:rsid w:val="002A781C"/>
    <w:rsid w:val="002B048F"/>
    <w:rsid w:val="002B12BB"/>
    <w:rsid w:val="002B285C"/>
    <w:rsid w:val="002C0045"/>
    <w:rsid w:val="002C0449"/>
    <w:rsid w:val="002C0BCD"/>
    <w:rsid w:val="002C3C06"/>
    <w:rsid w:val="002C433B"/>
    <w:rsid w:val="002C449F"/>
    <w:rsid w:val="002C5C9E"/>
    <w:rsid w:val="002C5E73"/>
    <w:rsid w:val="002C670E"/>
    <w:rsid w:val="002C6EC1"/>
    <w:rsid w:val="002D0420"/>
    <w:rsid w:val="002D17A7"/>
    <w:rsid w:val="002D264A"/>
    <w:rsid w:val="002D3DEE"/>
    <w:rsid w:val="002D4640"/>
    <w:rsid w:val="002D6027"/>
    <w:rsid w:val="002D7A62"/>
    <w:rsid w:val="002E152B"/>
    <w:rsid w:val="002E2050"/>
    <w:rsid w:val="002E6FFF"/>
    <w:rsid w:val="002E7687"/>
    <w:rsid w:val="002F2154"/>
    <w:rsid w:val="002F28DC"/>
    <w:rsid w:val="002F4A5D"/>
    <w:rsid w:val="002F5F48"/>
    <w:rsid w:val="002F676B"/>
    <w:rsid w:val="002F6C1B"/>
    <w:rsid w:val="002F792C"/>
    <w:rsid w:val="003019C4"/>
    <w:rsid w:val="00301F1D"/>
    <w:rsid w:val="00302E4E"/>
    <w:rsid w:val="0030392D"/>
    <w:rsid w:val="00305B19"/>
    <w:rsid w:val="00305E6E"/>
    <w:rsid w:val="003076CA"/>
    <w:rsid w:val="003126CF"/>
    <w:rsid w:val="00312BAB"/>
    <w:rsid w:val="003131F2"/>
    <w:rsid w:val="00314944"/>
    <w:rsid w:val="00314DD7"/>
    <w:rsid w:val="0031548B"/>
    <w:rsid w:val="00321431"/>
    <w:rsid w:val="00324054"/>
    <w:rsid w:val="0032449F"/>
    <w:rsid w:val="00324B14"/>
    <w:rsid w:val="00324EA1"/>
    <w:rsid w:val="00325B78"/>
    <w:rsid w:val="00330227"/>
    <w:rsid w:val="003375F8"/>
    <w:rsid w:val="00341BCA"/>
    <w:rsid w:val="0034280C"/>
    <w:rsid w:val="00343061"/>
    <w:rsid w:val="0034363E"/>
    <w:rsid w:val="0034525D"/>
    <w:rsid w:val="0035028C"/>
    <w:rsid w:val="00353B29"/>
    <w:rsid w:val="0035444C"/>
    <w:rsid w:val="003557B4"/>
    <w:rsid w:val="003604F8"/>
    <w:rsid w:val="0036078E"/>
    <w:rsid w:val="00364250"/>
    <w:rsid w:val="0036452A"/>
    <w:rsid w:val="00365927"/>
    <w:rsid w:val="00365B13"/>
    <w:rsid w:val="003664A1"/>
    <w:rsid w:val="00371241"/>
    <w:rsid w:val="00376AE0"/>
    <w:rsid w:val="00381D5D"/>
    <w:rsid w:val="003849D5"/>
    <w:rsid w:val="00385310"/>
    <w:rsid w:val="00390251"/>
    <w:rsid w:val="003908D5"/>
    <w:rsid w:val="00390C4A"/>
    <w:rsid w:val="003913D4"/>
    <w:rsid w:val="0039393D"/>
    <w:rsid w:val="00393D64"/>
    <w:rsid w:val="00394A2A"/>
    <w:rsid w:val="0039566A"/>
    <w:rsid w:val="00396138"/>
    <w:rsid w:val="003963D3"/>
    <w:rsid w:val="00396E14"/>
    <w:rsid w:val="0039740B"/>
    <w:rsid w:val="003A4154"/>
    <w:rsid w:val="003A4BB6"/>
    <w:rsid w:val="003A5D0F"/>
    <w:rsid w:val="003A6D95"/>
    <w:rsid w:val="003B1484"/>
    <w:rsid w:val="003B1824"/>
    <w:rsid w:val="003B27D0"/>
    <w:rsid w:val="003B3CC1"/>
    <w:rsid w:val="003B4A84"/>
    <w:rsid w:val="003B4B7D"/>
    <w:rsid w:val="003B73E1"/>
    <w:rsid w:val="003B7AAC"/>
    <w:rsid w:val="003C0F6F"/>
    <w:rsid w:val="003C37ED"/>
    <w:rsid w:val="003C3957"/>
    <w:rsid w:val="003C4A6B"/>
    <w:rsid w:val="003C769E"/>
    <w:rsid w:val="003D3E8D"/>
    <w:rsid w:val="003D3F15"/>
    <w:rsid w:val="003D3F8A"/>
    <w:rsid w:val="003D4AF5"/>
    <w:rsid w:val="003D4E6F"/>
    <w:rsid w:val="003E1166"/>
    <w:rsid w:val="003E1AEF"/>
    <w:rsid w:val="003E1FC1"/>
    <w:rsid w:val="003E4698"/>
    <w:rsid w:val="003E524D"/>
    <w:rsid w:val="003E673C"/>
    <w:rsid w:val="003F08CB"/>
    <w:rsid w:val="003F2DA4"/>
    <w:rsid w:val="003F2EF9"/>
    <w:rsid w:val="003F4FF8"/>
    <w:rsid w:val="003F5DB1"/>
    <w:rsid w:val="003F6E3D"/>
    <w:rsid w:val="003F7652"/>
    <w:rsid w:val="0040092A"/>
    <w:rsid w:val="00400EB1"/>
    <w:rsid w:val="00401387"/>
    <w:rsid w:val="00402C31"/>
    <w:rsid w:val="00404623"/>
    <w:rsid w:val="00404994"/>
    <w:rsid w:val="004052F3"/>
    <w:rsid w:val="00405A7D"/>
    <w:rsid w:val="00406E28"/>
    <w:rsid w:val="00406F17"/>
    <w:rsid w:val="00411D35"/>
    <w:rsid w:val="00415DE8"/>
    <w:rsid w:val="00416355"/>
    <w:rsid w:val="00422600"/>
    <w:rsid w:val="00425B87"/>
    <w:rsid w:val="00426C5C"/>
    <w:rsid w:val="004318CB"/>
    <w:rsid w:val="00431A90"/>
    <w:rsid w:val="00432F1A"/>
    <w:rsid w:val="00435165"/>
    <w:rsid w:val="004354A4"/>
    <w:rsid w:val="00435DB7"/>
    <w:rsid w:val="004366CA"/>
    <w:rsid w:val="004373AB"/>
    <w:rsid w:val="004401E3"/>
    <w:rsid w:val="00446CA1"/>
    <w:rsid w:val="00451DF4"/>
    <w:rsid w:val="00453480"/>
    <w:rsid w:val="00453F65"/>
    <w:rsid w:val="00456C63"/>
    <w:rsid w:val="00457B42"/>
    <w:rsid w:val="00457C5E"/>
    <w:rsid w:val="004608E9"/>
    <w:rsid w:val="00467F6E"/>
    <w:rsid w:val="004733B3"/>
    <w:rsid w:val="004767F4"/>
    <w:rsid w:val="00477051"/>
    <w:rsid w:val="004779A0"/>
    <w:rsid w:val="00477A7F"/>
    <w:rsid w:val="00485C85"/>
    <w:rsid w:val="00490481"/>
    <w:rsid w:val="00490BF6"/>
    <w:rsid w:val="00493D2C"/>
    <w:rsid w:val="00494A78"/>
    <w:rsid w:val="00494BCF"/>
    <w:rsid w:val="004953DA"/>
    <w:rsid w:val="00495E82"/>
    <w:rsid w:val="00495E8D"/>
    <w:rsid w:val="004A31AD"/>
    <w:rsid w:val="004A3F2E"/>
    <w:rsid w:val="004A46BC"/>
    <w:rsid w:val="004A51E5"/>
    <w:rsid w:val="004B0325"/>
    <w:rsid w:val="004B0C75"/>
    <w:rsid w:val="004B41B3"/>
    <w:rsid w:val="004B50B2"/>
    <w:rsid w:val="004C0F7B"/>
    <w:rsid w:val="004C1B9C"/>
    <w:rsid w:val="004C6A2F"/>
    <w:rsid w:val="004C7D1E"/>
    <w:rsid w:val="004D0AA5"/>
    <w:rsid w:val="004D1BDA"/>
    <w:rsid w:val="004D28BB"/>
    <w:rsid w:val="004D3222"/>
    <w:rsid w:val="004D3F28"/>
    <w:rsid w:val="004D4F01"/>
    <w:rsid w:val="004D6D28"/>
    <w:rsid w:val="004E10B4"/>
    <w:rsid w:val="004E2C55"/>
    <w:rsid w:val="004E4E18"/>
    <w:rsid w:val="004E5D5F"/>
    <w:rsid w:val="004F21B7"/>
    <w:rsid w:val="004F225E"/>
    <w:rsid w:val="004F52E9"/>
    <w:rsid w:val="00500911"/>
    <w:rsid w:val="00500E23"/>
    <w:rsid w:val="0050180B"/>
    <w:rsid w:val="0050399B"/>
    <w:rsid w:val="00505107"/>
    <w:rsid w:val="00505651"/>
    <w:rsid w:val="0050709D"/>
    <w:rsid w:val="0051098B"/>
    <w:rsid w:val="0051369A"/>
    <w:rsid w:val="00513A40"/>
    <w:rsid w:val="0051567D"/>
    <w:rsid w:val="00523D0D"/>
    <w:rsid w:val="005307C5"/>
    <w:rsid w:val="00531583"/>
    <w:rsid w:val="00533174"/>
    <w:rsid w:val="005337D2"/>
    <w:rsid w:val="00545F8B"/>
    <w:rsid w:val="00546765"/>
    <w:rsid w:val="005476FA"/>
    <w:rsid w:val="00550030"/>
    <w:rsid w:val="005528A9"/>
    <w:rsid w:val="005545F0"/>
    <w:rsid w:val="005563F6"/>
    <w:rsid w:val="00556868"/>
    <w:rsid w:val="00557E45"/>
    <w:rsid w:val="00561665"/>
    <w:rsid w:val="00561D97"/>
    <w:rsid w:val="0056651D"/>
    <w:rsid w:val="00567C69"/>
    <w:rsid w:val="005736CA"/>
    <w:rsid w:val="00573C2E"/>
    <w:rsid w:val="00575229"/>
    <w:rsid w:val="0057701B"/>
    <w:rsid w:val="00580A2A"/>
    <w:rsid w:val="00581F62"/>
    <w:rsid w:val="00587D2E"/>
    <w:rsid w:val="0059220D"/>
    <w:rsid w:val="00593820"/>
    <w:rsid w:val="005949CC"/>
    <w:rsid w:val="005950C8"/>
    <w:rsid w:val="00595900"/>
    <w:rsid w:val="00595FD2"/>
    <w:rsid w:val="00597DBB"/>
    <w:rsid w:val="005B052A"/>
    <w:rsid w:val="005B0E1C"/>
    <w:rsid w:val="005B4FE7"/>
    <w:rsid w:val="005B608D"/>
    <w:rsid w:val="005B6827"/>
    <w:rsid w:val="005B6C73"/>
    <w:rsid w:val="005C1190"/>
    <w:rsid w:val="005C3699"/>
    <w:rsid w:val="005C57F2"/>
    <w:rsid w:val="005C6000"/>
    <w:rsid w:val="005C76A9"/>
    <w:rsid w:val="005D2CD9"/>
    <w:rsid w:val="005D2D4B"/>
    <w:rsid w:val="005D3998"/>
    <w:rsid w:val="005D7D2A"/>
    <w:rsid w:val="005E41A0"/>
    <w:rsid w:val="005E4278"/>
    <w:rsid w:val="005E4F9C"/>
    <w:rsid w:val="005E5B11"/>
    <w:rsid w:val="005E7D09"/>
    <w:rsid w:val="005F16D6"/>
    <w:rsid w:val="005F2153"/>
    <w:rsid w:val="005F3306"/>
    <w:rsid w:val="005F3399"/>
    <w:rsid w:val="005F3795"/>
    <w:rsid w:val="005F41E3"/>
    <w:rsid w:val="005F46B3"/>
    <w:rsid w:val="005F48A1"/>
    <w:rsid w:val="005F7160"/>
    <w:rsid w:val="00601CA3"/>
    <w:rsid w:val="00602EFF"/>
    <w:rsid w:val="00603E06"/>
    <w:rsid w:val="00603E26"/>
    <w:rsid w:val="00604990"/>
    <w:rsid w:val="006056DB"/>
    <w:rsid w:val="00605C94"/>
    <w:rsid w:val="00612612"/>
    <w:rsid w:val="00615C6D"/>
    <w:rsid w:val="006237BF"/>
    <w:rsid w:val="0062466E"/>
    <w:rsid w:val="00624D0A"/>
    <w:rsid w:val="006257FB"/>
    <w:rsid w:val="00625D94"/>
    <w:rsid w:val="00632DF5"/>
    <w:rsid w:val="00633211"/>
    <w:rsid w:val="006332DB"/>
    <w:rsid w:val="006342D1"/>
    <w:rsid w:val="00634859"/>
    <w:rsid w:val="00642AC2"/>
    <w:rsid w:val="00643580"/>
    <w:rsid w:val="00646E6E"/>
    <w:rsid w:val="0065026A"/>
    <w:rsid w:val="00650BDE"/>
    <w:rsid w:val="006513A9"/>
    <w:rsid w:val="00651704"/>
    <w:rsid w:val="00651874"/>
    <w:rsid w:val="00653B7F"/>
    <w:rsid w:val="00656075"/>
    <w:rsid w:val="00656F77"/>
    <w:rsid w:val="00657074"/>
    <w:rsid w:val="006574CC"/>
    <w:rsid w:val="00662C26"/>
    <w:rsid w:val="00663A82"/>
    <w:rsid w:val="00670A3C"/>
    <w:rsid w:val="00674521"/>
    <w:rsid w:val="0067750F"/>
    <w:rsid w:val="006779F8"/>
    <w:rsid w:val="0068034A"/>
    <w:rsid w:val="00680FB9"/>
    <w:rsid w:val="00681B53"/>
    <w:rsid w:val="00682C09"/>
    <w:rsid w:val="006833DD"/>
    <w:rsid w:val="00690219"/>
    <w:rsid w:val="00690273"/>
    <w:rsid w:val="0069229C"/>
    <w:rsid w:val="006930C8"/>
    <w:rsid w:val="006933E5"/>
    <w:rsid w:val="006946E3"/>
    <w:rsid w:val="006947D0"/>
    <w:rsid w:val="0069527C"/>
    <w:rsid w:val="006A0D97"/>
    <w:rsid w:val="006A0FBD"/>
    <w:rsid w:val="006A143F"/>
    <w:rsid w:val="006A1C98"/>
    <w:rsid w:val="006A2574"/>
    <w:rsid w:val="006A4AE4"/>
    <w:rsid w:val="006A6C90"/>
    <w:rsid w:val="006B0988"/>
    <w:rsid w:val="006B1C1E"/>
    <w:rsid w:val="006B2EF5"/>
    <w:rsid w:val="006B328B"/>
    <w:rsid w:val="006B3551"/>
    <w:rsid w:val="006B3D40"/>
    <w:rsid w:val="006B4077"/>
    <w:rsid w:val="006C1C8D"/>
    <w:rsid w:val="006C2286"/>
    <w:rsid w:val="006C2762"/>
    <w:rsid w:val="006C2C15"/>
    <w:rsid w:val="006C337F"/>
    <w:rsid w:val="006C4741"/>
    <w:rsid w:val="006C5E5A"/>
    <w:rsid w:val="006C6442"/>
    <w:rsid w:val="006C7D75"/>
    <w:rsid w:val="006D08D6"/>
    <w:rsid w:val="006D1BEF"/>
    <w:rsid w:val="006D2899"/>
    <w:rsid w:val="006D4228"/>
    <w:rsid w:val="006D6957"/>
    <w:rsid w:val="006D7CB4"/>
    <w:rsid w:val="006E063A"/>
    <w:rsid w:val="006E4A40"/>
    <w:rsid w:val="006E5482"/>
    <w:rsid w:val="006E6489"/>
    <w:rsid w:val="006E6694"/>
    <w:rsid w:val="006F28C6"/>
    <w:rsid w:val="006F5313"/>
    <w:rsid w:val="006F5FDF"/>
    <w:rsid w:val="006F7219"/>
    <w:rsid w:val="00700266"/>
    <w:rsid w:val="00701004"/>
    <w:rsid w:val="0070272E"/>
    <w:rsid w:val="00705611"/>
    <w:rsid w:val="00705821"/>
    <w:rsid w:val="00706158"/>
    <w:rsid w:val="007065EA"/>
    <w:rsid w:val="00710B57"/>
    <w:rsid w:val="00713399"/>
    <w:rsid w:val="00713A0D"/>
    <w:rsid w:val="00713D60"/>
    <w:rsid w:val="007149CC"/>
    <w:rsid w:val="007152DB"/>
    <w:rsid w:val="007152DE"/>
    <w:rsid w:val="007156B0"/>
    <w:rsid w:val="0071592C"/>
    <w:rsid w:val="00716D06"/>
    <w:rsid w:val="00720B0F"/>
    <w:rsid w:val="00720C68"/>
    <w:rsid w:val="00722373"/>
    <w:rsid w:val="007248C0"/>
    <w:rsid w:val="00726027"/>
    <w:rsid w:val="007261F3"/>
    <w:rsid w:val="007265AB"/>
    <w:rsid w:val="00727628"/>
    <w:rsid w:val="0073089C"/>
    <w:rsid w:val="007329D1"/>
    <w:rsid w:val="00732E44"/>
    <w:rsid w:val="00733A91"/>
    <w:rsid w:val="00733AD0"/>
    <w:rsid w:val="00734D60"/>
    <w:rsid w:val="00736D27"/>
    <w:rsid w:val="007373CB"/>
    <w:rsid w:val="007406E2"/>
    <w:rsid w:val="00741233"/>
    <w:rsid w:val="00742A28"/>
    <w:rsid w:val="007446D3"/>
    <w:rsid w:val="00744B95"/>
    <w:rsid w:val="00744EED"/>
    <w:rsid w:val="00745F4F"/>
    <w:rsid w:val="007474B8"/>
    <w:rsid w:val="007505D0"/>
    <w:rsid w:val="00751C19"/>
    <w:rsid w:val="00751E79"/>
    <w:rsid w:val="00752738"/>
    <w:rsid w:val="007527F3"/>
    <w:rsid w:val="00754956"/>
    <w:rsid w:val="00756129"/>
    <w:rsid w:val="00761B33"/>
    <w:rsid w:val="007641C2"/>
    <w:rsid w:val="00764EB7"/>
    <w:rsid w:val="0076520B"/>
    <w:rsid w:val="00765E62"/>
    <w:rsid w:val="007676CC"/>
    <w:rsid w:val="00767FF4"/>
    <w:rsid w:val="00770024"/>
    <w:rsid w:val="00772B76"/>
    <w:rsid w:val="00773707"/>
    <w:rsid w:val="007743FF"/>
    <w:rsid w:val="0077544A"/>
    <w:rsid w:val="00776556"/>
    <w:rsid w:val="00777771"/>
    <w:rsid w:val="00777A22"/>
    <w:rsid w:val="007811F8"/>
    <w:rsid w:val="00784524"/>
    <w:rsid w:val="0078777A"/>
    <w:rsid w:val="00791E0A"/>
    <w:rsid w:val="007A02FF"/>
    <w:rsid w:val="007A2DEC"/>
    <w:rsid w:val="007A4184"/>
    <w:rsid w:val="007A763C"/>
    <w:rsid w:val="007A79BE"/>
    <w:rsid w:val="007B175B"/>
    <w:rsid w:val="007B223E"/>
    <w:rsid w:val="007B40B1"/>
    <w:rsid w:val="007B5C7F"/>
    <w:rsid w:val="007B7EF3"/>
    <w:rsid w:val="007C166F"/>
    <w:rsid w:val="007C3F9A"/>
    <w:rsid w:val="007C49F5"/>
    <w:rsid w:val="007C4C87"/>
    <w:rsid w:val="007C5017"/>
    <w:rsid w:val="007C7613"/>
    <w:rsid w:val="007C7C40"/>
    <w:rsid w:val="007D0490"/>
    <w:rsid w:val="007D04FC"/>
    <w:rsid w:val="007D3754"/>
    <w:rsid w:val="007D6207"/>
    <w:rsid w:val="007D723C"/>
    <w:rsid w:val="007E03B4"/>
    <w:rsid w:val="007E4DA3"/>
    <w:rsid w:val="007E5628"/>
    <w:rsid w:val="007E5D4D"/>
    <w:rsid w:val="007E797F"/>
    <w:rsid w:val="007E7EFB"/>
    <w:rsid w:val="007F07A2"/>
    <w:rsid w:val="007F26E0"/>
    <w:rsid w:val="007F478F"/>
    <w:rsid w:val="007F532F"/>
    <w:rsid w:val="007F579C"/>
    <w:rsid w:val="007F61C5"/>
    <w:rsid w:val="007F7833"/>
    <w:rsid w:val="00801C10"/>
    <w:rsid w:val="008029DF"/>
    <w:rsid w:val="00804891"/>
    <w:rsid w:val="00804BF7"/>
    <w:rsid w:val="00804E35"/>
    <w:rsid w:val="0080558B"/>
    <w:rsid w:val="008055D9"/>
    <w:rsid w:val="00805B53"/>
    <w:rsid w:val="0081005C"/>
    <w:rsid w:val="008103CF"/>
    <w:rsid w:val="00810AFC"/>
    <w:rsid w:val="00810F74"/>
    <w:rsid w:val="00813B01"/>
    <w:rsid w:val="008140A9"/>
    <w:rsid w:val="0081411B"/>
    <w:rsid w:val="008172A8"/>
    <w:rsid w:val="00821F73"/>
    <w:rsid w:val="00825682"/>
    <w:rsid w:val="00825EBA"/>
    <w:rsid w:val="00827742"/>
    <w:rsid w:val="00830BEE"/>
    <w:rsid w:val="008323DC"/>
    <w:rsid w:val="00832E9E"/>
    <w:rsid w:val="00837896"/>
    <w:rsid w:val="0084410E"/>
    <w:rsid w:val="00844B81"/>
    <w:rsid w:val="00844E70"/>
    <w:rsid w:val="00845650"/>
    <w:rsid w:val="008466BD"/>
    <w:rsid w:val="008466F1"/>
    <w:rsid w:val="00851FA8"/>
    <w:rsid w:val="00853113"/>
    <w:rsid w:val="00853821"/>
    <w:rsid w:val="008554BB"/>
    <w:rsid w:val="00856B98"/>
    <w:rsid w:val="00857174"/>
    <w:rsid w:val="00860EBC"/>
    <w:rsid w:val="008626ED"/>
    <w:rsid w:val="00867595"/>
    <w:rsid w:val="00870B34"/>
    <w:rsid w:val="00871286"/>
    <w:rsid w:val="00877067"/>
    <w:rsid w:val="008812DF"/>
    <w:rsid w:val="008814F8"/>
    <w:rsid w:val="00882DB8"/>
    <w:rsid w:val="00887A33"/>
    <w:rsid w:val="00890081"/>
    <w:rsid w:val="00891027"/>
    <w:rsid w:val="00893239"/>
    <w:rsid w:val="0089446A"/>
    <w:rsid w:val="00896147"/>
    <w:rsid w:val="00896314"/>
    <w:rsid w:val="00897CF1"/>
    <w:rsid w:val="008A29E3"/>
    <w:rsid w:val="008A45DE"/>
    <w:rsid w:val="008A4B19"/>
    <w:rsid w:val="008A60E5"/>
    <w:rsid w:val="008B0005"/>
    <w:rsid w:val="008B001E"/>
    <w:rsid w:val="008B1458"/>
    <w:rsid w:val="008B225D"/>
    <w:rsid w:val="008B32C1"/>
    <w:rsid w:val="008B3980"/>
    <w:rsid w:val="008B3EBD"/>
    <w:rsid w:val="008B600E"/>
    <w:rsid w:val="008B747C"/>
    <w:rsid w:val="008B7A0D"/>
    <w:rsid w:val="008C151E"/>
    <w:rsid w:val="008C1AC7"/>
    <w:rsid w:val="008C61E6"/>
    <w:rsid w:val="008C6BA9"/>
    <w:rsid w:val="008D0FFB"/>
    <w:rsid w:val="008D3E26"/>
    <w:rsid w:val="008D3FBB"/>
    <w:rsid w:val="008D48ED"/>
    <w:rsid w:val="008D6E7F"/>
    <w:rsid w:val="008D783B"/>
    <w:rsid w:val="008E288A"/>
    <w:rsid w:val="008E3D0C"/>
    <w:rsid w:val="008E6D34"/>
    <w:rsid w:val="008F078B"/>
    <w:rsid w:val="008F0F5D"/>
    <w:rsid w:val="008F153E"/>
    <w:rsid w:val="008F2064"/>
    <w:rsid w:val="008F2F5C"/>
    <w:rsid w:val="008F3103"/>
    <w:rsid w:val="00900469"/>
    <w:rsid w:val="00900D06"/>
    <w:rsid w:val="00902CF2"/>
    <w:rsid w:val="00903E34"/>
    <w:rsid w:val="00912F4B"/>
    <w:rsid w:val="00913C05"/>
    <w:rsid w:val="00917178"/>
    <w:rsid w:val="009179E0"/>
    <w:rsid w:val="009223EB"/>
    <w:rsid w:val="00923408"/>
    <w:rsid w:val="00924DB4"/>
    <w:rsid w:val="009258CF"/>
    <w:rsid w:val="0093228E"/>
    <w:rsid w:val="00933B11"/>
    <w:rsid w:val="00934533"/>
    <w:rsid w:val="0093644D"/>
    <w:rsid w:val="00937400"/>
    <w:rsid w:val="00940981"/>
    <w:rsid w:val="00941139"/>
    <w:rsid w:val="00942997"/>
    <w:rsid w:val="0094322D"/>
    <w:rsid w:val="00943FFF"/>
    <w:rsid w:val="009452C1"/>
    <w:rsid w:val="0095125C"/>
    <w:rsid w:val="00952E7D"/>
    <w:rsid w:val="0095515F"/>
    <w:rsid w:val="0095631D"/>
    <w:rsid w:val="00957BEB"/>
    <w:rsid w:val="00963F1C"/>
    <w:rsid w:val="00964471"/>
    <w:rsid w:val="009652A8"/>
    <w:rsid w:val="009703BC"/>
    <w:rsid w:val="00970DA3"/>
    <w:rsid w:val="009815C2"/>
    <w:rsid w:val="00981824"/>
    <w:rsid w:val="00982A11"/>
    <w:rsid w:val="00984774"/>
    <w:rsid w:val="00990A6E"/>
    <w:rsid w:val="00992F3B"/>
    <w:rsid w:val="0099388F"/>
    <w:rsid w:val="009A20D7"/>
    <w:rsid w:val="009A222B"/>
    <w:rsid w:val="009A53D0"/>
    <w:rsid w:val="009A68DA"/>
    <w:rsid w:val="009B02C7"/>
    <w:rsid w:val="009B166F"/>
    <w:rsid w:val="009B579F"/>
    <w:rsid w:val="009C1369"/>
    <w:rsid w:val="009C1B53"/>
    <w:rsid w:val="009C1C4E"/>
    <w:rsid w:val="009C308D"/>
    <w:rsid w:val="009C450D"/>
    <w:rsid w:val="009C4FDF"/>
    <w:rsid w:val="009C672C"/>
    <w:rsid w:val="009D4810"/>
    <w:rsid w:val="009D6263"/>
    <w:rsid w:val="009D68DF"/>
    <w:rsid w:val="009D7855"/>
    <w:rsid w:val="009E0860"/>
    <w:rsid w:val="009E09C6"/>
    <w:rsid w:val="009E260E"/>
    <w:rsid w:val="009E66A9"/>
    <w:rsid w:val="009E7CCD"/>
    <w:rsid w:val="009F0469"/>
    <w:rsid w:val="009F1762"/>
    <w:rsid w:val="00A01399"/>
    <w:rsid w:val="00A02657"/>
    <w:rsid w:val="00A03022"/>
    <w:rsid w:val="00A04644"/>
    <w:rsid w:val="00A07881"/>
    <w:rsid w:val="00A10770"/>
    <w:rsid w:val="00A11502"/>
    <w:rsid w:val="00A12143"/>
    <w:rsid w:val="00A15827"/>
    <w:rsid w:val="00A163DA"/>
    <w:rsid w:val="00A17185"/>
    <w:rsid w:val="00A179F1"/>
    <w:rsid w:val="00A20EB0"/>
    <w:rsid w:val="00A23A44"/>
    <w:rsid w:val="00A24C48"/>
    <w:rsid w:val="00A26742"/>
    <w:rsid w:val="00A270DF"/>
    <w:rsid w:val="00A30578"/>
    <w:rsid w:val="00A31892"/>
    <w:rsid w:val="00A32CE9"/>
    <w:rsid w:val="00A35A7D"/>
    <w:rsid w:val="00A36041"/>
    <w:rsid w:val="00A4134A"/>
    <w:rsid w:val="00A417BF"/>
    <w:rsid w:val="00A45AAB"/>
    <w:rsid w:val="00A469AA"/>
    <w:rsid w:val="00A46D22"/>
    <w:rsid w:val="00A50C3F"/>
    <w:rsid w:val="00A54DAA"/>
    <w:rsid w:val="00A57856"/>
    <w:rsid w:val="00A6002E"/>
    <w:rsid w:val="00A622F5"/>
    <w:rsid w:val="00A62BFE"/>
    <w:rsid w:val="00A63976"/>
    <w:rsid w:val="00A648C3"/>
    <w:rsid w:val="00A653D5"/>
    <w:rsid w:val="00A66779"/>
    <w:rsid w:val="00A667D8"/>
    <w:rsid w:val="00A66CDF"/>
    <w:rsid w:val="00A67988"/>
    <w:rsid w:val="00A67D4F"/>
    <w:rsid w:val="00A71F39"/>
    <w:rsid w:val="00A72499"/>
    <w:rsid w:val="00A72B4F"/>
    <w:rsid w:val="00A73A3A"/>
    <w:rsid w:val="00A76CEF"/>
    <w:rsid w:val="00A85ADF"/>
    <w:rsid w:val="00A872F9"/>
    <w:rsid w:val="00A90A43"/>
    <w:rsid w:val="00A95490"/>
    <w:rsid w:val="00A9696A"/>
    <w:rsid w:val="00A97815"/>
    <w:rsid w:val="00AA0876"/>
    <w:rsid w:val="00AA22C3"/>
    <w:rsid w:val="00AA2D1F"/>
    <w:rsid w:val="00AA39E9"/>
    <w:rsid w:val="00AA46C6"/>
    <w:rsid w:val="00AA5CAF"/>
    <w:rsid w:val="00AA7346"/>
    <w:rsid w:val="00AB2BDF"/>
    <w:rsid w:val="00AB2D88"/>
    <w:rsid w:val="00AB309B"/>
    <w:rsid w:val="00AB3B22"/>
    <w:rsid w:val="00AB5546"/>
    <w:rsid w:val="00AB5E01"/>
    <w:rsid w:val="00AB7446"/>
    <w:rsid w:val="00AC1E7E"/>
    <w:rsid w:val="00AC219A"/>
    <w:rsid w:val="00AC28AC"/>
    <w:rsid w:val="00AC2C0C"/>
    <w:rsid w:val="00AC521B"/>
    <w:rsid w:val="00AC6A0C"/>
    <w:rsid w:val="00AD1728"/>
    <w:rsid w:val="00AD2069"/>
    <w:rsid w:val="00AD2A23"/>
    <w:rsid w:val="00AD3A5D"/>
    <w:rsid w:val="00AD431A"/>
    <w:rsid w:val="00AD542D"/>
    <w:rsid w:val="00AD5D85"/>
    <w:rsid w:val="00AD63D2"/>
    <w:rsid w:val="00AD6A15"/>
    <w:rsid w:val="00AD776F"/>
    <w:rsid w:val="00AE01E0"/>
    <w:rsid w:val="00AE3780"/>
    <w:rsid w:val="00AE4240"/>
    <w:rsid w:val="00AE4A9D"/>
    <w:rsid w:val="00AE4FF1"/>
    <w:rsid w:val="00AE6052"/>
    <w:rsid w:val="00AE6E5D"/>
    <w:rsid w:val="00AF1164"/>
    <w:rsid w:val="00AF2762"/>
    <w:rsid w:val="00AF311C"/>
    <w:rsid w:val="00AF64E5"/>
    <w:rsid w:val="00AF659C"/>
    <w:rsid w:val="00B000A4"/>
    <w:rsid w:val="00B017C5"/>
    <w:rsid w:val="00B01E3A"/>
    <w:rsid w:val="00B059D3"/>
    <w:rsid w:val="00B070ED"/>
    <w:rsid w:val="00B07841"/>
    <w:rsid w:val="00B11475"/>
    <w:rsid w:val="00B12959"/>
    <w:rsid w:val="00B134FD"/>
    <w:rsid w:val="00B14363"/>
    <w:rsid w:val="00B1445C"/>
    <w:rsid w:val="00B14DD2"/>
    <w:rsid w:val="00B15D05"/>
    <w:rsid w:val="00B15E95"/>
    <w:rsid w:val="00B23979"/>
    <w:rsid w:val="00B27E7E"/>
    <w:rsid w:val="00B3153B"/>
    <w:rsid w:val="00B3162E"/>
    <w:rsid w:val="00B37188"/>
    <w:rsid w:val="00B4267B"/>
    <w:rsid w:val="00B473AC"/>
    <w:rsid w:val="00B5050E"/>
    <w:rsid w:val="00B512DF"/>
    <w:rsid w:val="00B51311"/>
    <w:rsid w:val="00B52F87"/>
    <w:rsid w:val="00B530E9"/>
    <w:rsid w:val="00B54144"/>
    <w:rsid w:val="00B54B42"/>
    <w:rsid w:val="00B55725"/>
    <w:rsid w:val="00B55B45"/>
    <w:rsid w:val="00B617A0"/>
    <w:rsid w:val="00B61CAF"/>
    <w:rsid w:val="00B64FC3"/>
    <w:rsid w:val="00B714E3"/>
    <w:rsid w:val="00B71BB2"/>
    <w:rsid w:val="00B7220C"/>
    <w:rsid w:val="00B741D0"/>
    <w:rsid w:val="00B743EB"/>
    <w:rsid w:val="00B74AA3"/>
    <w:rsid w:val="00B74E13"/>
    <w:rsid w:val="00B75C7F"/>
    <w:rsid w:val="00B76B51"/>
    <w:rsid w:val="00B776DB"/>
    <w:rsid w:val="00B8052F"/>
    <w:rsid w:val="00B81B3F"/>
    <w:rsid w:val="00B81E83"/>
    <w:rsid w:val="00B82A44"/>
    <w:rsid w:val="00B8419D"/>
    <w:rsid w:val="00B912DB"/>
    <w:rsid w:val="00B917B9"/>
    <w:rsid w:val="00B91AB5"/>
    <w:rsid w:val="00B91F65"/>
    <w:rsid w:val="00B95283"/>
    <w:rsid w:val="00B96C34"/>
    <w:rsid w:val="00B96EA4"/>
    <w:rsid w:val="00B97B21"/>
    <w:rsid w:val="00BA2552"/>
    <w:rsid w:val="00BA7923"/>
    <w:rsid w:val="00BB1B94"/>
    <w:rsid w:val="00BB3F9B"/>
    <w:rsid w:val="00BC031C"/>
    <w:rsid w:val="00BC10B6"/>
    <w:rsid w:val="00BC11CA"/>
    <w:rsid w:val="00BC2C3A"/>
    <w:rsid w:val="00BC6321"/>
    <w:rsid w:val="00BC66F9"/>
    <w:rsid w:val="00BC670B"/>
    <w:rsid w:val="00BC6C1F"/>
    <w:rsid w:val="00BD0042"/>
    <w:rsid w:val="00BD2DF5"/>
    <w:rsid w:val="00BD3845"/>
    <w:rsid w:val="00BD4CAD"/>
    <w:rsid w:val="00BD55D9"/>
    <w:rsid w:val="00BE128E"/>
    <w:rsid w:val="00BE132D"/>
    <w:rsid w:val="00BE28A3"/>
    <w:rsid w:val="00BE66A6"/>
    <w:rsid w:val="00BF17FE"/>
    <w:rsid w:val="00BF41F6"/>
    <w:rsid w:val="00BF425F"/>
    <w:rsid w:val="00BF4E30"/>
    <w:rsid w:val="00BF6749"/>
    <w:rsid w:val="00BF6A39"/>
    <w:rsid w:val="00C013CA"/>
    <w:rsid w:val="00C031DD"/>
    <w:rsid w:val="00C039C8"/>
    <w:rsid w:val="00C04263"/>
    <w:rsid w:val="00C05BC2"/>
    <w:rsid w:val="00C05E5D"/>
    <w:rsid w:val="00C0672D"/>
    <w:rsid w:val="00C067B9"/>
    <w:rsid w:val="00C06B33"/>
    <w:rsid w:val="00C123EA"/>
    <w:rsid w:val="00C135BA"/>
    <w:rsid w:val="00C15049"/>
    <w:rsid w:val="00C160BE"/>
    <w:rsid w:val="00C2148F"/>
    <w:rsid w:val="00C21E0C"/>
    <w:rsid w:val="00C23CBB"/>
    <w:rsid w:val="00C321CC"/>
    <w:rsid w:val="00C35EFF"/>
    <w:rsid w:val="00C37FC3"/>
    <w:rsid w:val="00C41F51"/>
    <w:rsid w:val="00C43571"/>
    <w:rsid w:val="00C45072"/>
    <w:rsid w:val="00C50611"/>
    <w:rsid w:val="00C50F5C"/>
    <w:rsid w:val="00C51790"/>
    <w:rsid w:val="00C5311B"/>
    <w:rsid w:val="00C535E2"/>
    <w:rsid w:val="00C54BB1"/>
    <w:rsid w:val="00C56C19"/>
    <w:rsid w:val="00C56CB5"/>
    <w:rsid w:val="00C6312E"/>
    <w:rsid w:val="00C6446D"/>
    <w:rsid w:val="00C65FCB"/>
    <w:rsid w:val="00C708C3"/>
    <w:rsid w:val="00C7143E"/>
    <w:rsid w:val="00C72DCE"/>
    <w:rsid w:val="00C72E95"/>
    <w:rsid w:val="00C7325E"/>
    <w:rsid w:val="00C743CB"/>
    <w:rsid w:val="00C81096"/>
    <w:rsid w:val="00C817D9"/>
    <w:rsid w:val="00C81F1D"/>
    <w:rsid w:val="00C83676"/>
    <w:rsid w:val="00C83A38"/>
    <w:rsid w:val="00C86A1A"/>
    <w:rsid w:val="00C9031D"/>
    <w:rsid w:val="00C913BC"/>
    <w:rsid w:val="00C92953"/>
    <w:rsid w:val="00C9422D"/>
    <w:rsid w:val="00C978E2"/>
    <w:rsid w:val="00C97AC5"/>
    <w:rsid w:val="00CA0291"/>
    <w:rsid w:val="00CA0852"/>
    <w:rsid w:val="00CA3B63"/>
    <w:rsid w:val="00CA4845"/>
    <w:rsid w:val="00CB0404"/>
    <w:rsid w:val="00CB0689"/>
    <w:rsid w:val="00CB0DF3"/>
    <w:rsid w:val="00CB339F"/>
    <w:rsid w:val="00CB621C"/>
    <w:rsid w:val="00CB6C19"/>
    <w:rsid w:val="00CC56A9"/>
    <w:rsid w:val="00CD184D"/>
    <w:rsid w:val="00CD1DFF"/>
    <w:rsid w:val="00CD431C"/>
    <w:rsid w:val="00CD49F3"/>
    <w:rsid w:val="00CD7935"/>
    <w:rsid w:val="00CD7950"/>
    <w:rsid w:val="00CD7B46"/>
    <w:rsid w:val="00CE4378"/>
    <w:rsid w:val="00CE46E8"/>
    <w:rsid w:val="00CE4DE9"/>
    <w:rsid w:val="00CE60A1"/>
    <w:rsid w:val="00CE7852"/>
    <w:rsid w:val="00CF0351"/>
    <w:rsid w:val="00CF428C"/>
    <w:rsid w:val="00CF4DDE"/>
    <w:rsid w:val="00CF6365"/>
    <w:rsid w:val="00D00998"/>
    <w:rsid w:val="00D00F38"/>
    <w:rsid w:val="00D01C5D"/>
    <w:rsid w:val="00D03D27"/>
    <w:rsid w:val="00D03D78"/>
    <w:rsid w:val="00D0537A"/>
    <w:rsid w:val="00D12F36"/>
    <w:rsid w:val="00D17264"/>
    <w:rsid w:val="00D220E0"/>
    <w:rsid w:val="00D252E5"/>
    <w:rsid w:val="00D26941"/>
    <w:rsid w:val="00D278C0"/>
    <w:rsid w:val="00D27A1C"/>
    <w:rsid w:val="00D308D8"/>
    <w:rsid w:val="00D312FB"/>
    <w:rsid w:val="00D32237"/>
    <w:rsid w:val="00D3271E"/>
    <w:rsid w:val="00D3300A"/>
    <w:rsid w:val="00D334A0"/>
    <w:rsid w:val="00D375CC"/>
    <w:rsid w:val="00D40CCC"/>
    <w:rsid w:val="00D42633"/>
    <w:rsid w:val="00D427AD"/>
    <w:rsid w:val="00D4341E"/>
    <w:rsid w:val="00D43CD1"/>
    <w:rsid w:val="00D44147"/>
    <w:rsid w:val="00D4463A"/>
    <w:rsid w:val="00D47885"/>
    <w:rsid w:val="00D4798B"/>
    <w:rsid w:val="00D50135"/>
    <w:rsid w:val="00D51B9E"/>
    <w:rsid w:val="00D51C46"/>
    <w:rsid w:val="00D55DCB"/>
    <w:rsid w:val="00D55ECA"/>
    <w:rsid w:val="00D564A2"/>
    <w:rsid w:val="00D56576"/>
    <w:rsid w:val="00D569F3"/>
    <w:rsid w:val="00D613EB"/>
    <w:rsid w:val="00D6167E"/>
    <w:rsid w:val="00D62744"/>
    <w:rsid w:val="00D64415"/>
    <w:rsid w:val="00D64617"/>
    <w:rsid w:val="00D65589"/>
    <w:rsid w:val="00D72E7C"/>
    <w:rsid w:val="00D73374"/>
    <w:rsid w:val="00D737F1"/>
    <w:rsid w:val="00D776A2"/>
    <w:rsid w:val="00D77ADF"/>
    <w:rsid w:val="00D77DA4"/>
    <w:rsid w:val="00D80216"/>
    <w:rsid w:val="00D815FE"/>
    <w:rsid w:val="00D830D3"/>
    <w:rsid w:val="00D84AC9"/>
    <w:rsid w:val="00D86E5A"/>
    <w:rsid w:val="00D87228"/>
    <w:rsid w:val="00D9055C"/>
    <w:rsid w:val="00D90A78"/>
    <w:rsid w:val="00D93D8E"/>
    <w:rsid w:val="00D96600"/>
    <w:rsid w:val="00D96894"/>
    <w:rsid w:val="00DA0611"/>
    <w:rsid w:val="00DA1168"/>
    <w:rsid w:val="00DA2778"/>
    <w:rsid w:val="00DA3CC4"/>
    <w:rsid w:val="00DA6AD3"/>
    <w:rsid w:val="00DA7FBE"/>
    <w:rsid w:val="00DB4902"/>
    <w:rsid w:val="00DC0F0F"/>
    <w:rsid w:val="00DC5BEC"/>
    <w:rsid w:val="00DC5D92"/>
    <w:rsid w:val="00DC725A"/>
    <w:rsid w:val="00DD0296"/>
    <w:rsid w:val="00DD035E"/>
    <w:rsid w:val="00DD057A"/>
    <w:rsid w:val="00DD0A1C"/>
    <w:rsid w:val="00DD623F"/>
    <w:rsid w:val="00DD6FCD"/>
    <w:rsid w:val="00DD7064"/>
    <w:rsid w:val="00DE16A1"/>
    <w:rsid w:val="00DE3340"/>
    <w:rsid w:val="00DE39A0"/>
    <w:rsid w:val="00DE3EF0"/>
    <w:rsid w:val="00DE40C5"/>
    <w:rsid w:val="00DE4244"/>
    <w:rsid w:val="00DE59B4"/>
    <w:rsid w:val="00DE68AB"/>
    <w:rsid w:val="00DF2BA9"/>
    <w:rsid w:val="00DF32DA"/>
    <w:rsid w:val="00DF49CD"/>
    <w:rsid w:val="00DF4E48"/>
    <w:rsid w:val="00DF4E5C"/>
    <w:rsid w:val="00DF64E7"/>
    <w:rsid w:val="00E01976"/>
    <w:rsid w:val="00E03114"/>
    <w:rsid w:val="00E034F7"/>
    <w:rsid w:val="00E0637D"/>
    <w:rsid w:val="00E07E99"/>
    <w:rsid w:val="00E10BD7"/>
    <w:rsid w:val="00E12EAB"/>
    <w:rsid w:val="00E20091"/>
    <w:rsid w:val="00E207FE"/>
    <w:rsid w:val="00E21F8C"/>
    <w:rsid w:val="00E2435C"/>
    <w:rsid w:val="00E249B2"/>
    <w:rsid w:val="00E26496"/>
    <w:rsid w:val="00E27466"/>
    <w:rsid w:val="00E30AF7"/>
    <w:rsid w:val="00E346C8"/>
    <w:rsid w:val="00E34968"/>
    <w:rsid w:val="00E417FD"/>
    <w:rsid w:val="00E44628"/>
    <w:rsid w:val="00E44D7A"/>
    <w:rsid w:val="00E4526D"/>
    <w:rsid w:val="00E45F2B"/>
    <w:rsid w:val="00E46307"/>
    <w:rsid w:val="00E46928"/>
    <w:rsid w:val="00E4782A"/>
    <w:rsid w:val="00E47A9A"/>
    <w:rsid w:val="00E53F9A"/>
    <w:rsid w:val="00E623A7"/>
    <w:rsid w:val="00E62FD9"/>
    <w:rsid w:val="00E65726"/>
    <w:rsid w:val="00E663E9"/>
    <w:rsid w:val="00E66974"/>
    <w:rsid w:val="00E66FC3"/>
    <w:rsid w:val="00E670A7"/>
    <w:rsid w:val="00E67998"/>
    <w:rsid w:val="00E70144"/>
    <w:rsid w:val="00E71652"/>
    <w:rsid w:val="00E72D2D"/>
    <w:rsid w:val="00E7495F"/>
    <w:rsid w:val="00E804E3"/>
    <w:rsid w:val="00E8051C"/>
    <w:rsid w:val="00E84374"/>
    <w:rsid w:val="00E84556"/>
    <w:rsid w:val="00E8548B"/>
    <w:rsid w:val="00E86D59"/>
    <w:rsid w:val="00E90021"/>
    <w:rsid w:val="00E902B8"/>
    <w:rsid w:val="00E90A22"/>
    <w:rsid w:val="00E92BAE"/>
    <w:rsid w:val="00E93027"/>
    <w:rsid w:val="00E935AC"/>
    <w:rsid w:val="00E961FF"/>
    <w:rsid w:val="00E97E74"/>
    <w:rsid w:val="00EA019E"/>
    <w:rsid w:val="00EA0269"/>
    <w:rsid w:val="00EA144B"/>
    <w:rsid w:val="00EA1695"/>
    <w:rsid w:val="00EA2683"/>
    <w:rsid w:val="00EA37C4"/>
    <w:rsid w:val="00EB10E9"/>
    <w:rsid w:val="00EB12B2"/>
    <w:rsid w:val="00EB1A9A"/>
    <w:rsid w:val="00EB49D7"/>
    <w:rsid w:val="00EB6BB6"/>
    <w:rsid w:val="00EB71AE"/>
    <w:rsid w:val="00EC16F1"/>
    <w:rsid w:val="00EC22DD"/>
    <w:rsid w:val="00EC43EE"/>
    <w:rsid w:val="00EC5B1C"/>
    <w:rsid w:val="00EC5F29"/>
    <w:rsid w:val="00EC6CB5"/>
    <w:rsid w:val="00EC74E5"/>
    <w:rsid w:val="00EC7820"/>
    <w:rsid w:val="00ED0B48"/>
    <w:rsid w:val="00ED2BE4"/>
    <w:rsid w:val="00ED3F71"/>
    <w:rsid w:val="00ED76F8"/>
    <w:rsid w:val="00ED7DD3"/>
    <w:rsid w:val="00EE3986"/>
    <w:rsid w:val="00F0327C"/>
    <w:rsid w:val="00F032F5"/>
    <w:rsid w:val="00F04B03"/>
    <w:rsid w:val="00F05519"/>
    <w:rsid w:val="00F0717D"/>
    <w:rsid w:val="00F11D20"/>
    <w:rsid w:val="00F141AF"/>
    <w:rsid w:val="00F14D96"/>
    <w:rsid w:val="00F202A3"/>
    <w:rsid w:val="00F20619"/>
    <w:rsid w:val="00F22BC9"/>
    <w:rsid w:val="00F23BDF"/>
    <w:rsid w:val="00F25AE2"/>
    <w:rsid w:val="00F261CF"/>
    <w:rsid w:val="00F264DD"/>
    <w:rsid w:val="00F26E38"/>
    <w:rsid w:val="00F3015C"/>
    <w:rsid w:val="00F302F1"/>
    <w:rsid w:val="00F33412"/>
    <w:rsid w:val="00F33F0C"/>
    <w:rsid w:val="00F35BA3"/>
    <w:rsid w:val="00F35E0C"/>
    <w:rsid w:val="00F374D9"/>
    <w:rsid w:val="00F44ACC"/>
    <w:rsid w:val="00F44B83"/>
    <w:rsid w:val="00F521ED"/>
    <w:rsid w:val="00F52D49"/>
    <w:rsid w:val="00F53A0C"/>
    <w:rsid w:val="00F5414C"/>
    <w:rsid w:val="00F57D45"/>
    <w:rsid w:val="00F625D3"/>
    <w:rsid w:val="00F62983"/>
    <w:rsid w:val="00F63617"/>
    <w:rsid w:val="00F64665"/>
    <w:rsid w:val="00F65E78"/>
    <w:rsid w:val="00F715D4"/>
    <w:rsid w:val="00F73FED"/>
    <w:rsid w:val="00F74BDF"/>
    <w:rsid w:val="00F77EB1"/>
    <w:rsid w:val="00F8074E"/>
    <w:rsid w:val="00F82CA7"/>
    <w:rsid w:val="00F846F4"/>
    <w:rsid w:val="00F87A5A"/>
    <w:rsid w:val="00F900FB"/>
    <w:rsid w:val="00F92D16"/>
    <w:rsid w:val="00F92FB1"/>
    <w:rsid w:val="00F932FF"/>
    <w:rsid w:val="00F947C0"/>
    <w:rsid w:val="00F96A9A"/>
    <w:rsid w:val="00FA1CF3"/>
    <w:rsid w:val="00FA2461"/>
    <w:rsid w:val="00FA25FA"/>
    <w:rsid w:val="00FA503A"/>
    <w:rsid w:val="00FA6569"/>
    <w:rsid w:val="00FB37E0"/>
    <w:rsid w:val="00FB3E8E"/>
    <w:rsid w:val="00FB3F12"/>
    <w:rsid w:val="00FB4541"/>
    <w:rsid w:val="00FB4BD6"/>
    <w:rsid w:val="00FC0B2C"/>
    <w:rsid w:val="00FC0BED"/>
    <w:rsid w:val="00FC1096"/>
    <w:rsid w:val="00FC11B5"/>
    <w:rsid w:val="00FD054C"/>
    <w:rsid w:val="00FD2317"/>
    <w:rsid w:val="00FD5480"/>
    <w:rsid w:val="00FD73B9"/>
    <w:rsid w:val="00FE08D9"/>
    <w:rsid w:val="00FE0C04"/>
    <w:rsid w:val="00FE1E89"/>
    <w:rsid w:val="00FE3147"/>
    <w:rsid w:val="00FE5215"/>
    <w:rsid w:val="00FE55DF"/>
    <w:rsid w:val="00FE56EE"/>
    <w:rsid w:val="00FE6282"/>
    <w:rsid w:val="00FE6C87"/>
    <w:rsid w:val="00FE7602"/>
    <w:rsid w:val="00FF0331"/>
    <w:rsid w:val="00FF0678"/>
    <w:rsid w:val="00FF0862"/>
    <w:rsid w:val="00FF141B"/>
    <w:rsid w:val="00FF4A0D"/>
    <w:rsid w:val="00FF7442"/>
    <w:rsid w:val="00FF755C"/>
    <w:rsid w:val="01853E11"/>
    <w:rsid w:val="039A387C"/>
    <w:rsid w:val="03E424F8"/>
    <w:rsid w:val="04483EBD"/>
    <w:rsid w:val="04F571B6"/>
    <w:rsid w:val="053E135D"/>
    <w:rsid w:val="06DF0236"/>
    <w:rsid w:val="078801B7"/>
    <w:rsid w:val="08283748"/>
    <w:rsid w:val="086F7A2A"/>
    <w:rsid w:val="08BF0F58"/>
    <w:rsid w:val="0B32416D"/>
    <w:rsid w:val="0C791D73"/>
    <w:rsid w:val="0FE178B5"/>
    <w:rsid w:val="12823CDB"/>
    <w:rsid w:val="12CF6D27"/>
    <w:rsid w:val="14AC31F7"/>
    <w:rsid w:val="19F3217B"/>
    <w:rsid w:val="1A4048BC"/>
    <w:rsid w:val="1B1779DC"/>
    <w:rsid w:val="1CC916E6"/>
    <w:rsid w:val="1DE077A9"/>
    <w:rsid w:val="1E9811D0"/>
    <w:rsid w:val="1EF11ABB"/>
    <w:rsid w:val="23416763"/>
    <w:rsid w:val="23CC3440"/>
    <w:rsid w:val="24664A7E"/>
    <w:rsid w:val="26682730"/>
    <w:rsid w:val="28330FE4"/>
    <w:rsid w:val="2A420242"/>
    <w:rsid w:val="2B1C4F36"/>
    <w:rsid w:val="2DEC6810"/>
    <w:rsid w:val="303628FC"/>
    <w:rsid w:val="30F1651D"/>
    <w:rsid w:val="31927FEB"/>
    <w:rsid w:val="34453406"/>
    <w:rsid w:val="34A1341C"/>
    <w:rsid w:val="356C7FB1"/>
    <w:rsid w:val="36BB1824"/>
    <w:rsid w:val="383B2EA0"/>
    <w:rsid w:val="39D42649"/>
    <w:rsid w:val="3AB807D8"/>
    <w:rsid w:val="3DBD528A"/>
    <w:rsid w:val="3E3E1E00"/>
    <w:rsid w:val="3E55576B"/>
    <w:rsid w:val="3F0E7265"/>
    <w:rsid w:val="3F473ED8"/>
    <w:rsid w:val="417B60BB"/>
    <w:rsid w:val="421B7F33"/>
    <w:rsid w:val="43140575"/>
    <w:rsid w:val="440661BD"/>
    <w:rsid w:val="444C6D9A"/>
    <w:rsid w:val="4607117C"/>
    <w:rsid w:val="465A143B"/>
    <w:rsid w:val="46CC614A"/>
    <w:rsid w:val="480558D9"/>
    <w:rsid w:val="4A003601"/>
    <w:rsid w:val="4CD916C8"/>
    <w:rsid w:val="4D4940ED"/>
    <w:rsid w:val="5164247E"/>
    <w:rsid w:val="52434654"/>
    <w:rsid w:val="572D34AE"/>
    <w:rsid w:val="59F14D15"/>
    <w:rsid w:val="5A4649ED"/>
    <w:rsid w:val="5A946D81"/>
    <w:rsid w:val="5ADF3617"/>
    <w:rsid w:val="5CE774E5"/>
    <w:rsid w:val="5FE315A4"/>
    <w:rsid w:val="61F10F36"/>
    <w:rsid w:val="64370110"/>
    <w:rsid w:val="69B30178"/>
    <w:rsid w:val="6A464C09"/>
    <w:rsid w:val="6B861A5B"/>
    <w:rsid w:val="6CB3455E"/>
    <w:rsid w:val="6CEF52DD"/>
    <w:rsid w:val="6E0F4FA1"/>
    <w:rsid w:val="70F3572C"/>
    <w:rsid w:val="71597917"/>
    <w:rsid w:val="736003DF"/>
    <w:rsid w:val="73B5457E"/>
    <w:rsid w:val="76A77349"/>
    <w:rsid w:val="77365F60"/>
    <w:rsid w:val="77AF3F6D"/>
    <w:rsid w:val="78480C06"/>
    <w:rsid w:val="79FC1788"/>
    <w:rsid w:val="7AF53C08"/>
    <w:rsid w:val="7EA400C4"/>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7"/>
    <w:semiHidden/>
    <w:unhideWhenUsed/>
    <w:qFormat/>
    <w:uiPriority w:val="99"/>
    <w:pPr>
      <w:spacing w:line="240" w:lineRule="auto"/>
    </w:pPr>
    <w:rPr>
      <w:sz w:val="18"/>
      <w:szCs w:val="18"/>
    </w:rPr>
  </w:style>
  <w:style w:type="paragraph" w:styleId="5">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qFormat/>
    <w:uiPriority w:val="99"/>
    <w:pPr>
      <w:tabs>
        <w:tab w:val="center" w:pos="4153"/>
        <w:tab w:val="right" w:pos="8306"/>
      </w:tabs>
      <w:snapToGrid w:val="0"/>
      <w:spacing w:line="240" w:lineRule="atLeast"/>
      <w:jc w:val="center"/>
    </w:pPr>
    <w:rPr>
      <w:sz w:val="18"/>
      <w:szCs w:val="18"/>
    </w:rPr>
  </w:style>
  <w:style w:type="paragraph" w:styleId="7">
    <w:name w:val="Title"/>
    <w:basedOn w:val="1"/>
    <w:next w:val="1"/>
    <w:link w:val="19"/>
    <w:qFormat/>
    <w:uiPriority w:val="10"/>
    <w:pPr>
      <w:spacing w:before="240" w:after="60" w:line="240" w:lineRule="auto"/>
      <w:jc w:val="center"/>
      <w:outlineLvl w:val="0"/>
    </w:pPr>
    <w:rPr>
      <w:rFonts w:eastAsia="宋体" w:asciiTheme="majorHAnsi" w:hAnsiTheme="majorHAnsi" w:cstheme="majorBidi"/>
      <w:b/>
      <w:bCs/>
      <w:szCs w:val="32"/>
      <w14:ligatures w14:val="none"/>
    </w:rPr>
  </w:style>
  <w:style w:type="paragraph" w:styleId="8">
    <w:name w:val="annotation subject"/>
    <w:basedOn w:val="3"/>
    <w:next w:val="3"/>
    <w:link w:val="21"/>
    <w:semiHidden/>
    <w:unhideWhenUsed/>
    <w:qFormat/>
    <w:uiPriority w:val="99"/>
    <w:rPr>
      <w:b/>
      <w:bCs/>
    </w:rPr>
  </w:style>
  <w:style w:type="character" w:styleId="11">
    <w:name w:val="Hyperlink"/>
    <w:basedOn w:val="10"/>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paragraph" w:styleId="13">
    <w:name w:val="List Paragraph"/>
    <w:basedOn w:val="1"/>
    <w:qFormat/>
    <w:uiPriority w:val="99"/>
    <w:pPr>
      <w:ind w:firstLine="420" w:firstLineChars="200"/>
    </w:pPr>
  </w:style>
  <w:style w:type="character" w:customStyle="1" w:styleId="14">
    <w:name w:val="页眉 字符"/>
    <w:basedOn w:val="10"/>
    <w:link w:val="6"/>
    <w:qFormat/>
    <w:uiPriority w:val="99"/>
    <w:rPr>
      <w:rFonts w:ascii="Times New Roman" w:hAnsi="Times New Roman" w:eastAsia="仿宋_GB2312"/>
      <w:sz w:val="18"/>
      <w:szCs w:val="18"/>
    </w:rPr>
  </w:style>
  <w:style w:type="character" w:customStyle="1" w:styleId="15">
    <w:name w:val="页脚 字符"/>
    <w:basedOn w:val="10"/>
    <w:link w:val="5"/>
    <w:qFormat/>
    <w:uiPriority w:val="99"/>
    <w:rPr>
      <w:rFonts w:ascii="Times New Roman" w:hAnsi="Times New Roman" w:eastAsia="仿宋_GB2312"/>
      <w:sz w:val="18"/>
      <w:szCs w:val="18"/>
    </w:rPr>
  </w:style>
  <w:style w:type="paragraph" w:customStyle="1" w:styleId="16">
    <w:name w:val="修订1"/>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17">
    <w:name w:val="修订2"/>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18">
    <w:name w:val="修订3"/>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19">
    <w:name w:val="标题 字符"/>
    <w:basedOn w:val="10"/>
    <w:link w:val="7"/>
    <w:qFormat/>
    <w:uiPriority w:val="10"/>
    <w:rPr>
      <w:rFonts w:eastAsia="宋体" w:asciiTheme="majorHAnsi" w:hAnsiTheme="majorHAnsi" w:cstheme="majorBidi"/>
      <w:b/>
      <w:bCs/>
      <w:kern w:val="2"/>
      <w:sz w:val="32"/>
      <w:szCs w:val="32"/>
    </w:rPr>
  </w:style>
  <w:style w:type="character" w:customStyle="1" w:styleId="20">
    <w:name w:val="批注文字 字符"/>
    <w:basedOn w:val="10"/>
    <w:link w:val="3"/>
    <w:qFormat/>
    <w:uiPriority w:val="99"/>
    <w:rPr>
      <w:rFonts w:ascii="Times New Roman" w:hAnsi="Times New Roman" w:eastAsia="仿宋_GB2312"/>
      <w:kern w:val="2"/>
      <w:sz w:val="32"/>
      <w:szCs w:val="22"/>
      <w14:ligatures w14:val="standardContextual"/>
    </w:rPr>
  </w:style>
  <w:style w:type="character" w:customStyle="1" w:styleId="21">
    <w:name w:val="批注主题 字符"/>
    <w:basedOn w:val="20"/>
    <w:link w:val="8"/>
    <w:semiHidden/>
    <w:qFormat/>
    <w:uiPriority w:val="99"/>
    <w:rPr>
      <w:rFonts w:ascii="Times New Roman" w:hAnsi="Times New Roman" w:eastAsia="仿宋_GB2312"/>
      <w:b/>
      <w:bCs/>
      <w:kern w:val="2"/>
      <w:sz w:val="32"/>
      <w:szCs w:val="22"/>
      <w14:ligatures w14:val="standardContextual"/>
    </w:rPr>
  </w:style>
  <w:style w:type="paragraph" w:customStyle="1" w:styleId="22">
    <w:name w:val="修订4"/>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23">
    <w:name w:val="修订5"/>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24">
    <w:name w:val="BodyText"/>
    <w:qFormat/>
    <w:uiPriority w:val="0"/>
    <w:pPr>
      <w:widowControl w:val="0"/>
      <w:jc w:val="both"/>
      <w:textAlignment w:val="baseline"/>
    </w:pPr>
    <w:rPr>
      <w:rFonts w:ascii="Calibri" w:hAnsi="Calibri" w:eastAsia="宋体" w:cs="Times New Roman"/>
      <w:kern w:val="2"/>
      <w:sz w:val="21"/>
      <w:szCs w:val="24"/>
      <w:lang w:val="en-US" w:eastAsia="zh-CN" w:bidi="ar-SA"/>
    </w:rPr>
  </w:style>
  <w:style w:type="paragraph" w:customStyle="1" w:styleId="25">
    <w:name w:val="修订6"/>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26">
    <w:name w:val="修订7"/>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27">
    <w:name w:val="批注框文本 字符"/>
    <w:basedOn w:val="10"/>
    <w:link w:val="4"/>
    <w:semiHidden/>
    <w:qFormat/>
    <w:uiPriority w:val="99"/>
    <w:rPr>
      <w:rFonts w:eastAsia="仿宋_GB2312" w:cstheme="minorBidi"/>
      <w:kern w:val="2"/>
      <w:sz w:val="18"/>
      <w:szCs w:val="18"/>
      <w14:ligatures w14:val="standardContextual"/>
    </w:rPr>
  </w:style>
  <w:style w:type="paragraph" w:customStyle="1" w:styleId="28">
    <w:name w:val="修订8"/>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29">
    <w:name w:val="未处理的提及1"/>
    <w:basedOn w:val="10"/>
    <w:semiHidden/>
    <w:unhideWhenUsed/>
    <w:qFormat/>
    <w:uiPriority w:val="99"/>
    <w:rPr>
      <w:color w:val="605E5C"/>
      <w:shd w:val="clear" w:color="auto" w:fill="E1DFDD"/>
    </w:rPr>
  </w:style>
  <w:style w:type="paragraph" w:customStyle="1" w:styleId="30">
    <w:name w:val="修订9"/>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31">
    <w:name w:val="修订10"/>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32">
    <w:name w:val="修订11"/>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33">
    <w:name w:val="Revision"/>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2480</Words>
  <Characters>2519</Characters>
  <Lines>18</Lines>
  <Paragraphs>5</Paragraphs>
  <TotalTime>2</TotalTime>
  <ScaleCrop>false</ScaleCrop>
  <LinksUpToDate>false</LinksUpToDate>
  <CharactersWithSpaces>2526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2025-09-17T09:55:00Z</dcterms:created>
  <dc:creator>母基金组</dc:creator>
  <cp:lastModifiedBy>邓琳</cp:lastModifiedBy>
  <cp:lastPrinted>2025-08-19T02:49:00Z</cp:lastPrinted>
  <dcterms:modified xsi:type="dcterms:W3CDTF">2025-09-17T10:04:09Z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EE28C0DB495649D08A06F58A7340C26B_13</vt:lpwstr>
  </property>
  <property fmtid="{D5CDD505-2E9C-101B-9397-08002B2CF9AE}" pid="4" name="KSOTemplateDocerSaveRecord">
    <vt:lpwstr>eyJoZGlkIjoiODMxY2RlZjU2M2M2NWMyZTg0YjVjMzY4YjI2NWI2N2EiLCJ1c2VySWQiOiIyMzUxMDEwMDYifQ==</vt:lpwstr>
  </property>
</Properties>
</file>