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D51E1">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rPr>
        <w:t>中原科技城种子基金子基金申报指南</w:t>
      </w:r>
    </w:p>
    <w:p w14:paraId="61A73618">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sz w:val="44"/>
          <w:szCs w:val="44"/>
          <w:highlight w:val="none"/>
        </w:rPr>
      </w:pPr>
    </w:p>
    <w:p w14:paraId="3D0C7B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Times New Roman"/>
          <w:szCs w:val="24"/>
          <w:highlight w:val="none"/>
        </w:rPr>
      </w:pPr>
      <w:r>
        <w:rPr>
          <w:rFonts w:hint="eastAsia" w:ascii="Times New Roman" w:hAnsi="Times New Roman" w:eastAsia="黑体" w:cs="Times New Roman"/>
          <w:szCs w:val="24"/>
          <w:highlight w:val="none"/>
          <w:lang w:val="en-US" w:eastAsia="zh-CN"/>
        </w:rPr>
        <w:t>一</w:t>
      </w:r>
      <w:r>
        <w:rPr>
          <w:rFonts w:hint="eastAsia" w:ascii="Times New Roman" w:hAnsi="Times New Roman" w:eastAsia="黑体" w:cs="Times New Roman"/>
          <w:szCs w:val="24"/>
          <w:highlight w:val="none"/>
        </w:rPr>
        <w:t>、子基金管理机构要求</w:t>
      </w:r>
    </w:p>
    <w:p w14:paraId="226F1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（一）注册资本。</w:t>
      </w:r>
      <w:r>
        <w:rPr>
          <w:rFonts w:hint="eastAsia" w:ascii="Times New Roman" w:hAnsi="Times New Roman" w:eastAsia="仿宋_GB2312" w:cs="Times New Roman"/>
          <w:sz w:val="32"/>
          <w:szCs w:val="32"/>
          <w:shd w:val="clear" w:color="auto" w:fill="auto"/>
          <w:lang w:val="en-US" w:eastAsia="zh-CN"/>
        </w:rPr>
        <w:t>在中华人民共和国境内依法设立，实缴资本不低于1000万元。</w:t>
      </w:r>
    </w:p>
    <w:p w14:paraId="2E466A45">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（二）管理资质。</w:t>
      </w:r>
      <w:r>
        <w:rPr>
          <w:rFonts w:hint="eastAsia" w:ascii="Times New Roman" w:hAnsi="Times New Roman" w:eastAsia="仿宋_GB2312" w:cs="Times New Roman"/>
          <w:sz w:val="32"/>
          <w:szCs w:val="32"/>
          <w:shd w:val="clear" w:color="auto" w:fill="auto"/>
          <w:lang w:val="en-US" w:eastAsia="zh-CN"/>
        </w:rPr>
        <w:t>已在中国证券投资基金业协会完成登记。</w:t>
      </w:r>
    </w:p>
    <w:p w14:paraId="00B4511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shd w:val="clear" w:color="auto" w:fill="auto"/>
          <w:lang w:val="en-US" w:eastAsia="zh-CN"/>
        </w:rPr>
      </w:pPr>
      <w:r>
        <w:rPr>
          <w:rFonts w:hint="default" w:ascii="Times New Roman" w:hAnsi="Times New Roman" w:eastAsia="楷体_GB2312" w:cs="Times New Roman"/>
          <w:kern w:val="2"/>
          <w:sz w:val="32"/>
          <w:szCs w:val="32"/>
          <w:shd w:val="clear" w:color="auto" w:fill="auto"/>
          <w:lang w:val="en-US" w:eastAsia="zh-CN" w:bidi="ar-SA"/>
        </w:rPr>
        <w:t>（</w:t>
      </w:r>
      <w:r>
        <w:rPr>
          <w:rFonts w:hint="eastAsia" w:ascii="Times New Roman" w:hAnsi="Times New Roman" w:eastAsia="楷体_GB2312" w:cs="Times New Roman"/>
          <w:kern w:val="2"/>
          <w:sz w:val="32"/>
          <w:szCs w:val="32"/>
          <w:shd w:val="clear" w:color="auto" w:fill="auto"/>
          <w:lang w:val="en-US" w:eastAsia="zh-CN" w:bidi="ar-SA"/>
        </w:rPr>
        <w:t>三</w:t>
      </w:r>
      <w:r>
        <w:rPr>
          <w:rFonts w:hint="default" w:ascii="Times New Roman" w:hAnsi="Times New Roman" w:eastAsia="楷体_GB2312" w:cs="Times New Roman"/>
          <w:kern w:val="2"/>
          <w:sz w:val="32"/>
          <w:szCs w:val="32"/>
          <w:shd w:val="clear" w:color="auto" w:fill="auto"/>
          <w:lang w:val="en-US" w:eastAsia="zh-CN" w:bidi="ar-SA"/>
        </w:rPr>
        <w:t>）管理制度</w:t>
      </w:r>
      <w:r>
        <w:rPr>
          <w:rFonts w:hint="eastAsia" w:ascii="Times New Roman" w:hAnsi="Times New Roman" w:eastAsia="楷体_GB2312" w:cs="Times New Roman"/>
          <w:kern w:val="2"/>
          <w:sz w:val="32"/>
          <w:szCs w:val="32"/>
          <w:shd w:val="clear" w:color="auto" w:fill="auto"/>
          <w:lang w:val="en-US" w:eastAsia="zh-CN" w:bidi="ar-SA"/>
        </w:rPr>
        <w:t>。</w:t>
      </w:r>
      <w:r>
        <w:rPr>
          <w:rFonts w:hint="eastAsia" w:ascii="Times New Roman" w:hAnsi="Times New Roman" w:eastAsia="仿宋_GB2312" w:cs="Times New Roman"/>
          <w:b w:val="0"/>
          <w:bCs w:val="0"/>
          <w:sz w:val="32"/>
          <w:szCs w:val="32"/>
          <w:shd w:val="clear" w:color="auto" w:fill="auto"/>
          <w:lang w:val="en-US" w:eastAsia="zh-CN"/>
        </w:rPr>
        <w:t>管理和投资运作规范，具有健全的风险控制、财务管理、投资管理等各项内部控制制度。</w:t>
      </w:r>
    </w:p>
    <w:p w14:paraId="32B526C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（四）管理团队。</w:t>
      </w:r>
      <w:r>
        <w:rPr>
          <w:rFonts w:hint="eastAsia" w:ascii="Times New Roman" w:hAnsi="Times New Roman" w:eastAsia="仿宋_GB2312" w:cs="Times New Roman"/>
          <w:szCs w:val="32"/>
          <w:shd w:val="clear" w:color="auto" w:fill="auto"/>
          <w:lang w:val="en-US" w:eastAsia="zh-CN"/>
        </w:rPr>
        <w:t>子</w:t>
      </w:r>
      <w:r>
        <w:rPr>
          <w:rFonts w:hint="eastAsia" w:ascii="Times New Roman" w:hAnsi="Times New Roman" w:eastAsia="仿宋_GB2312" w:cs="Times New Roman"/>
          <w:b w:val="0"/>
          <w:bCs w:val="0"/>
          <w:sz w:val="32"/>
          <w:szCs w:val="32"/>
          <w:shd w:val="clear" w:color="auto" w:fill="auto"/>
          <w:lang w:val="en-US" w:eastAsia="zh-CN"/>
        </w:rPr>
        <w:t>基金管理机构应当至少有3名具备5年以上基金管理工作经验的高级管理人员。</w:t>
      </w:r>
    </w:p>
    <w:p w14:paraId="4E8B090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（五）成功案例。</w:t>
      </w:r>
      <w:r>
        <w:rPr>
          <w:rFonts w:hint="eastAsia" w:ascii="Times New Roman" w:hAnsi="Times New Roman" w:eastAsia="仿宋_GB2312" w:cs="Times New Roman"/>
          <w:szCs w:val="32"/>
          <w:shd w:val="clear" w:color="auto" w:fill="auto"/>
          <w:lang w:val="en-US" w:eastAsia="zh-CN"/>
        </w:rPr>
        <w:t>子</w:t>
      </w:r>
      <w:r>
        <w:rPr>
          <w:rFonts w:hint="eastAsia" w:ascii="Times New Roman" w:hAnsi="Times New Roman" w:eastAsia="仿宋_GB2312" w:cs="Times New Roman"/>
          <w:b w:val="0"/>
          <w:bCs w:val="0"/>
          <w:sz w:val="32"/>
          <w:szCs w:val="32"/>
          <w:shd w:val="clear" w:color="auto" w:fill="auto"/>
          <w:lang w:val="en-US" w:eastAsia="zh-CN"/>
        </w:rPr>
        <w:t>基金管理机构或高级管理人员团队须至少满足下列条件之一：</w:t>
      </w:r>
    </w:p>
    <w:p w14:paraId="6BB7FEF9">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kern w:val="2"/>
          <w:sz w:val="32"/>
          <w:szCs w:val="32"/>
          <w:shd w:val="clear" w:color="auto" w:fill="auto"/>
          <w:lang w:val="en-US" w:eastAsia="zh-CN" w:bidi="ar-SA"/>
        </w:rPr>
      </w:pPr>
      <w:r>
        <w:rPr>
          <w:rFonts w:hint="eastAsia" w:ascii="Times New Roman" w:hAnsi="Times New Roman" w:eastAsia="仿宋_GB2312" w:cs="Times New Roman"/>
          <w:b w:val="0"/>
          <w:bCs w:val="0"/>
          <w:kern w:val="2"/>
          <w:sz w:val="32"/>
          <w:szCs w:val="32"/>
          <w:shd w:val="clear" w:color="auto" w:fill="auto"/>
          <w:lang w:val="en-US" w:eastAsia="zh-CN" w:bidi="ar-SA"/>
        </w:rPr>
        <w:t>1.应</w:t>
      </w:r>
      <w:r>
        <w:rPr>
          <w:rFonts w:hint="default" w:ascii="Times New Roman" w:hAnsi="Times New Roman" w:eastAsia="仿宋_GB2312" w:cs="Times New Roman"/>
          <w:kern w:val="2"/>
          <w:sz w:val="32"/>
          <w:szCs w:val="32"/>
          <w:shd w:val="clear" w:color="auto" w:fill="auto"/>
          <w:lang w:val="en-US" w:eastAsia="zh-CN" w:bidi="ar-SA"/>
        </w:rPr>
        <w:t>至少有</w:t>
      </w:r>
      <w:r>
        <w:rPr>
          <w:rFonts w:hint="eastAsia" w:ascii="Times New Roman" w:hAnsi="Times New Roman" w:eastAsia="仿宋_GB2312" w:cs="Times New Roman"/>
          <w:kern w:val="2"/>
          <w:sz w:val="32"/>
          <w:szCs w:val="32"/>
          <w:shd w:val="clear" w:color="auto" w:fill="auto"/>
          <w:lang w:val="en-US" w:eastAsia="zh-CN" w:bidi="ar-SA"/>
        </w:rPr>
        <w:t>2</w:t>
      </w:r>
      <w:r>
        <w:rPr>
          <w:rFonts w:hint="default" w:ascii="Times New Roman" w:hAnsi="Times New Roman" w:eastAsia="仿宋_GB2312" w:cs="Times New Roman"/>
          <w:kern w:val="2"/>
          <w:sz w:val="32"/>
          <w:szCs w:val="32"/>
          <w:shd w:val="clear" w:color="auto" w:fill="auto"/>
          <w:lang w:val="en-US" w:eastAsia="zh-CN" w:bidi="ar-SA"/>
        </w:rPr>
        <w:t>个</w:t>
      </w:r>
      <w:r>
        <w:rPr>
          <w:rFonts w:hint="eastAsia" w:ascii="Times New Roman" w:hAnsi="Times New Roman" w:eastAsia="仿宋_GB2312" w:cs="Times New Roman"/>
          <w:kern w:val="2"/>
          <w:sz w:val="32"/>
          <w:szCs w:val="32"/>
          <w:shd w:val="clear" w:color="auto" w:fill="auto"/>
          <w:lang w:val="en-US" w:eastAsia="zh-CN" w:bidi="ar-SA"/>
        </w:rPr>
        <w:t>（含）</w:t>
      </w:r>
      <w:r>
        <w:rPr>
          <w:rFonts w:hint="default" w:ascii="Times New Roman" w:hAnsi="Times New Roman" w:eastAsia="仿宋_GB2312" w:cs="Times New Roman"/>
          <w:kern w:val="2"/>
          <w:sz w:val="32"/>
          <w:szCs w:val="32"/>
          <w:shd w:val="clear" w:color="auto" w:fill="auto"/>
          <w:lang w:val="en-US" w:eastAsia="zh-CN" w:bidi="ar-SA"/>
        </w:rPr>
        <w:t>以上</w:t>
      </w:r>
      <w:r>
        <w:rPr>
          <w:rFonts w:hint="eastAsia" w:ascii="Times New Roman" w:hAnsi="Times New Roman" w:eastAsia="仿宋_GB2312" w:cs="Times New Roman"/>
          <w:kern w:val="2"/>
          <w:sz w:val="32"/>
          <w:szCs w:val="32"/>
          <w:shd w:val="clear" w:color="auto" w:fill="auto"/>
          <w:lang w:val="en-US" w:eastAsia="zh-CN" w:bidi="ar-SA"/>
        </w:rPr>
        <w:t>早期</w:t>
      </w:r>
      <w:r>
        <w:rPr>
          <w:rFonts w:hint="eastAsia" w:eastAsia="仿宋_GB2312" w:cs="Times New Roman"/>
          <w:kern w:val="2"/>
          <w:sz w:val="32"/>
          <w:szCs w:val="32"/>
          <w:shd w:val="clear" w:color="auto" w:fill="auto"/>
          <w:lang w:val="en-US" w:eastAsia="zh-CN" w:bidi="ar-SA"/>
        </w:rPr>
        <w:t>成功</w:t>
      </w:r>
      <w:r>
        <w:rPr>
          <w:rFonts w:hint="eastAsia" w:ascii="Times New Roman" w:hAnsi="Times New Roman" w:eastAsia="仿宋_GB2312" w:cs="Times New Roman"/>
          <w:kern w:val="2"/>
          <w:sz w:val="32"/>
          <w:szCs w:val="32"/>
          <w:shd w:val="clear" w:color="auto" w:fill="auto"/>
          <w:lang w:val="en-US" w:eastAsia="zh-CN" w:bidi="ar-SA"/>
        </w:rPr>
        <w:t>投资</w:t>
      </w:r>
      <w:r>
        <w:rPr>
          <w:rFonts w:hint="default" w:ascii="Times New Roman" w:hAnsi="Times New Roman" w:eastAsia="仿宋_GB2312" w:cs="Times New Roman"/>
          <w:kern w:val="2"/>
          <w:sz w:val="32"/>
          <w:szCs w:val="32"/>
          <w:shd w:val="clear" w:color="auto" w:fill="auto"/>
          <w:lang w:val="en-US" w:eastAsia="zh-CN" w:bidi="ar-SA"/>
        </w:rPr>
        <w:t>案例(以现金方式退出部分或全部股权，且该退出部分股权投资收益率折年化超过</w:t>
      </w:r>
      <w:r>
        <w:rPr>
          <w:rFonts w:hint="eastAsia" w:ascii="Times New Roman" w:hAnsi="Times New Roman" w:eastAsia="仿宋_GB2312" w:cs="Times New Roman"/>
          <w:kern w:val="2"/>
          <w:sz w:val="32"/>
          <w:szCs w:val="32"/>
          <w:shd w:val="clear" w:color="auto" w:fill="auto"/>
          <w:lang w:val="en-US" w:eastAsia="zh-CN" w:bidi="ar-SA"/>
        </w:rPr>
        <w:t>1</w:t>
      </w:r>
      <w:r>
        <w:rPr>
          <w:rFonts w:hint="default" w:ascii="Times New Roman" w:hAnsi="Times New Roman" w:eastAsia="仿宋_GB2312" w:cs="Times New Roman"/>
          <w:kern w:val="2"/>
          <w:sz w:val="32"/>
          <w:szCs w:val="32"/>
          <w:shd w:val="clear" w:color="auto" w:fill="auto"/>
          <w:lang w:val="en-US" w:eastAsia="zh-CN" w:bidi="ar-SA"/>
        </w:rPr>
        <w:t>0%)。</w:t>
      </w:r>
    </w:p>
    <w:p w14:paraId="0F88F8E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highlight w:val="none"/>
          <w:shd w:val="clear" w:color="auto" w:fill="auto"/>
          <w:lang w:val="en-US" w:eastAsia="zh-CN" w:bidi="ar-SA"/>
        </w:rPr>
      </w:pPr>
      <w:r>
        <w:rPr>
          <w:rFonts w:hint="eastAsia" w:ascii="Times New Roman" w:hAnsi="Times New Roman" w:eastAsia="仿宋_GB2312" w:cs="Times New Roman"/>
          <w:kern w:val="2"/>
          <w:sz w:val="32"/>
          <w:szCs w:val="32"/>
          <w:shd w:val="clear" w:color="auto" w:fill="auto"/>
          <w:lang w:val="en-US" w:eastAsia="zh-CN" w:bidi="ar-SA"/>
        </w:rPr>
        <w:t>2.应至少有3个（含）以上早期投资案例且投资后有后续轮次融资，并有相应增值。</w:t>
      </w:r>
    </w:p>
    <w:p w14:paraId="6A21EAC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shd w:val="clear" w:color="auto" w:fill="auto"/>
          <w:lang w:val="en-US" w:eastAsia="zh-CN" w:bidi="ar-SA"/>
        </w:rPr>
      </w:pPr>
      <w:r>
        <w:rPr>
          <w:rFonts w:hint="eastAsia" w:ascii="Times New Roman" w:hAnsi="Times New Roman" w:eastAsia="仿宋_GB2312" w:cs="Times New Roman"/>
          <w:kern w:val="2"/>
          <w:sz w:val="32"/>
          <w:szCs w:val="32"/>
          <w:shd w:val="clear" w:color="auto" w:fill="auto"/>
          <w:lang w:val="en-US" w:eastAsia="zh-CN" w:bidi="ar-SA"/>
        </w:rPr>
        <w:t>3.</w:t>
      </w:r>
      <w:r>
        <w:rPr>
          <w:rFonts w:hint="eastAsia" w:ascii="Times New Roman" w:hAnsi="Times New Roman" w:eastAsia="仿宋_GB2312" w:cs="Times New Roman"/>
          <w:kern w:val="2"/>
          <w:sz w:val="32"/>
          <w:szCs w:val="20"/>
          <w:shd w:val="clear" w:color="auto" w:fill="auto"/>
          <w:lang w:val="en-US" w:eastAsia="zh-CN" w:bidi="ar-SA"/>
        </w:rPr>
        <w:t>子</w:t>
      </w:r>
      <w:r>
        <w:rPr>
          <w:rFonts w:hint="eastAsia" w:ascii="Times New Roman" w:hAnsi="Times New Roman" w:eastAsia="仿宋_GB2312" w:cs="Times New Roman"/>
          <w:kern w:val="2"/>
          <w:sz w:val="32"/>
          <w:szCs w:val="32"/>
          <w:shd w:val="clear" w:color="auto" w:fill="auto"/>
          <w:lang w:val="en-US" w:eastAsia="zh-CN" w:bidi="ar-SA"/>
        </w:rPr>
        <w:t>基金管理机构（含其主要股东或控股子公司）为国内外知名高等院校、科研院所、重点实验室等技术源头单位或国际知名技术转移机构等科技成果转化机构的，该单位最近5年内科技成果转化项目融资总金额累计不低于1亿元人民币（或等值货币）。</w:t>
      </w:r>
    </w:p>
    <w:p w14:paraId="43C4CB4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kern w:val="2"/>
          <w:sz w:val="32"/>
          <w:szCs w:val="32"/>
          <w:shd w:val="clear" w:color="auto" w:fill="auto"/>
          <w:lang w:val="en-US" w:eastAsia="zh-CN" w:bidi="ar-SA"/>
        </w:rPr>
      </w:pPr>
      <w:r>
        <w:rPr>
          <w:rFonts w:hint="eastAsia" w:eastAsia="仿宋_GB2312" w:cs="Times New Roman"/>
          <w:kern w:val="2"/>
          <w:sz w:val="32"/>
          <w:szCs w:val="32"/>
          <w:shd w:val="clear" w:color="auto" w:fill="auto"/>
          <w:lang w:val="en-US" w:eastAsia="zh-CN" w:bidi="ar-SA"/>
        </w:rPr>
        <w:t>注:早期投资案例是指投资时为被投企业首两轮外部机构投资，或在投资决策时，被投企业设立时间不超过5年，从业人数不超过200人，且上一年度净资产或年销售收入不超过4000万元。</w:t>
      </w:r>
    </w:p>
    <w:p w14:paraId="3EC0CF0A">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kern w:val="2"/>
          <w:sz w:val="32"/>
          <w:szCs w:val="32"/>
          <w:shd w:val="clear" w:color="auto" w:fill="auto"/>
          <w:lang w:val="en-US" w:eastAsia="zh-CN" w:bidi="ar-SA"/>
        </w:rPr>
      </w:pPr>
      <w:r>
        <w:rPr>
          <w:rFonts w:hint="eastAsia" w:ascii="Times New Roman" w:hAnsi="Times New Roman" w:eastAsia="楷体_GB2312" w:cs="Times New Roman"/>
          <w:kern w:val="2"/>
          <w:sz w:val="32"/>
          <w:szCs w:val="32"/>
          <w:shd w:val="clear" w:color="auto" w:fill="auto"/>
          <w:lang w:val="en-US" w:eastAsia="zh-CN" w:bidi="ar-SA"/>
        </w:rPr>
        <w:t>（六）出资能力。</w:t>
      </w:r>
      <w:r>
        <w:rPr>
          <w:rFonts w:hint="eastAsia" w:ascii="Times New Roman" w:hAnsi="Times New Roman" w:eastAsia="仿宋_GB2312" w:cs="Times New Roman"/>
          <w:b w:val="0"/>
          <w:bCs w:val="0"/>
          <w:kern w:val="2"/>
          <w:sz w:val="32"/>
          <w:szCs w:val="32"/>
          <w:shd w:val="clear" w:color="auto" w:fill="auto"/>
          <w:lang w:val="en-US" w:eastAsia="zh-CN" w:bidi="ar-SA"/>
        </w:rPr>
        <w:t>子</w:t>
      </w:r>
      <w:r>
        <w:rPr>
          <w:rFonts w:hint="eastAsia" w:ascii="Times New Roman" w:hAnsi="Times New Roman" w:eastAsia="仿宋_GB2312" w:cs="Times New Roman"/>
          <w:kern w:val="2"/>
          <w:sz w:val="32"/>
          <w:szCs w:val="32"/>
          <w:shd w:val="clear" w:color="auto" w:fill="auto"/>
          <w:lang w:val="en-US" w:eastAsia="zh-CN" w:bidi="ar-SA"/>
        </w:rPr>
        <w:t>基金管理机构或其关联方在基金中认缴出资比例应当不低于</w:t>
      </w:r>
      <w:r>
        <w:rPr>
          <w:rFonts w:hint="eastAsia" w:cs="Times New Roman"/>
          <w:kern w:val="2"/>
          <w:sz w:val="32"/>
          <w:szCs w:val="32"/>
          <w:shd w:val="clear" w:color="auto" w:fill="auto"/>
          <w:lang w:val="en-US" w:eastAsia="zh-CN" w:bidi="ar-SA"/>
        </w:rPr>
        <w:t>基金规模的</w:t>
      </w:r>
      <w:r>
        <w:rPr>
          <w:rFonts w:hint="eastAsia" w:ascii="Times New Roman" w:hAnsi="Times New Roman" w:eastAsia="仿宋_GB2312" w:cs="Times New Roman"/>
          <w:kern w:val="2"/>
          <w:sz w:val="32"/>
          <w:szCs w:val="32"/>
          <w:shd w:val="clear" w:color="auto" w:fill="auto"/>
          <w:lang w:val="en-US" w:eastAsia="zh-CN" w:bidi="ar-SA"/>
        </w:rPr>
        <w:t>1%。</w:t>
      </w:r>
    </w:p>
    <w:p w14:paraId="72DAD26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（七）规范运营。</w:t>
      </w:r>
      <w:r>
        <w:rPr>
          <w:rFonts w:hint="eastAsia" w:ascii="Times New Roman" w:hAnsi="Times New Roman" w:eastAsia="仿宋_GB2312" w:cs="Times New Roman"/>
          <w:b w:val="0"/>
          <w:bCs w:val="0"/>
          <w:sz w:val="32"/>
          <w:szCs w:val="32"/>
          <w:shd w:val="clear" w:color="auto" w:fill="auto"/>
          <w:lang w:val="en-US" w:eastAsia="zh-CN"/>
        </w:rPr>
        <w:t>子基金管理机构及其高级管理人员具有良好的管理业绩和职业操守，在最近三年无重大过失，无受到行政主管机关或司法机关有关</w:t>
      </w:r>
      <w:r>
        <w:rPr>
          <w:rFonts w:hint="eastAsia" w:cs="Times New Roman"/>
          <w:b w:val="0"/>
          <w:bCs w:val="0"/>
          <w:sz w:val="32"/>
          <w:szCs w:val="32"/>
          <w:shd w:val="clear" w:color="auto" w:fill="auto"/>
          <w:lang w:val="en-US" w:eastAsia="zh-CN"/>
        </w:rPr>
        <w:t>影响基金正常运营的不良</w:t>
      </w:r>
      <w:r>
        <w:rPr>
          <w:rFonts w:hint="eastAsia" w:ascii="Times New Roman" w:hAnsi="Times New Roman" w:eastAsia="仿宋_GB2312" w:cs="Times New Roman"/>
          <w:b w:val="0"/>
          <w:bCs w:val="0"/>
          <w:sz w:val="32"/>
          <w:szCs w:val="32"/>
          <w:shd w:val="clear" w:color="auto" w:fill="auto"/>
          <w:lang w:val="en-US" w:eastAsia="zh-CN"/>
        </w:rPr>
        <w:t>处罚记录。</w:t>
      </w:r>
    </w:p>
    <w:p w14:paraId="62B73C9C">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（八）稳定运营。</w:t>
      </w:r>
      <w:r>
        <w:rPr>
          <w:rFonts w:hint="eastAsia" w:ascii="Times New Roman" w:hAnsi="Times New Roman" w:eastAsia="仿宋_GB2312" w:cs="Times New Roman"/>
          <w:color w:val="auto"/>
          <w:sz w:val="32"/>
          <w:szCs w:val="32"/>
          <w:highlight w:val="none"/>
          <w:shd w:val="clear" w:color="auto" w:fill="auto"/>
        </w:rPr>
        <w:t>子基金管理机构</w:t>
      </w:r>
      <w:r>
        <w:rPr>
          <w:rFonts w:hint="eastAsia" w:ascii="Times New Roman" w:hAnsi="Times New Roman" w:eastAsia="仿宋_GB2312" w:cs="Times New Roman"/>
          <w:color w:val="auto"/>
          <w:sz w:val="32"/>
          <w:szCs w:val="32"/>
          <w:highlight w:val="none"/>
          <w:shd w:val="clear" w:color="auto" w:fill="auto"/>
          <w:lang w:val="en-US" w:eastAsia="zh-CN"/>
        </w:rPr>
        <w:t>应明确子基金管理团队核心人员</w:t>
      </w:r>
      <w:r>
        <w:rPr>
          <w:rFonts w:hint="eastAsia"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shd w:val="clear" w:color="auto" w:fill="auto"/>
          <w:lang w:val="en-US" w:eastAsia="zh-CN"/>
        </w:rPr>
        <w:t>对</w:t>
      </w:r>
      <w:r>
        <w:rPr>
          <w:rFonts w:hint="eastAsia" w:ascii="Times New Roman" w:hAnsi="Times New Roman" w:eastAsia="仿宋_GB2312" w:cs="Times New Roman"/>
          <w:color w:val="auto"/>
          <w:sz w:val="32"/>
          <w:szCs w:val="32"/>
          <w:highlight w:val="none"/>
          <w:shd w:val="clear" w:color="auto" w:fill="auto"/>
        </w:rPr>
        <w:t>核心人员进行锁定</w:t>
      </w:r>
      <w:r>
        <w:rPr>
          <w:rFonts w:hint="eastAsia"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shd w:val="clear" w:color="auto" w:fill="auto"/>
        </w:rPr>
        <w:t>保证子基金运营专注度和稳定性。被锁定人员如发生人员变动须经合伙人大会</w:t>
      </w:r>
      <w:r>
        <w:rPr>
          <w:rFonts w:hint="eastAsia" w:ascii="Times New Roman" w:hAnsi="Times New Roman" w:eastAsia="仿宋_GB2312" w:cs="Times New Roman"/>
          <w:color w:val="auto"/>
          <w:sz w:val="32"/>
          <w:szCs w:val="32"/>
          <w:highlight w:val="none"/>
          <w:shd w:val="clear" w:color="auto" w:fill="auto"/>
          <w:lang w:val="en-US" w:eastAsia="zh-CN"/>
        </w:rPr>
        <w:t>或</w:t>
      </w:r>
      <w:r>
        <w:rPr>
          <w:rFonts w:hint="eastAsia" w:ascii="Times New Roman" w:hAnsi="Times New Roman" w:eastAsia="仿宋_GB2312" w:cs="Times New Roman"/>
          <w:color w:val="auto"/>
          <w:sz w:val="32"/>
          <w:szCs w:val="32"/>
          <w:highlight w:val="none"/>
          <w:shd w:val="clear" w:color="auto" w:fill="auto"/>
        </w:rPr>
        <w:t>股东（大）会等子基金相关决策机构表决通过。</w:t>
      </w:r>
    </w:p>
    <w:p w14:paraId="4CABDAD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shd w:val="clear" w:color="auto" w:fill="auto"/>
          <w:lang w:val="en-US" w:eastAsia="zh-CN" w:bidi="ar-SA"/>
        </w:rPr>
      </w:pPr>
      <w:r>
        <w:rPr>
          <w:rFonts w:hint="eastAsia" w:ascii="Times New Roman" w:hAnsi="Times New Roman" w:eastAsia="楷体_GB2312" w:cs="Times New Roman"/>
          <w:kern w:val="2"/>
          <w:sz w:val="32"/>
          <w:szCs w:val="32"/>
          <w:shd w:val="clear" w:color="auto" w:fill="auto"/>
          <w:lang w:val="en-US" w:eastAsia="zh-CN" w:bidi="ar-SA"/>
        </w:rPr>
        <w:t>（九）综合能力。</w:t>
      </w:r>
      <w:r>
        <w:rPr>
          <w:rFonts w:hint="eastAsia" w:ascii="Times New Roman" w:hAnsi="Times New Roman" w:eastAsia="仿宋_GB2312" w:cs="Times New Roman"/>
          <w:b w:val="0"/>
          <w:bCs w:val="0"/>
          <w:kern w:val="2"/>
          <w:sz w:val="32"/>
          <w:szCs w:val="32"/>
          <w:shd w:val="clear" w:color="auto" w:fill="auto"/>
          <w:lang w:val="en-US" w:eastAsia="zh-CN" w:bidi="ar-SA"/>
        </w:rPr>
        <w:t>子</w:t>
      </w:r>
      <w:r>
        <w:rPr>
          <w:rFonts w:hint="eastAsia" w:ascii="Times New Roman" w:hAnsi="Times New Roman" w:eastAsia="仿宋_GB2312" w:cs="Times New Roman"/>
          <w:kern w:val="2"/>
          <w:sz w:val="32"/>
          <w:szCs w:val="32"/>
          <w:shd w:val="clear" w:color="auto" w:fill="auto"/>
          <w:lang w:val="en-US" w:eastAsia="zh-CN" w:bidi="ar-SA"/>
        </w:rPr>
        <w:t>基金管理机构应当具备专业的基金运作、投资管理、投后跟踪、产业研判、项目孵化与增值服务能力。</w:t>
      </w:r>
    </w:p>
    <w:p w14:paraId="6EBFC422">
      <w:pPr>
        <w:pStyle w:val="2"/>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eastAsia" w:ascii="Times New Roman" w:hAnsi="Times New Roman" w:eastAsia="楷体_GB2312" w:cs="Times New Roman"/>
          <w:kern w:val="2"/>
          <w:sz w:val="32"/>
          <w:szCs w:val="32"/>
          <w:highlight w:val="none"/>
          <w:shd w:val="clear" w:color="auto" w:fill="auto"/>
          <w:lang w:val="en-US" w:eastAsia="zh-CN" w:bidi="ar-SA"/>
        </w:rPr>
        <w:t>（十）优先考量因素。</w:t>
      </w:r>
      <w:r>
        <w:rPr>
          <w:rFonts w:hint="eastAsia" w:ascii="Times New Roman" w:hAnsi="Times New Roman" w:eastAsia="仿宋_GB2312" w:cs="Times New Roman"/>
          <w:color w:val="auto"/>
          <w:kern w:val="2"/>
          <w:sz w:val="32"/>
          <w:szCs w:val="32"/>
          <w:highlight w:val="none"/>
          <w:shd w:val="clear" w:color="auto" w:fill="auto"/>
          <w:lang w:val="en-US" w:eastAsia="zh-CN" w:bidi="ar-SA"/>
        </w:rPr>
        <w:t>在遴选过程中，以下条件作为对子基金管理机构的优先考量因素：1.在郑州配备常驻人员、专职管理团队的；2.在子基金中有社会资本出资的；3.具备较强项目创业辅导、产业资源对接等增值服务能力的；4.具备一定数量优质项目资源，能够为郑东新区储备和导入项目的。</w:t>
      </w:r>
    </w:p>
    <w:p w14:paraId="64200A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kern w:val="2"/>
          <w:sz w:val="32"/>
          <w:szCs w:val="32"/>
          <w:shd w:val="clear" w:color="auto" w:fill="auto"/>
          <w:lang w:val="en-US" w:eastAsia="zh-CN" w:bidi="ar-SA"/>
        </w:rPr>
      </w:pPr>
      <w:r>
        <w:rPr>
          <w:rFonts w:hint="eastAsia" w:ascii="Times New Roman" w:hAnsi="Times New Roman" w:eastAsia="黑体" w:cs="Times New Roman"/>
          <w:szCs w:val="24"/>
          <w:highlight w:val="none"/>
          <w:lang w:val="en-US" w:eastAsia="zh-CN"/>
        </w:rPr>
        <w:t>二</w:t>
      </w:r>
      <w:r>
        <w:rPr>
          <w:rFonts w:hint="eastAsia" w:ascii="Times New Roman" w:hAnsi="Times New Roman" w:eastAsia="黑体" w:cs="Times New Roman"/>
          <w:szCs w:val="24"/>
          <w:highlight w:val="none"/>
        </w:rPr>
        <w:t>、子基金设立要求</w:t>
      </w:r>
    </w:p>
    <w:p w14:paraId="49EF57D7">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（一）组织形式。</w:t>
      </w:r>
      <w:r>
        <w:rPr>
          <w:rFonts w:hint="eastAsia" w:ascii="Times New Roman" w:hAnsi="Times New Roman" w:eastAsia="仿宋_GB2312" w:cs="Times New Roman"/>
          <w:sz w:val="32"/>
          <w:szCs w:val="32"/>
          <w:shd w:val="clear" w:color="auto" w:fill="auto"/>
          <w:lang w:val="en-US" w:eastAsia="zh-CN"/>
        </w:rPr>
        <w:t>有限合伙制或公司制。</w:t>
      </w:r>
    </w:p>
    <w:p w14:paraId="3B2DCA7B">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sz w:val="32"/>
          <w:szCs w:val="32"/>
          <w:shd w:val="clear" w:color="auto" w:fill="auto"/>
        </w:rPr>
      </w:pPr>
      <w:r>
        <w:rPr>
          <w:rFonts w:hint="eastAsia" w:ascii="Times New Roman" w:hAnsi="Times New Roman" w:eastAsia="楷体_GB2312" w:cs="Times New Roman"/>
          <w:kern w:val="2"/>
          <w:sz w:val="32"/>
          <w:szCs w:val="32"/>
          <w:shd w:val="clear" w:color="auto" w:fill="auto"/>
          <w:lang w:val="en-US" w:eastAsia="zh-CN" w:bidi="ar-SA"/>
        </w:rPr>
        <w:t>（二）基金注册地址。</w:t>
      </w:r>
      <w:r>
        <w:rPr>
          <w:rFonts w:hint="eastAsia" w:ascii="Times New Roman" w:hAnsi="Times New Roman" w:eastAsia="仿宋_GB2312" w:cs="Times New Roman"/>
          <w:sz w:val="32"/>
          <w:szCs w:val="32"/>
          <w:shd w:val="clear" w:color="auto" w:fill="auto"/>
        </w:rPr>
        <w:t>河南省郑州市</w:t>
      </w:r>
      <w:r>
        <w:rPr>
          <w:rFonts w:hint="eastAsia" w:ascii="Times New Roman" w:hAnsi="Times New Roman" w:eastAsia="仿宋_GB2312" w:cs="Times New Roman"/>
          <w:sz w:val="32"/>
          <w:szCs w:val="32"/>
          <w:shd w:val="clear" w:color="auto" w:fill="auto"/>
          <w:lang w:val="en-US" w:eastAsia="zh-CN"/>
        </w:rPr>
        <w:t>郑东新区</w:t>
      </w:r>
      <w:r>
        <w:rPr>
          <w:rFonts w:hint="eastAsia" w:ascii="Times New Roman" w:hAnsi="Times New Roman" w:eastAsia="仿宋_GB2312" w:cs="Times New Roman"/>
          <w:sz w:val="32"/>
          <w:szCs w:val="32"/>
          <w:shd w:val="clear" w:color="auto" w:fill="auto"/>
        </w:rPr>
        <w:t>。</w:t>
      </w:r>
    </w:p>
    <w:p w14:paraId="289E038B">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（三）基金存续期限。</w:t>
      </w:r>
      <w:r>
        <w:rPr>
          <w:rFonts w:hint="eastAsia" w:ascii="Times New Roman" w:hAnsi="Times New Roman" w:eastAsia="仿宋_GB2312" w:cs="Times New Roman"/>
          <w:sz w:val="32"/>
          <w:szCs w:val="32"/>
          <w:shd w:val="clear" w:color="auto" w:fill="auto"/>
          <w:lang w:val="en-US" w:eastAsia="zh-CN"/>
        </w:rPr>
        <w:t>子基金</w:t>
      </w:r>
      <w:r>
        <w:rPr>
          <w:rFonts w:hint="eastAsia" w:ascii="Times New Roman" w:hAnsi="Times New Roman" w:eastAsia="仿宋_GB2312" w:cs="Times New Roman"/>
          <w:sz w:val="32"/>
          <w:szCs w:val="32"/>
          <w:shd w:val="clear" w:color="auto" w:fill="auto"/>
        </w:rPr>
        <w:t>存续</w:t>
      </w:r>
      <w:r>
        <w:rPr>
          <w:rFonts w:hint="eastAsia" w:ascii="Times New Roman" w:hAnsi="Times New Roman" w:eastAsia="仿宋_GB2312" w:cs="Times New Roman"/>
          <w:sz w:val="32"/>
          <w:szCs w:val="32"/>
          <w:shd w:val="clear" w:color="auto" w:fill="auto"/>
          <w:lang w:val="en-US" w:eastAsia="zh-CN"/>
        </w:rPr>
        <w:t>期限不超过15年。</w:t>
      </w:r>
    </w:p>
    <w:p w14:paraId="7987AC9B">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（四）出资金额。</w:t>
      </w:r>
      <w:r>
        <w:rPr>
          <w:rFonts w:hint="eastAsia" w:ascii="Times New Roman" w:hAnsi="Times New Roman" w:eastAsia="仿宋_GB2312" w:cs="Times New Roman"/>
          <w:sz w:val="32"/>
          <w:szCs w:val="32"/>
          <w:highlight w:val="none"/>
          <w:shd w:val="clear" w:color="auto" w:fill="auto"/>
          <w:lang w:val="en-US" w:eastAsia="zh-CN"/>
        </w:rPr>
        <w:t>郑州中原科技城产业引导基金有限责任公司（以下简称引导基金公司）</w:t>
      </w:r>
      <w:r>
        <w:rPr>
          <w:rFonts w:hint="eastAsia" w:cs="Times New Roman"/>
          <w:sz w:val="32"/>
          <w:szCs w:val="32"/>
          <w:highlight w:val="none"/>
          <w:shd w:val="clear" w:color="auto" w:fill="auto"/>
          <w:lang w:val="en-US" w:eastAsia="zh-CN"/>
        </w:rPr>
        <w:t>为种子基金出资主体，</w:t>
      </w:r>
      <w:r>
        <w:rPr>
          <w:rFonts w:hint="eastAsia" w:ascii="Times New Roman" w:hAnsi="Times New Roman" w:eastAsia="仿宋_GB2312" w:cs="Times New Roman"/>
          <w:sz w:val="32"/>
          <w:szCs w:val="32"/>
          <w:shd w:val="clear" w:color="auto" w:fill="auto"/>
          <w:lang w:val="en-US" w:eastAsia="zh-CN"/>
        </w:rPr>
        <w:t>在单个子基金中的出资金额不超过5000万元，按照投资进度分期实缴。</w:t>
      </w:r>
    </w:p>
    <w:p w14:paraId="066A99F3">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（五）投资方式。</w:t>
      </w:r>
      <w:r>
        <w:rPr>
          <w:rFonts w:hint="eastAsia" w:ascii="Times New Roman" w:hAnsi="Times New Roman" w:eastAsia="仿宋_GB2312" w:cs="Times New Roman"/>
          <w:sz w:val="32"/>
          <w:szCs w:val="32"/>
          <w:shd w:val="clear" w:color="auto" w:fill="auto"/>
          <w:lang w:val="en-US" w:eastAsia="zh-CN"/>
        </w:rPr>
        <w:t>子基金采用直接投资方式开展投资。</w:t>
      </w:r>
    </w:p>
    <w:p w14:paraId="475E4BBD">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楷体_GB2312" w:cs="Times New Roman"/>
          <w:kern w:val="2"/>
          <w:sz w:val="32"/>
          <w:szCs w:val="32"/>
          <w:highlight w:val="none"/>
          <w:shd w:val="clear" w:color="auto" w:fill="auto"/>
          <w:lang w:val="en-US" w:eastAsia="zh-CN" w:bidi="ar-SA"/>
        </w:rPr>
        <w:t>（六）投资策略。</w:t>
      </w:r>
      <w:r>
        <w:rPr>
          <w:rFonts w:hint="eastAsia" w:ascii="Times New Roman" w:hAnsi="Times New Roman" w:eastAsia="仿宋_GB2312" w:cs="Times New Roman"/>
          <w:sz w:val="32"/>
          <w:szCs w:val="32"/>
          <w:shd w:val="clear" w:color="auto" w:fill="auto"/>
          <w:lang w:val="en-US" w:eastAsia="zh-CN"/>
        </w:rPr>
        <w:t>子基金按照市场化原则及早期项目投资逻辑，围绕符合省、市、区产业发展规划的战略性新兴产业领域</w:t>
      </w:r>
      <w:r>
        <w:rPr>
          <w:rFonts w:hint="eastAsia" w:cs="Times New Roman"/>
          <w:sz w:val="32"/>
          <w:szCs w:val="32"/>
          <w:shd w:val="clear" w:color="auto" w:fill="auto"/>
          <w:lang w:val="en-US" w:eastAsia="zh-CN"/>
        </w:rPr>
        <w:t>，</w:t>
      </w:r>
      <w:r>
        <w:rPr>
          <w:rFonts w:hint="eastAsia" w:ascii="Times New Roman" w:hAnsi="Times New Roman" w:eastAsia="仿宋_GB2312" w:cs="Times New Roman"/>
          <w:sz w:val="32"/>
          <w:szCs w:val="32"/>
          <w:shd w:val="clear" w:color="auto" w:fill="auto"/>
          <w:lang w:val="en-US" w:eastAsia="zh-CN"/>
        </w:rPr>
        <w:t>聚焦于具有创新理念和巨大发展潜力的初创企业，着重考察科研创业团队的技术水平、市场应用前景，分析验证商业模式的可行性和创新性以及可持续发展的潜力。</w:t>
      </w:r>
    </w:p>
    <w:p w14:paraId="4E033392">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（七）支持对象。</w:t>
      </w:r>
      <w:r>
        <w:rPr>
          <w:rFonts w:hint="eastAsia" w:ascii="Times New Roman" w:hAnsi="Times New Roman" w:eastAsia="仿宋_GB2312" w:cs="Times New Roman"/>
          <w:b w:val="0"/>
          <w:bCs w:val="0"/>
          <w:sz w:val="32"/>
          <w:szCs w:val="32"/>
          <w:shd w:val="clear" w:color="auto" w:fill="auto"/>
          <w:lang w:val="en-US" w:eastAsia="zh-CN"/>
        </w:rPr>
        <w:t>子</w:t>
      </w:r>
      <w:r>
        <w:rPr>
          <w:rFonts w:hint="default" w:ascii="Times New Roman" w:hAnsi="Times New Roman" w:eastAsia="仿宋_GB2312" w:cs="Times New Roman"/>
          <w:b w:val="0"/>
          <w:bCs w:val="0"/>
          <w:sz w:val="32"/>
          <w:szCs w:val="32"/>
          <w:shd w:val="clear" w:color="auto" w:fill="auto"/>
          <w:lang w:val="en-US" w:eastAsia="zh-CN"/>
        </w:rPr>
        <w:t>基</w:t>
      </w:r>
      <w:r>
        <w:rPr>
          <w:rFonts w:hint="default" w:ascii="Times New Roman" w:hAnsi="Times New Roman" w:eastAsia="仿宋_GB2312" w:cs="Times New Roman"/>
          <w:kern w:val="0"/>
          <w:sz w:val="32"/>
          <w:szCs w:val="32"/>
          <w:shd w:val="clear" w:color="auto" w:fill="auto"/>
          <w:lang w:val="en-US" w:eastAsia="zh-CN"/>
        </w:rPr>
        <w:t>金</w:t>
      </w:r>
      <w:r>
        <w:rPr>
          <w:rFonts w:hint="eastAsia" w:ascii="Times New Roman" w:hAnsi="Times New Roman" w:eastAsia="仿宋_GB2312" w:cs="Times New Roman"/>
          <w:kern w:val="0"/>
          <w:sz w:val="32"/>
          <w:szCs w:val="32"/>
          <w:shd w:val="clear" w:color="auto" w:fill="auto"/>
          <w:lang w:val="en-US" w:eastAsia="zh-CN"/>
        </w:rPr>
        <w:t>应当投资于（</w:t>
      </w:r>
      <w:r>
        <w:rPr>
          <w:rFonts w:hint="eastAsia" w:ascii="Times New Roman" w:hAnsi="Times New Roman" w:eastAsia="仿宋_GB2312" w:cs="Times New Roman"/>
          <w:b w:val="0"/>
          <w:bCs w:val="0"/>
          <w:sz w:val="32"/>
          <w:szCs w:val="32"/>
          <w:shd w:val="clear" w:color="auto" w:fill="auto"/>
          <w:lang w:val="en-US" w:eastAsia="zh-CN"/>
        </w:rPr>
        <w:t>拟）注册地位于郑东新区，或协议约定</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一定期限</w:t>
      </w:r>
      <w:r>
        <w:rPr>
          <w:rFonts w:hint="eastAsia" w:ascii="Times New Roman" w:hAnsi="Times New Roman" w:eastAsia="仿宋_GB2312" w:cs="Times New Roman"/>
          <w:b w:val="0"/>
          <w:bCs w:val="0"/>
          <w:sz w:val="32"/>
          <w:szCs w:val="32"/>
          <w:shd w:val="clear" w:color="auto" w:fill="auto"/>
          <w:lang w:val="en-US" w:eastAsia="zh-CN"/>
        </w:rPr>
        <w:t>内被投企业或其总部落地郑东新区的企业。重点关注科研院所</w:t>
      </w:r>
      <w:r>
        <w:rPr>
          <w:rFonts w:hint="eastAsia" w:cs="Times New Roman"/>
          <w:b w:val="0"/>
          <w:bCs w:val="0"/>
          <w:sz w:val="32"/>
          <w:szCs w:val="32"/>
          <w:shd w:val="clear" w:color="auto" w:fill="auto"/>
          <w:lang w:val="en-US" w:eastAsia="zh-CN"/>
        </w:rPr>
        <w:t>及其</w:t>
      </w:r>
      <w:r>
        <w:rPr>
          <w:rFonts w:hint="eastAsia" w:ascii="Times New Roman" w:hAnsi="Times New Roman" w:eastAsia="仿宋_GB2312" w:cs="Times New Roman"/>
          <w:b w:val="0"/>
          <w:bCs w:val="0"/>
          <w:sz w:val="32"/>
          <w:szCs w:val="32"/>
          <w:shd w:val="clear" w:color="auto" w:fill="auto"/>
          <w:lang w:val="en-US" w:eastAsia="zh-CN"/>
        </w:rPr>
        <w:t>首席科学家团队、高层次人才、创新赛事获奖项目</w:t>
      </w:r>
      <w:r>
        <w:rPr>
          <w:rFonts w:hint="eastAsia" w:cs="Times New Roman"/>
          <w:b w:val="0"/>
          <w:bCs w:val="0"/>
          <w:sz w:val="32"/>
          <w:szCs w:val="32"/>
          <w:shd w:val="clear" w:color="auto" w:fill="auto"/>
          <w:lang w:val="en-US" w:eastAsia="zh-CN"/>
        </w:rPr>
        <w:t>等转化孵化的</w:t>
      </w:r>
      <w:r>
        <w:rPr>
          <w:rFonts w:hint="eastAsia" w:ascii="Times New Roman" w:hAnsi="Times New Roman" w:eastAsia="仿宋_GB2312" w:cs="Times New Roman"/>
          <w:b w:val="0"/>
          <w:bCs w:val="0"/>
          <w:sz w:val="32"/>
          <w:szCs w:val="32"/>
          <w:shd w:val="clear" w:color="auto" w:fill="auto"/>
          <w:lang w:val="en-US" w:eastAsia="zh-CN"/>
        </w:rPr>
        <w:t>极早期初创企业</w:t>
      </w:r>
      <w:r>
        <w:rPr>
          <w:rFonts w:hint="eastAsia" w:cs="Times New Roman"/>
          <w:b w:val="0"/>
          <w:bCs w:val="0"/>
          <w:sz w:val="32"/>
          <w:szCs w:val="32"/>
          <w:shd w:val="clear" w:color="auto" w:fill="auto"/>
          <w:lang w:val="en-US" w:eastAsia="zh-CN"/>
        </w:rPr>
        <w:t>。</w:t>
      </w:r>
    </w:p>
    <w:p w14:paraId="1FDA6A9E">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（八）极早期初创企业条件。</w:t>
      </w:r>
      <w:r>
        <w:rPr>
          <w:rFonts w:hint="eastAsia" w:ascii="Times New Roman" w:hAnsi="Times New Roman" w:eastAsia="仿宋_GB2312" w:cs="Times New Roman"/>
          <w:b w:val="0"/>
          <w:bCs w:val="0"/>
          <w:sz w:val="32"/>
          <w:szCs w:val="32"/>
          <w:shd w:val="clear" w:color="auto" w:fill="auto"/>
          <w:lang w:val="en-US" w:eastAsia="zh-CN"/>
        </w:rPr>
        <w:t>极早期初创企业，需</w:t>
      </w:r>
      <w:r>
        <w:rPr>
          <w:rFonts w:hint="eastAsia" w:eastAsia="仿宋_GB2312" w:cs="Times New Roman"/>
          <w:b w:val="0"/>
          <w:bCs w:val="0"/>
          <w:sz w:val="32"/>
          <w:szCs w:val="32"/>
          <w:shd w:val="clear" w:color="auto" w:fill="auto"/>
          <w:lang w:val="en-US" w:eastAsia="zh-CN"/>
        </w:rPr>
        <w:t>同时</w:t>
      </w:r>
      <w:r>
        <w:rPr>
          <w:rFonts w:hint="eastAsia" w:ascii="Times New Roman" w:hAnsi="Times New Roman" w:eastAsia="仿宋_GB2312" w:cs="Times New Roman"/>
          <w:b w:val="0"/>
          <w:bCs w:val="0"/>
          <w:sz w:val="32"/>
          <w:szCs w:val="32"/>
          <w:shd w:val="clear" w:color="auto" w:fill="auto"/>
          <w:lang w:val="en-US" w:eastAsia="zh-CN"/>
        </w:rPr>
        <w:t>满足以下条件：</w:t>
      </w:r>
    </w:p>
    <w:p w14:paraId="673F3553">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1.基金投资须为其首轮外部机构投资。</w:t>
      </w:r>
    </w:p>
    <w:p w14:paraId="27B12858">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b w:val="0"/>
          <w:bCs w:val="0"/>
          <w:sz w:val="32"/>
          <w:szCs w:val="32"/>
          <w:highlight w:val="cyan"/>
          <w:shd w:val="clear" w:color="auto" w:fill="auto"/>
          <w:lang w:val="en-US" w:eastAsia="zh-CN"/>
        </w:rPr>
      </w:pPr>
      <w:r>
        <w:rPr>
          <w:rFonts w:hint="eastAsia" w:ascii="Times New Roman" w:hAnsi="Times New Roman" w:eastAsia="仿宋_GB2312" w:cs="Times New Roman"/>
          <w:b w:val="0"/>
          <w:bCs w:val="0"/>
          <w:sz w:val="32"/>
          <w:szCs w:val="32"/>
          <w:highlight w:val="none"/>
          <w:shd w:val="clear" w:color="auto" w:fill="auto"/>
          <w:lang w:val="en-US" w:eastAsia="zh-CN"/>
        </w:rPr>
        <w:t>首轮外部机构投资是指企业首次接受外部机构投资的行为，其中外部机构不包括企业创始人、高管和员工以及上述人员的亲属和朋友等个人，或上述人员出资形成的投资平台，个人天使或个人天使设立的投资平台；投资时间（以子基金对拟投企业投资决策时间为准）距离第一笔外部机构投资时间（以工商登记时间为准）相距不超过一年时间，且价格相近的，可视为同一轮投资；以上一家外部机构的投后估值作为下个外部机构的投前价格，或因不同机构资金投入的时间、投资条件差异而导致的投前较上个机构投后估值水平差异不超过20%的，可以视为价格相近的投资。</w:t>
      </w:r>
    </w:p>
    <w:p w14:paraId="7CD23F06">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2.基金投资决策时企业估值不超过1亿元人民币，以投前估值为准。</w:t>
      </w:r>
    </w:p>
    <w:p w14:paraId="4973F5DB">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3.科技成果产权明晰。</w:t>
      </w:r>
    </w:p>
    <w:p w14:paraId="160A3E85">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4.人才团队在项目中持股不低于30%并有一定现金出资，团队携带的科技成果拥有自主知识产权。</w:t>
      </w:r>
    </w:p>
    <w:p w14:paraId="22124E6C">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楷体_GB2312" w:cs="Times New Roman"/>
          <w:kern w:val="2"/>
          <w:sz w:val="32"/>
          <w:szCs w:val="32"/>
          <w:shd w:val="clear" w:color="auto" w:fill="auto"/>
          <w:lang w:val="en-US" w:eastAsia="zh-CN" w:bidi="ar-SA"/>
        </w:rPr>
        <w:t>（九）投资额度。</w:t>
      </w:r>
      <w:r>
        <w:rPr>
          <w:rFonts w:hint="eastAsia" w:ascii="Times New Roman" w:hAnsi="Times New Roman" w:eastAsia="仿宋_GB2312" w:cs="Times New Roman"/>
          <w:b w:val="0"/>
          <w:bCs w:val="0"/>
          <w:sz w:val="32"/>
          <w:szCs w:val="32"/>
          <w:shd w:val="clear" w:color="auto" w:fill="auto"/>
          <w:lang w:val="en-US" w:eastAsia="zh-CN"/>
        </w:rPr>
        <w:t>子基金</w:t>
      </w:r>
      <w:r>
        <w:rPr>
          <w:rFonts w:hint="eastAsia" w:ascii="Times New Roman" w:hAnsi="Times New Roman" w:eastAsia="仿宋_GB2312" w:cs="Times New Roman"/>
          <w:sz w:val="32"/>
          <w:szCs w:val="32"/>
          <w:shd w:val="clear" w:color="auto" w:fill="auto"/>
          <w:lang w:val="en-US" w:eastAsia="zh-CN"/>
        </w:rPr>
        <w:t>对单个项目单次投资金额不超过200万元，对单个项目的累计投资不超过基金认缴规模的10%，且在项目中不作为第一大股东（被动情形除外）。</w:t>
      </w:r>
    </w:p>
    <w:p w14:paraId="57823D5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shd w:val="clear" w:color="auto" w:fill="auto"/>
          <w:lang w:val="en-US" w:eastAsia="zh-CN"/>
        </w:rPr>
      </w:pPr>
      <w:bookmarkStart w:id="0" w:name="_Toc4889"/>
      <w:r>
        <w:rPr>
          <w:rFonts w:hint="eastAsia" w:ascii="Times New Roman" w:hAnsi="Times New Roman" w:eastAsia="楷体_GB2312" w:cs="Times New Roman"/>
          <w:kern w:val="2"/>
          <w:sz w:val="32"/>
          <w:szCs w:val="32"/>
          <w:shd w:val="clear" w:color="auto" w:fill="auto"/>
          <w:lang w:val="en-US" w:eastAsia="zh-CN" w:bidi="ar-SA"/>
        </w:rPr>
        <w:t>（十）基金管理费</w:t>
      </w:r>
      <w:bookmarkEnd w:id="0"/>
      <w:r>
        <w:rPr>
          <w:rFonts w:hint="eastAsia" w:ascii="Times New Roman" w:hAnsi="Times New Roman" w:eastAsia="楷体_GB2312" w:cs="Times New Roman"/>
          <w:kern w:val="2"/>
          <w:sz w:val="32"/>
          <w:szCs w:val="32"/>
          <w:shd w:val="clear" w:color="auto" w:fill="auto"/>
          <w:lang w:val="en-US" w:eastAsia="zh-CN" w:bidi="ar-SA"/>
        </w:rPr>
        <w:t>。</w:t>
      </w:r>
      <w:r>
        <w:rPr>
          <w:rFonts w:hint="eastAsia" w:ascii="Times New Roman" w:hAnsi="Times New Roman" w:eastAsia="仿宋_GB2312" w:cs="Times New Roman"/>
          <w:color w:val="auto"/>
          <w:szCs w:val="22"/>
          <w:highlight w:val="none"/>
          <w:shd w:val="clear" w:color="auto" w:fill="auto"/>
        </w:rPr>
        <w:t>子基金</w:t>
      </w:r>
      <w:r>
        <w:rPr>
          <w:rFonts w:hint="eastAsia" w:ascii="Times New Roman" w:hAnsi="Times New Roman" w:eastAsia="仿宋_GB2312" w:cs="Times New Roman"/>
          <w:color w:val="auto"/>
          <w:szCs w:val="22"/>
          <w:highlight w:val="none"/>
          <w:shd w:val="clear" w:color="auto" w:fill="auto"/>
          <w:lang w:val="en-US" w:eastAsia="zh-CN"/>
        </w:rPr>
        <w:t>对引导基金公司出资部分</w:t>
      </w:r>
      <w:r>
        <w:rPr>
          <w:rFonts w:hint="eastAsia" w:ascii="Times New Roman" w:hAnsi="Times New Roman" w:eastAsia="仿宋_GB2312" w:cs="Times New Roman"/>
          <w:color w:val="auto"/>
          <w:szCs w:val="22"/>
          <w:highlight w:val="none"/>
          <w:shd w:val="clear" w:color="auto" w:fill="auto"/>
        </w:rPr>
        <w:t>收取的</w:t>
      </w:r>
      <w:r>
        <w:rPr>
          <w:rFonts w:hint="eastAsia" w:ascii="Times New Roman" w:hAnsi="Times New Roman" w:eastAsia="仿宋_GB2312" w:cs="Times New Roman"/>
          <w:color w:val="auto"/>
          <w:szCs w:val="22"/>
          <w:highlight w:val="none"/>
          <w:shd w:val="clear" w:color="auto" w:fill="auto"/>
          <w:lang w:val="en-US" w:eastAsia="zh-CN"/>
        </w:rPr>
        <w:t>年度</w:t>
      </w:r>
      <w:r>
        <w:rPr>
          <w:rFonts w:hint="eastAsia" w:ascii="Times New Roman" w:hAnsi="Times New Roman" w:eastAsia="仿宋_GB2312" w:cs="Times New Roman"/>
          <w:color w:val="auto"/>
          <w:szCs w:val="22"/>
          <w:highlight w:val="none"/>
          <w:shd w:val="clear" w:color="auto" w:fill="auto"/>
        </w:rPr>
        <w:t>管理费原则上不超过</w:t>
      </w:r>
      <w:r>
        <w:rPr>
          <w:rFonts w:hint="eastAsia" w:ascii="Times New Roman" w:hAnsi="Times New Roman" w:eastAsia="仿宋_GB2312" w:cs="Times New Roman"/>
          <w:color w:val="auto"/>
          <w:szCs w:val="22"/>
          <w:highlight w:val="none"/>
          <w:shd w:val="clear" w:color="auto" w:fill="auto"/>
          <w:lang w:val="en-US" w:eastAsia="zh-CN"/>
        </w:rPr>
        <w:t>引导基金公司</w:t>
      </w:r>
      <w:r>
        <w:rPr>
          <w:rFonts w:hint="eastAsia" w:ascii="Times New Roman" w:hAnsi="Times New Roman" w:eastAsia="仿宋_GB2312" w:cs="Times New Roman"/>
          <w:color w:val="auto"/>
          <w:szCs w:val="22"/>
          <w:highlight w:val="none"/>
          <w:shd w:val="clear" w:color="auto" w:fill="auto"/>
        </w:rPr>
        <w:t>实缴金额的</w:t>
      </w:r>
      <w:r>
        <w:rPr>
          <w:rFonts w:hint="eastAsia" w:ascii="Times New Roman" w:hAnsi="Times New Roman" w:eastAsia="仿宋_GB2312" w:cs="Times New Roman"/>
          <w:color w:val="auto"/>
          <w:szCs w:val="22"/>
          <w:highlight w:val="none"/>
          <w:shd w:val="clear" w:color="auto" w:fill="auto"/>
          <w:lang w:val="en-US" w:eastAsia="zh-CN"/>
        </w:rPr>
        <w:t>2.5%</w:t>
      </w:r>
      <w:r>
        <w:rPr>
          <w:rFonts w:hint="eastAsia" w:ascii="Times New Roman" w:hAnsi="Times New Roman" w:eastAsia="仿宋_GB2312" w:cs="Times New Roman"/>
          <w:color w:val="auto"/>
          <w:szCs w:val="22"/>
          <w:highlight w:val="none"/>
          <w:shd w:val="clear" w:color="auto" w:fill="auto"/>
          <w:lang w:eastAsia="zh-CN"/>
        </w:rPr>
        <w:t>。</w:t>
      </w:r>
    </w:p>
    <w:p w14:paraId="037D23AC">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kern w:val="2"/>
          <w:sz w:val="32"/>
          <w:szCs w:val="32"/>
          <w:shd w:val="clear" w:color="auto" w:fill="auto"/>
          <w:lang w:val="en-US" w:eastAsia="zh-CN" w:bidi="ar-SA"/>
        </w:rPr>
      </w:pPr>
      <w:r>
        <w:rPr>
          <w:rFonts w:hint="eastAsia" w:ascii="Times New Roman" w:hAnsi="Times New Roman" w:eastAsia="楷体_GB2312" w:cs="Times New Roman"/>
          <w:kern w:val="2"/>
          <w:sz w:val="32"/>
          <w:szCs w:val="32"/>
          <w:shd w:val="clear" w:color="auto" w:fill="auto"/>
          <w:lang w:val="en-US" w:eastAsia="zh-CN" w:bidi="ar-SA"/>
        </w:rPr>
        <w:t>（十一）资金托管。</w:t>
      </w:r>
      <w:r>
        <w:rPr>
          <w:rFonts w:hint="eastAsia" w:ascii="Times New Roman" w:hAnsi="Times New Roman" w:eastAsia="仿宋_GB2312" w:cs="Times New Roman"/>
          <w:kern w:val="2"/>
          <w:sz w:val="32"/>
          <w:szCs w:val="32"/>
          <w:shd w:val="clear" w:color="auto" w:fill="auto"/>
          <w:lang w:val="en-US" w:eastAsia="zh-CN" w:bidi="ar-SA"/>
        </w:rPr>
        <w:t>子基金资产应当委托有资质的商业银行进行托管。托管银行接受子基金委托并签订资金托管协议，按照托管协议开展资产保管、资金拨付和结算等日常工作，对投资活动进行动态监管。</w:t>
      </w:r>
    </w:p>
    <w:p w14:paraId="454C4569">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kern w:val="2"/>
          <w:sz w:val="32"/>
          <w:szCs w:val="32"/>
          <w:shd w:val="clear" w:color="auto" w:fill="auto"/>
          <w:lang w:val="en-US" w:eastAsia="zh-CN" w:bidi="ar-SA"/>
        </w:rPr>
      </w:pPr>
      <w:r>
        <w:rPr>
          <w:rFonts w:hint="eastAsia" w:ascii="Times New Roman" w:hAnsi="Times New Roman" w:eastAsia="楷体_GB2312" w:cs="Times New Roman"/>
          <w:kern w:val="2"/>
          <w:sz w:val="32"/>
          <w:szCs w:val="32"/>
          <w:shd w:val="clear" w:color="auto" w:fill="auto"/>
          <w:lang w:val="en-US" w:eastAsia="zh-CN" w:bidi="ar-SA"/>
        </w:rPr>
        <w:t>（十二）退出机制。</w:t>
      </w:r>
      <w:r>
        <w:rPr>
          <w:rFonts w:hint="eastAsia" w:ascii="Times New Roman" w:hAnsi="Times New Roman" w:eastAsia="仿宋_GB2312" w:cs="Times New Roman"/>
          <w:kern w:val="2"/>
          <w:sz w:val="32"/>
          <w:szCs w:val="32"/>
          <w:shd w:val="clear" w:color="auto" w:fill="auto"/>
          <w:lang w:val="en-US" w:eastAsia="zh-CN" w:bidi="ar-SA"/>
        </w:rPr>
        <w:t>子基金可以通过回购、股权（份额）转让、并购重组、挂牌上市、减资、清算等途径，实现投资退出。</w:t>
      </w:r>
    </w:p>
    <w:p w14:paraId="41996FD3">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color w:val="auto"/>
          <w:kern w:val="2"/>
          <w:sz w:val="32"/>
          <w:szCs w:val="32"/>
          <w:highlight w:val="none"/>
          <w:shd w:val="clear" w:color="auto" w:fill="auto"/>
          <w:lang w:val="en-US" w:eastAsia="zh-CN" w:bidi="ar-SA"/>
        </w:rPr>
      </w:pPr>
      <w:r>
        <w:rPr>
          <w:rFonts w:hint="eastAsia" w:ascii="Times New Roman" w:hAnsi="Times New Roman" w:eastAsia="楷体_GB2312" w:cs="Times New Roman"/>
          <w:kern w:val="2"/>
          <w:sz w:val="32"/>
          <w:szCs w:val="32"/>
          <w:shd w:val="clear" w:color="auto" w:fill="auto"/>
          <w:lang w:val="en-US" w:eastAsia="zh-CN" w:bidi="ar-SA"/>
        </w:rPr>
        <w:t>（十三）收益分配及亏损承担。</w:t>
      </w:r>
      <w:r>
        <w:rPr>
          <w:rFonts w:hint="eastAsia" w:ascii="Times New Roman" w:hAnsi="Times New Roman" w:eastAsia="仿宋_GB2312" w:cs="Times New Roman"/>
          <w:color w:val="auto"/>
          <w:kern w:val="2"/>
          <w:sz w:val="32"/>
          <w:szCs w:val="32"/>
          <w:highlight w:val="none"/>
          <w:shd w:val="clear" w:color="auto" w:fill="auto"/>
          <w:lang w:val="en-US" w:eastAsia="zh-CN" w:bidi="ar-SA"/>
        </w:rPr>
        <w:t>子基金投资期结束后，被投项目退出获得的回收资金原则上不得再用于对外投资，应当及时向出资人进行分配。</w:t>
      </w:r>
    </w:p>
    <w:p w14:paraId="117AC1D6">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黑体" w:cs="Times New Roman"/>
          <w:szCs w:val="24"/>
          <w:highlight w:val="none"/>
        </w:rPr>
      </w:pPr>
      <w:r>
        <w:rPr>
          <w:rFonts w:hint="eastAsia" w:ascii="Times New Roman" w:hAnsi="Times New Roman" w:eastAsia="仿宋_GB2312" w:cs="Times New Roman"/>
          <w:color w:val="auto"/>
          <w:kern w:val="2"/>
          <w:sz w:val="32"/>
          <w:szCs w:val="32"/>
          <w:highlight w:val="none"/>
          <w:shd w:val="clear" w:color="auto" w:fill="auto"/>
          <w:lang w:val="en-US" w:eastAsia="zh-CN" w:bidi="ar-SA"/>
        </w:rPr>
        <w:t>子基金投资收益分配原则上采取整体“先回本后分利”方式，投资收益先按照子基金各出资人实缴出资比例分配给各出资人，各出资人收回全部出资后剩余的投资收益再按照子基金合伙协议、公司章程等约定的方式予以分配。子基金清算出现亏损时，原则上由子基金各出资人按照出资比例承担，具体按照子基金合伙协议或公司章程约定办理。</w:t>
      </w:r>
    </w:p>
    <w:p w14:paraId="28D3AF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szCs w:val="24"/>
          <w:highlight w:val="none"/>
        </w:rPr>
      </w:pPr>
      <w:r>
        <w:rPr>
          <w:rFonts w:hint="eastAsia" w:ascii="Times New Roman" w:hAnsi="Times New Roman" w:eastAsia="黑体" w:cs="Times New Roman"/>
          <w:szCs w:val="24"/>
          <w:highlight w:val="none"/>
          <w:lang w:val="en-US" w:eastAsia="zh-CN"/>
        </w:rPr>
        <w:t>三、</w:t>
      </w:r>
      <w:r>
        <w:rPr>
          <w:rFonts w:hint="eastAsia" w:ascii="Times New Roman" w:hAnsi="Times New Roman" w:eastAsia="黑体" w:cs="Times New Roman"/>
          <w:szCs w:val="24"/>
          <w:highlight w:val="none"/>
        </w:rPr>
        <w:t>子基金</w:t>
      </w:r>
      <w:r>
        <w:rPr>
          <w:rFonts w:hint="eastAsia" w:ascii="Times New Roman" w:hAnsi="Times New Roman" w:eastAsia="黑体" w:cs="Times New Roman"/>
          <w:szCs w:val="24"/>
          <w:highlight w:val="none"/>
          <w:lang w:val="en-US" w:eastAsia="zh-CN"/>
        </w:rPr>
        <w:t>运作</w:t>
      </w:r>
      <w:r>
        <w:rPr>
          <w:rFonts w:hint="eastAsia" w:ascii="Times New Roman" w:hAnsi="Times New Roman" w:eastAsia="黑体" w:cs="Times New Roman"/>
          <w:szCs w:val="24"/>
          <w:highlight w:val="none"/>
        </w:rPr>
        <w:t>要求</w:t>
      </w:r>
    </w:p>
    <w:p w14:paraId="14ECE3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szCs w:val="24"/>
          <w:highlight w:val="none"/>
          <w:lang w:val="en-US" w:eastAsia="zh-CN"/>
        </w:rPr>
      </w:pP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一</w:t>
      </w: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监督管理</w:t>
      </w:r>
    </w:p>
    <w:p w14:paraId="71CAF6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引导基金公司根据需要可向子基金派出代表，监督子基金的投资和运作。具体以合伙协议或公司章程为准。</w:t>
      </w:r>
    </w:p>
    <w:p w14:paraId="72E25D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szCs w:val="24"/>
          <w:highlight w:val="none"/>
          <w:lang w:val="en-US" w:eastAsia="zh-CN"/>
        </w:rPr>
      </w:pP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二</w:t>
      </w: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出资顺序</w:t>
      </w:r>
    </w:p>
    <w:p w14:paraId="48F403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原则上子基金社会出资人资金到账后，引导基金公司再出资。</w:t>
      </w:r>
    </w:p>
    <w:p w14:paraId="26BEEA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szCs w:val="24"/>
          <w:highlight w:val="none"/>
          <w:lang w:val="en-US" w:eastAsia="zh-CN"/>
        </w:rPr>
      </w:pP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三</w:t>
      </w: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提前退出</w:t>
      </w:r>
    </w:p>
    <w:p w14:paraId="1EDBB1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在有受让方的情况下，引导基金公司可随时退出。</w:t>
      </w:r>
    </w:p>
    <w:p w14:paraId="1D7C8A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eastAsia="zh-CN"/>
        </w:rPr>
        <w:t>（</w:t>
      </w:r>
      <w:r>
        <w:rPr>
          <w:rFonts w:hint="eastAsia" w:ascii="Times New Roman" w:hAnsi="Times New Roman" w:eastAsia="楷体_GB2312" w:cs="Times New Roman"/>
          <w:szCs w:val="24"/>
          <w:highlight w:val="none"/>
          <w:lang w:val="en-US" w:eastAsia="zh-CN"/>
        </w:rPr>
        <w:t>四</w:t>
      </w: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rPr>
        <w:t>闲置资金使用</w:t>
      </w:r>
    </w:p>
    <w:p w14:paraId="584DD3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子基金的闲置资金只能投资于银行存款、国债、地方政府债、政策性金融债和政府支持债券等安全性和流动性较好的资产。</w:t>
      </w:r>
    </w:p>
    <w:p w14:paraId="26E9F1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24"/>
          <w:highlight w:val="none"/>
        </w:rPr>
      </w:pP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五</w:t>
      </w: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rPr>
        <w:t>投资限制</w:t>
      </w:r>
    </w:p>
    <w:p w14:paraId="0C99F9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 xml:space="preserve">子基金不得从事以下业务: </w:t>
      </w:r>
    </w:p>
    <w:p w14:paraId="495A18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1.</w:t>
      </w:r>
      <w:r>
        <w:rPr>
          <w:rFonts w:hint="eastAsia" w:ascii="Times New Roman" w:hAnsi="Times New Roman" w:eastAsia="仿宋_GB2312" w:cs="Times New Roman"/>
          <w:szCs w:val="24"/>
          <w:highlight w:val="none"/>
        </w:rPr>
        <w:t>从事融资担保以外的担保、抵押、委托贷款等业务。</w:t>
      </w:r>
    </w:p>
    <w:p w14:paraId="6F8714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2.</w:t>
      </w:r>
      <w:r>
        <w:rPr>
          <w:rFonts w:hint="eastAsia" w:ascii="Times New Roman" w:hAnsi="Times New Roman" w:eastAsia="仿宋_GB2312" w:cs="Times New Roman"/>
          <w:szCs w:val="24"/>
          <w:highlight w:val="none"/>
        </w:rPr>
        <w:t>投资二级市场股票（大宗交易、协议转让、战略配售、定向增发、并购重组除外）、期货、房地产、证券投资基金、评级AAA以下的企业债、信托产品、非保本型理财产品、保险计划及其他金融衍生品。</w:t>
      </w:r>
    </w:p>
    <w:p w14:paraId="33BBE5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3.</w:t>
      </w:r>
      <w:r>
        <w:rPr>
          <w:rFonts w:hint="eastAsia" w:ascii="Times New Roman" w:hAnsi="Times New Roman" w:eastAsia="仿宋_GB2312" w:cs="Times New Roman"/>
          <w:szCs w:val="24"/>
          <w:highlight w:val="none"/>
        </w:rPr>
        <w:t>向任何第三方提供赞助、捐赠（经批准的公益性捐赠除外）。</w:t>
      </w:r>
    </w:p>
    <w:p w14:paraId="7607A3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4.</w:t>
      </w:r>
      <w:r>
        <w:rPr>
          <w:rFonts w:hint="eastAsia" w:ascii="Times New Roman" w:hAnsi="Times New Roman" w:eastAsia="仿宋_GB2312" w:cs="Times New Roman"/>
          <w:szCs w:val="24"/>
          <w:highlight w:val="none"/>
        </w:rPr>
        <w:t>吸收或变相吸收存款，或向第三方提供贷款和资金拆借。</w:t>
      </w:r>
    </w:p>
    <w:p w14:paraId="046823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5.</w:t>
      </w:r>
      <w:r>
        <w:rPr>
          <w:rFonts w:hint="eastAsia" w:ascii="Times New Roman" w:hAnsi="Times New Roman" w:eastAsia="仿宋_GB2312" w:cs="Times New Roman"/>
          <w:szCs w:val="24"/>
          <w:highlight w:val="none"/>
        </w:rPr>
        <w:t>进行承担无限连带责任的对外投资。</w:t>
      </w:r>
    </w:p>
    <w:p w14:paraId="2F932A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6.</w:t>
      </w:r>
      <w:r>
        <w:rPr>
          <w:rFonts w:hint="eastAsia" w:ascii="Times New Roman" w:hAnsi="Times New Roman" w:eastAsia="仿宋_GB2312" w:cs="Times New Roman"/>
          <w:szCs w:val="24"/>
          <w:highlight w:val="none"/>
        </w:rPr>
        <w:t>发行信托或集合理财产品募集基金。</w:t>
      </w:r>
    </w:p>
    <w:p w14:paraId="642EA9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7.</w:t>
      </w:r>
      <w:r>
        <w:rPr>
          <w:rFonts w:hint="eastAsia" w:ascii="Times New Roman" w:hAnsi="Times New Roman" w:eastAsia="仿宋_GB2312" w:cs="Times New Roman"/>
          <w:szCs w:val="24"/>
          <w:highlight w:val="none"/>
        </w:rPr>
        <w:t>其他国家法律法规禁止从事的业务。</w:t>
      </w:r>
    </w:p>
    <w:p w14:paraId="594B47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Times New Roman"/>
          <w:szCs w:val="24"/>
          <w:highlight w:val="none"/>
        </w:rPr>
      </w:pP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六</w:t>
      </w: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rPr>
        <w:t>有权退出情形</w:t>
      </w:r>
    </w:p>
    <w:p w14:paraId="6C602F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有下列情况之一的，引导基金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有权要求退出：</w:t>
      </w:r>
    </w:p>
    <w:p w14:paraId="78D751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1.</w:t>
      </w:r>
      <w:r>
        <w:rPr>
          <w:rFonts w:hint="eastAsia" w:ascii="Times New Roman" w:hAnsi="Times New Roman" w:eastAsia="仿宋_GB2312" w:cs="Times New Roman"/>
          <w:szCs w:val="24"/>
          <w:highlight w:val="none"/>
        </w:rPr>
        <w:t>与子基金管理机构签订投资或合作协议后，子基金未完成注册登记或首期资金未实际到位超过1年的。</w:t>
      </w:r>
    </w:p>
    <w:p w14:paraId="3C46C8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2.</w:t>
      </w:r>
      <w:r>
        <w:rPr>
          <w:rFonts w:hint="eastAsia" w:ascii="Times New Roman" w:hAnsi="Times New Roman" w:eastAsia="仿宋_GB2312" w:cs="Times New Roman"/>
          <w:szCs w:val="24"/>
          <w:highlight w:val="none"/>
        </w:rPr>
        <w:t>出资后，子基金未开展投资业务超过1年，引导基金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可退出并要求子基金管理团队或其指定的主体全额回购引导基金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出资份额，回购价格不低于引导基金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原始投资金额加同期1年期贷款市场报价利率（LPR）计算的收益之和。</w:t>
      </w:r>
    </w:p>
    <w:p w14:paraId="7C70F1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3.</w:t>
      </w:r>
      <w:r>
        <w:rPr>
          <w:rFonts w:hint="eastAsia" w:ascii="Times New Roman" w:hAnsi="Times New Roman" w:eastAsia="仿宋_GB2312" w:cs="Times New Roman"/>
          <w:szCs w:val="24"/>
          <w:highlight w:val="none"/>
        </w:rPr>
        <w:t>子基金未按合伙协议或公司章程规定投资企业的，引导基金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有权退出，并要求子基金管理人承担相应赔偿。</w:t>
      </w:r>
    </w:p>
    <w:p w14:paraId="539461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4.</w:t>
      </w:r>
      <w:r>
        <w:rPr>
          <w:rFonts w:hint="eastAsia" w:ascii="Times New Roman" w:hAnsi="Times New Roman" w:eastAsia="仿宋_GB2312" w:cs="Times New Roman"/>
          <w:szCs w:val="24"/>
          <w:highlight w:val="none"/>
        </w:rPr>
        <w:t>子基金投资项目不符合规定的政策导向的。</w:t>
      </w:r>
    </w:p>
    <w:p w14:paraId="3C4965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5.</w:t>
      </w:r>
      <w:r>
        <w:rPr>
          <w:rFonts w:hint="eastAsia" w:ascii="Times New Roman" w:hAnsi="Times New Roman" w:eastAsia="仿宋_GB2312" w:cs="Times New Roman"/>
          <w:szCs w:val="24"/>
          <w:highlight w:val="none"/>
        </w:rPr>
        <w:t>子基金与引导基金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达成合作之日起超过1年，子基金管理机构或其关联方仍未与引导基金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签署合伙协议、公司章程的，引导基金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相关投资决策文件失效。</w:t>
      </w:r>
    </w:p>
    <w:p w14:paraId="1232D0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szCs w:val="24"/>
          <w:highlight w:val="none"/>
          <w:lang w:val="en-US" w:eastAsia="zh-CN"/>
        </w:rPr>
      </w:pP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七</w:t>
      </w: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信息报送</w:t>
      </w:r>
    </w:p>
    <w:p w14:paraId="498E40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引导基金公司对子基金施行投资后管理。子基金管理机构应当在每季度结束后及时向引导基金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提交上季度子基金业务运作报告；并在每年度结束后4个月内，向引导基金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提交上年度子基金运营报告、经审计的子基金财务报告和银行托管报告。引导基金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视工作需要可委托专业机构对子基金进行审计。发现资金安排中有与合伙协议或公司章程不符的情况应要求子基金管理机构改正或追回损失。</w:t>
      </w:r>
    </w:p>
    <w:p w14:paraId="74902A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Cs w:val="24"/>
          <w:highlight w:val="none"/>
          <w:lang w:val="en-US" w:eastAsia="zh-CN"/>
        </w:rPr>
      </w:pP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八</w:t>
      </w:r>
      <w:r>
        <w:rPr>
          <w:rFonts w:hint="eastAsia" w:ascii="Times New Roman" w:hAnsi="Times New Roman" w:eastAsia="楷体_GB2312" w:cs="Times New Roman"/>
          <w:szCs w:val="24"/>
          <w:highlight w:val="none"/>
          <w:lang w:eastAsia="zh-CN"/>
        </w:rPr>
        <w:t>）</w:t>
      </w:r>
      <w:r>
        <w:rPr>
          <w:rFonts w:hint="eastAsia" w:ascii="Times New Roman" w:hAnsi="Times New Roman" w:eastAsia="楷体_GB2312" w:cs="Times New Roman"/>
          <w:szCs w:val="24"/>
          <w:highlight w:val="none"/>
          <w:lang w:val="en-US" w:eastAsia="zh-CN"/>
        </w:rPr>
        <w:t>责任追究</w:t>
      </w:r>
    </w:p>
    <w:p w14:paraId="7AB37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对子基金申请机构、管理机构、管理机构关联方弄虚作假骗取或不按规定用途使用</w:t>
      </w:r>
      <w:r>
        <w:rPr>
          <w:rFonts w:hint="eastAsia" w:ascii="Times New Roman" w:hAnsi="Times New Roman" w:eastAsia="仿宋_GB2312" w:cs="Times New Roman"/>
          <w:szCs w:val="24"/>
          <w:highlight w:val="none"/>
          <w:lang w:val="en-US" w:eastAsia="zh-CN"/>
        </w:rPr>
        <w:t>基金</w:t>
      </w:r>
      <w:r>
        <w:rPr>
          <w:rFonts w:hint="eastAsia" w:cs="Times New Roman"/>
          <w:szCs w:val="24"/>
          <w:highlight w:val="none"/>
          <w:lang w:val="en-US" w:eastAsia="zh-CN"/>
        </w:rPr>
        <w:t>财产</w:t>
      </w:r>
      <w:r>
        <w:rPr>
          <w:rFonts w:hint="eastAsia" w:ascii="Times New Roman" w:hAnsi="Times New Roman" w:eastAsia="仿宋_GB2312" w:cs="Times New Roman"/>
          <w:szCs w:val="24"/>
          <w:highlight w:val="none"/>
        </w:rPr>
        <w:t>等行为，引导基金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将依法追究相关责任。</w:t>
      </w:r>
    </w:p>
    <w:p w14:paraId="4F4DAE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仿宋_GB2312" w:cs="Times New Roman"/>
          <w:szCs w:val="24"/>
          <w:highlight w:val="none"/>
        </w:rPr>
      </w:pPr>
      <w:r>
        <w:rPr>
          <w:rFonts w:hint="eastAsia" w:ascii="Times New Roman" w:hAnsi="Times New Roman" w:eastAsia="黑体" w:cs="Times New Roman"/>
          <w:szCs w:val="24"/>
          <w:highlight w:val="none"/>
          <w:lang w:val="en-US" w:eastAsia="zh-CN"/>
        </w:rPr>
        <w:t>四、子基金激励机制</w:t>
      </w:r>
    </w:p>
    <w:p w14:paraId="649E31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子基金可在以下激励方式中任选其一：</w:t>
      </w:r>
    </w:p>
    <w:p w14:paraId="3EA6FB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楷体_GB2312" w:hAnsi="楷体_GB2312" w:eastAsia="楷体_GB2312" w:cs="楷体_GB2312"/>
          <w:szCs w:val="24"/>
          <w:highlight w:val="none"/>
          <w:lang w:val="en-US" w:eastAsia="zh-CN"/>
        </w:rPr>
        <w:t>（一）</w:t>
      </w:r>
      <w:r>
        <w:rPr>
          <w:rFonts w:hint="eastAsia" w:ascii="楷体_GB2312" w:hAnsi="楷体_GB2312" w:eastAsia="楷体_GB2312" w:cs="楷体_GB2312"/>
          <w:szCs w:val="24"/>
          <w:highlight w:val="none"/>
        </w:rPr>
        <w:t>超额收益。</w:t>
      </w:r>
      <w:r>
        <w:rPr>
          <w:rFonts w:hint="eastAsia" w:ascii="Times New Roman" w:hAnsi="Times New Roman" w:eastAsia="仿宋_GB2312" w:cs="Times New Roman"/>
          <w:szCs w:val="24"/>
          <w:highlight w:val="none"/>
        </w:rPr>
        <w:t>子基金设定门槛收益率，超过5%门槛收益率（即种子基金实缴出资金额的5%）的，按照不超过超额收益的40%对基金管理机构进行激励。具体以合伙协议或公司章程约定为准。</w:t>
      </w:r>
    </w:p>
    <w:p w14:paraId="185D77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楷体_GB2312" w:hAnsi="楷体_GB2312" w:eastAsia="楷体_GB2312" w:cs="楷体_GB2312"/>
          <w:szCs w:val="24"/>
          <w:highlight w:val="none"/>
          <w:lang w:val="en-US" w:eastAsia="zh-CN"/>
        </w:rPr>
        <w:t>（二）</w:t>
      </w:r>
      <w:r>
        <w:rPr>
          <w:rFonts w:hint="eastAsia" w:ascii="楷体_GB2312" w:hAnsi="楷体_GB2312" w:eastAsia="楷体_GB2312" w:cs="楷体_GB2312"/>
          <w:szCs w:val="24"/>
          <w:highlight w:val="none"/>
        </w:rPr>
        <w:t>回购。</w:t>
      </w:r>
      <w:r>
        <w:rPr>
          <w:rFonts w:hint="eastAsia" w:ascii="Times New Roman" w:hAnsi="Times New Roman" w:eastAsia="仿宋_GB2312" w:cs="Times New Roman"/>
          <w:szCs w:val="24"/>
          <w:highlight w:val="none"/>
        </w:rPr>
        <w:t>在子基金投资期内，已满足郑东新区投资目标的，子基金管理机构或其关联方可申请回购引导基金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持有的基金股权或财产份额。自引导基金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投入后3年</w:t>
      </w:r>
      <w:r>
        <w:rPr>
          <w:rFonts w:hint="eastAsia" w:cs="Times New Roman"/>
          <w:szCs w:val="24"/>
          <w:highlight w:val="none"/>
          <w:lang w:val="en-US" w:eastAsia="zh-CN"/>
        </w:rPr>
        <w:t>以</w:t>
      </w:r>
      <w:r>
        <w:rPr>
          <w:rFonts w:hint="eastAsia" w:ascii="Times New Roman" w:hAnsi="Times New Roman" w:eastAsia="仿宋_GB2312" w:cs="Times New Roman"/>
          <w:szCs w:val="24"/>
          <w:highlight w:val="none"/>
        </w:rPr>
        <w:t>内（含3年）回购的，且对外投资达到实收资本80%的，其回购价格不低于引导基金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原始投资金额；3年以上5年以内（含5年）回购的，回购价格不低于引导基金</w:t>
      </w:r>
      <w:r>
        <w:rPr>
          <w:rFonts w:hint="eastAsia" w:ascii="Times New Roman" w:hAnsi="Times New Roman" w:eastAsia="仿宋_GB2312" w:cs="Times New Roman"/>
          <w:szCs w:val="24"/>
          <w:highlight w:val="none"/>
          <w:lang w:val="en-US" w:eastAsia="zh-CN"/>
        </w:rPr>
        <w:t>公司</w:t>
      </w:r>
      <w:r>
        <w:rPr>
          <w:rFonts w:hint="eastAsia" w:ascii="Times New Roman" w:hAnsi="Times New Roman" w:eastAsia="仿宋_GB2312" w:cs="Times New Roman"/>
          <w:szCs w:val="24"/>
          <w:highlight w:val="none"/>
        </w:rPr>
        <w:t>原始投资金额及同期1年期贷款市场报价利率（LPR）计算的收益之和。具体以合伙协议或公司章程为准。</w:t>
      </w:r>
    </w:p>
    <w:p w14:paraId="587EC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Cs w:val="22"/>
          <w:highlight w:val="none"/>
          <w:lang w:val="en-US" w:eastAsia="zh-CN"/>
        </w:rPr>
      </w:pPr>
      <w:r>
        <w:rPr>
          <w:rFonts w:hint="eastAsia" w:eastAsia="黑体" w:cs="Times New Roman"/>
          <w:szCs w:val="22"/>
          <w:highlight w:val="none"/>
          <w:lang w:val="en-US" w:eastAsia="zh-CN"/>
        </w:rPr>
        <w:t>五</w:t>
      </w:r>
      <w:r>
        <w:rPr>
          <w:rFonts w:hint="eastAsia" w:ascii="Times New Roman" w:hAnsi="Times New Roman" w:eastAsia="黑体" w:cs="Times New Roman"/>
          <w:szCs w:val="22"/>
          <w:highlight w:val="none"/>
          <w:lang w:val="en-US" w:eastAsia="zh-CN"/>
        </w:rPr>
        <w:t>、申报材料</w:t>
      </w:r>
    </w:p>
    <w:p w14:paraId="0F02979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2"/>
          <w:highlight w:val="none"/>
          <w:lang w:val="en-US" w:eastAsia="zh-CN"/>
        </w:rPr>
      </w:pPr>
      <w:r>
        <w:rPr>
          <w:rFonts w:hint="eastAsia" w:ascii="Times New Roman" w:hAnsi="Times New Roman" w:eastAsia="仿宋_GB2312" w:cs="Times New Roman"/>
          <w:szCs w:val="22"/>
          <w:highlight w:val="none"/>
          <w:lang w:val="en-US" w:eastAsia="zh-CN"/>
        </w:rPr>
        <w:t>申请机构需要提交的材料包括但不限于：</w:t>
      </w:r>
    </w:p>
    <w:p w14:paraId="532439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22"/>
          <w:highlight w:val="none"/>
          <w:lang w:val="en-US"/>
        </w:rPr>
      </w:pPr>
      <w:r>
        <w:rPr>
          <w:rFonts w:hint="eastAsia" w:ascii="Times New Roman" w:hAnsi="Times New Roman" w:eastAsia="仿宋_GB2312" w:cs="Times New Roman"/>
          <w:szCs w:val="22"/>
          <w:highlight w:val="none"/>
          <w:lang w:val="en-US" w:eastAsia="zh-CN"/>
        </w:rPr>
        <w:t>1.中原科技城种子基金子基金申请表</w:t>
      </w:r>
    </w:p>
    <w:p w14:paraId="74D753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2.</w:t>
      </w:r>
      <w:r>
        <w:rPr>
          <w:rFonts w:hint="eastAsia" w:ascii="Times New Roman" w:hAnsi="Times New Roman" w:eastAsia="仿宋_GB2312" w:cs="Times New Roman"/>
          <w:szCs w:val="24"/>
          <w:highlight w:val="none"/>
        </w:rPr>
        <w:t>子基金设立方案</w:t>
      </w:r>
    </w:p>
    <w:p w14:paraId="37FBF3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3.子基金</w:t>
      </w:r>
      <w:r>
        <w:rPr>
          <w:rFonts w:hint="eastAsia" w:ascii="Times New Roman" w:hAnsi="Times New Roman" w:eastAsia="仿宋_GB2312" w:cs="Times New Roman"/>
          <w:szCs w:val="24"/>
          <w:highlight w:val="none"/>
        </w:rPr>
        <w:t>管理机构证明材料清单</w:t>
      </w:r>
    </w:p>
    <w:p w14:paraId="1992BD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4.</w:t>
      </w:r>
      <w:r>
        <w:rPr>
          <w:rFonts w:hint="eastAsia" w:ascii="Times New Roman" w:hAnsi="Times New Roman" w:eastAsia="仿宋_GB2312" w:cs="Times New Roman"/>
          <w:szCs w:val="24"/>
          <w:highlight w:val="none"/>
        </w:rPr>
        <w:t>出资承诺函</w:t>
      </w:r>
    </w:p>
    <w:p w14:paraId="39DBAC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lang w:val="en-US" w:eastAsia="zh-CN"/>
        </w:rPr>
        <w:t>5.</w:t>
      </w:r>
      <w:r>
        <w:rPr>
          <w:rFonts w:hint="eastAsia" w:ascii="Times New Roman" w:hAnsi="Times New Roman" w:eastAsia="仿宋_GB2312" w:cs="Times New Roman"/>
          <w:szCs w:val="24"/>
          <w:highlight w:val="none"/>
        </w:rPr>
        <w:t>承诺函</w:t>
      </w:r>
    </w:p>
    <w:p w14:paraId="43C93C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Cs w:val="24"/>
          <w:highlight w:val="none"/>
        </w:rPr>
      </w:pPr>
      <w:r>
        <w:rPr>
          <w:rFonts w:hint="eastAsia" w:cs="Times New Roman"/>
          <w:szCs w:val="24"/>
          <w:highlight w:val="none"/>
          <w:lang w:val="en-US" w:eastAsia="zh-CN"/>
        </w:rPr>
        <w:t>6.</w:t>
      </w:r>
      <w:r>
        <w:rPr>
          <w:rFonts w:hint="eastAsia" w:ascii="Times New Roman" w:hAnsi="Times New Roman" w:eastAsia="仿宋_GB2312" w:cs="Times New Roman"/>
          <w:szCs w:val="24"/>
          <w:highlight w:val="none"/>
        </w:rPr>
        <w:t>廉洁承诺书</w:t>
      </w:r>
    </w:p>
    <w:p w14:paraId="3DBAB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24"/>
          <w:highlight w:val="none"/>
          <w:lang w:val="en-US" w:eastAsia="zh-CN"/>
        </w:rPr>
      </w:pPr>
      <w:r>
        <w:rPr>
          <w:rFonts w:hint="eastAsia" w:cs="Times New Roman"/>
          <w:szCs w:val="24"/>
          <w:highlight w:val="none"/>
          <w:lang w:val="en-US" w:eastAsia="zh-CN"/>
        </w:rPr>
        <w:t>7</w:t>
      </w:r>
      <w:r>
        <w:rPr>
          <w:rFonts w:hint="eastAsia" w:ascii="Times New Roman" w:hAnsi="Times New Roman" w:eastAsia="仿宋_GB2312" w:cs="Times New Roman"/>
          <w:szCs w:val="24"/>
          <w:highlight w:val="none"/>
          <w:lang w:val="en-US" w:eastAsia="zh-CN"/>
        </w:rPr>
        <w:t>.子基金合规性自查表</w:t>
      </w:r>
    </w:p>
    <w:p w14:paraId="0E32E7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szCs w:val="24"/>
          <w:highlight w:val="none"/>
        </w:rPr>
      </w:pPr>
    </w:p>
    <w:p w14:paraId="359150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szCs w:val="24"/>
          <w:highlight w:val="none"/>
        </w:rPr>
      </w:pPr>
    </w:p>
    <w:p w14:paraId="54CE69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szCs w:val="24"/>
          <w:highlight w:val="none"/>
        </w:rPr>
      </w:pPr>
    </w:p>
    <w:p w14:paraId="378166E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outlineLvl w:val="9"/>
        <w:rPr>
          <w:rFonts w:ascii="Times New Roman" w:hAnsi="Times New Roman" w:eastAsia="仿宋_GB2312" w:cs="Times New Roman"/>
          <w:szCs w:val="24"/>
          <w:highlight w:val="none"/>
        </w:rPr>
      </w:pPr>
    </w:p>
    <w:p w14:paraId="5C061A8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Times New Roman" w:hAnsi="Times New Roman" w:eastAsia="黑体" w:cs="Times New Roman"/>
          <w:highlight w:val="none"/>
          <w:lang w:val="en-US" w:eastAsia="zh-CN"/>
        </w:rPr>
        <w:sectPr>
          <w:footerReference r:id="rId5" w:type="default"/>
          <w:pgSz w:w="11906" w:h="16838"/>
          <w:pgMar w:top="2098" w:right="1474" w:bottom="1984" w:left="1587" w:header="851" w:footer="992" w:gutter="0"/>
          <w:pgNumType w:fmt="decimal" w:start="1"/>
          <w:cols w:space="425" w:num="1"/>
          <w:docGrid w:type="lines" w:linePitch="312" w:charSpace="0"/>
        </w:sectPr>
      </w:pPr>
    </w:p>
    <w:p w14:paraId="21BAA4A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Times New Roman" w:hAnsi="Times New Roman" w:eastAsia="仿宋_GB2312" w:cs="Times New Roman"/>
          <w:szCs w:val="24"/>
          <w:highlight w:val="none"/>
        </w:rPr>
      </w:pPr>
    </w:p>
    <w:p w14:paraId="221F601C">
      <w:pPr>
        <w:spacing w:line="560" w:lineRule="exact"/>
        <w:ind w:firstLine="0" w:firstLineChars="0"/>
        <w:jc w:val="center"/>
        <w:rPr>
          <w:rFonts w:hint="eastAsia" w:ascii="Times New Roman" w:hAnsi="Times New Roman" w:eastAsia="方正小标宋简体" w:cs="Times New Roman"/>
          <w:sz w:val="44"/>
          <w:szCs w:val="44"/>
        </w:rPr>
      </w:pPr>
    </w:p>
    <w:p w14:paraId="3375E1B9">
      <w:pPr>
        <w:rPr>
          <w:rFonts w:hint="eastAsia"/>
        </w:rPr>
      </w:pPr>
    </w:p>
    <w:p w14:paraId="6A312DCF">
      <w:pPr>
        <w:spacing w:line="560" w:lineRule="exact"/>
        <w:ind w:firstLine="0" w:firstLineChars="0"/>
        <w:jc w:val="center"/>
        <w:rPr>
          <w:rFonts w:hint="eastAsia" w:ascii="Times New Roman" w:hAnsi="Times New Roman" w:eastAsia="仿宋_GB2312" w:cs="Times New Roman"/>
          <w:sz w:val="32"/>
          <w:szCs w:val="32"/>
        </w:rPr>
      </w:pPr>
    </w:p>
    <w:p w14:paraId="290629CC">
      <w:pPr>
        <w:spacing w:line="560" w:lineRule="exact"/>
        <w:ind w:firstLine="0" w:firstLineChars="0"/>
        <w:jc w:val="center"/>
        <w:rPr>
          <w:rFonts w:hint="eastAsia" w:ascii="Times New Roman" w:hAnsi="Times New Roman" w:eastAsia="仿宋_GB2312" w:cs="Times New Roman"/>
          <w:sz w:val="32"/>
          <w:szCs w:val="32"/>
        </w:rPr>
      </w:pPr>
    </w:p>
    <w:p w14:paraId="714FCD7F">
      <w:pPr>
        <w:spacing w:line="560" w:lineRule="exact"/>
        <w:ind w:firstLine="0" w:firstLineChars="0"/>
        <w:jc w:val="center"/>
        <w:rPr>
          <w:rFonts w:hint="eastAsia" w:ascii="Times New Roman" w:hAnsi="Times New Roman" w:eastAsia="仿宋_GB2312" w:cs="Times New Roman"/>
          <w:sz w:val="32"/>
          <w:szCs w:val="32"/>
        </w:rPr>
      </w:pPr>
    </w:p>
    <w:p w14:paraId="40B6AA0C">
      <w:pPr>
        <w:spacing w:line="560" w:lineRule="exact"/>
        <w:ind w:firstLine="0" w:firstLineChars="0"/>
        <w:jc w:val="center"/>
        <w:rPr>
          <w:rFonts w:hint="eastAsia" w:ascii="Times New Roman" w:hAnsi="Times New Roman" w:eastAsia="仿宋_GB2312" w:cs="Times New Roman"/>
          <w:sz w:val="32"/>
          <w:szCs w:val="32"/>
        </w:rPr>
      </w:pPr>
    </w:p>
    <w:p w14:paraId="3F21B16D">
      <w:pPr>
        <w:spacing w:line="560" w:lineRule="exact"/>
        <w:ind w:firstLine="0" w:firstLineChars="0"/>
        <w:jc w:val="center"/>
        <w:rPr>
          <w:rFonts w:hint="eastAsia" w:ascii="Times New Roman" w:hAnsi="Times New Roman" w:eastAsia="仿宋_GB2312" w:cs="Times New Roman"/>
          <w:sz w:val="32"/>
          <w:szCs w:val="32"/>
        </w:rPr>
      </w:pPr>
    </w:p>
    <w:p w14:paraId="0FA49EAF">
      <w:pPr>
        <w:spacing w:line="560" w:lineRule="exact"/>
        <w:ind w:firstLine="0" w:firstLineChars="0"/>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中原科技城种子基金子基金</w:t>
      </w:r>
      <w:r>
        <w:rPr>
          <w:rFonts w:hint="eastAsia" w:ascii="方正小标宋_GBK" w:hAnsi="方正小标宋_GBK" w:eastAsia="方正小标宋_GBK" w:cs="方正小标宋_GBK"/>
          <w:sz w:val="44"/>
          <w:szCs w:val="44"/>
          <w:lang w:val="en-US" w:eastAsia="zh-CN"/>
        </w:rPr>
        <w:t>申报材料</w:t>
      </w:r>
    </w:p>
    <w:p w14:paraId="2431BD67">
      <w:pPr>
        <w:spacing w:line="560" w:lineRule="exact"/>
        <w:ind w:firstLine="0" w:firstLineChars="0"/>
        <w:jc w:val="center"/>
        <w:rPr>
          <w:rFonts w:hint="eastAsia" w:ascii="Times New Roman" w:hAnsi="Times New Roman" w:eastAsia="方正小标宋简体" w:cs="Times New Roman"/>
          <w:sz w:val="48"/>
          <w:szCs w:val="48"/>
        </w:rPr>
      </w:pPr>
    </w:p>
    <w:p w14:paraId="59491966">
      <w:pPr>
        <w:spacing w:line="560" w:lineRule="exact"/>
        <w:ind w:firstLine="0" w:firstLineChars="0"/>
        <w:jc w:val="center"/>
        <w:rPr>
          <w:rFonts w:hint="eastAsia" w:ascii="Times New Roman" w:hAnsi="Times New Roman" w:eastAsia="方正小标宋简体" w:cs="Times New Roman"/>
          <w:sz w:val="48"/>
          <w:szCs w:val="48"/>
        </w:rPr>
      </w:pPr>
    </w:p>
    <w:p w14:paraId="3FCC44D6">
      <w:pPr>
        <w:spacing w:line="560" w:lineRule="exact"/>
        <w:ind w:firstLine="0" w:firstLineChars="0"/>
        <w:jc w:val="center"/>
        <w:rPr>
          <w:rFonts w:hint="eastAsia" w:ascii="Times New Roman" w:hAnsi="Times New Roman" w:eastAsia="仿宋_GB2312" w:cs="Times New Roman"/>
          <w:sz w:val="32"/>
          <w:szCs w:val="32"/>
        </w:rPr>
      </w:pPr>
    </w:p>
    <w:p w14:paraId="3A3142A4">
      <w:pPr>
        <w:spacing w:line="560" w:lineRule="exact"/>
        <w:ind w:firstLine="0" w:firstLineChars="0"/>
        <w:jc w:val="center"/>
        <w:rPr>
          <w:rFonts w:hint="eastAsia" w:ascii="Times New Roman" w:hAnsi="Times New Roman" w:eastAsia="仿宋_GB2312" w:cs="Times New Roman"/>
          <w:sz w:val="32"/>
          <w:szCs w:val="32"/>
        </w:rPr>
      </w:pPr>
    </w:p>
    <w:p w14:paraId="37B3849E">
      <w:pPr>
        <w:spacing w:line="560" w:lineRule="exact"/>
        <w:ind w:firstLine="0" w:firstLineChars="0"/>
        <w:jc w:val="center"/>
        <w:rPr>
          <w:rFonts w:hint="eastAsia" w:ascii="Times New Roman" w:hAnsi="Times New Roman" w:eastAsia="仿宋_GB2312" w:cs="Times New Roman"/>
          <w:sz w:val="32"/>
          <w:szCs w:val="32"/>
        </w:rPr>
      </w:pPr>
    </w:p>
    <w:p w14:paraId="0143109A">
      <w:pPr>
        <w:spacing w:line="560" w:lineRule="exact"/>
        <w:ind w:firstLine="0" w:firstLineChars="0"/>
        <w:jc w:val="center"/>
        <w:rPr>
          <w:rFonts w:hint="eastAsia" w:ascii="Times New Roman" w:hAnsi="Times New Roman" w:eastAsia="仿宋_GB2312" w:cs="Times New Roman"/>
          <w:sz w:val="32"/>
          <w:szCs w:val="32"/>
        </w:rPr>
      </w:pPr>
    </w:p>
    <w:p w14:paraId="054C8E6D">
      <w:pPr>
        <w:spacing w:line="560" w:lineRule="exact"/>
        <w:ind w:firstLine="0" w:firstLineChars="0"/>
        <w:jc w:val="center"/>
        <w:rPr>
          <w:rFonts w:hint="eastAsia"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联系人：</w:t>
      </w:r>
    </w:p>
    <w:p w14:paraId="11CC37EF">
      <w:pPr>
        <w:spacing w:line="560" w:lineRule="exact"/>
        <w:ind w:firstLine="0" w:firstLineChars="0"/>
        <w:jc w:val="center"/>
        <w:rPr>
          <w:rFonts w:hint="eastAsia"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联系电话：</w:t>
      </w:r>
    </w:p>
    <w:p w14:paraId="58F6F5F4">
      <w:pPr>
        <w:spacing w:line="560" w:lineRule="exact"/>
        <w:ind w:firstLine="0" w:firstLineChars="0"/>
        <w:jc w:val="center"/>
        <w:rPr>
          <w:rFonts w:hint="eastAsia"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邮箱：</w:t>
      </w:r>
    </w:p>
    <w:p w14:paraId="5C511FFF">
      <w:pPr>
        <w:spacing w:line="560" w:lineRule="exact"/>
        <w:ind w:firstLine="944" w:firstLineChars="295"/>
        <w:jc w:val="center"/>
        <w:rPr>
          <w:rFonts w:hint="eastAsia" w:ascii="Times New Roman" w:hAnsi="Times New Roman" w:eastAsia="方正小标宋简体" w:cs="Times New Roman"/>
          <w:sz w:val="32"/>
          <w:szCs w:val="32"/>
        </w:rPr>
      </w:pPr>
    </w:p>
    <w:p w14:paraId="02FC0313">
      <w:pPr>
        <w:spacing w:line="560" w:lineRule="exact"/>
        <w:ind w:firstLine="0" w:firstLineChars="0"/>
        <w:jc w:val="center"/>
        <w:rPr>
          <w:rFonts w:hint="eastAsia" w:ascii="Times New Roman" w:hAnsi="Times New Roman" w:eastAsia="方正小标宋简体" w:cs="Times New Roman"/>
          <w:sz w:val="32"/>
          <w:szCs w:val="32"/>
        </w:rPr>
      </w:pPr>
      <w:r>
        <w:rPr>
          <w:rFonts w:hint="eastAsia" w:ascii="方正小标宋_GBK" w:hAnsi="方正小标宋_GBK" w:eastAsia="方正小标宋_GBK" w:cs="方正小标宋_GBK"/>
          <w:sz w:val="32"/>
          <w:szCs w:val="32"/>
          <w:lang w:val="en-US" w:eastAsia="zh-CN"/>
        </w:rPr>
        <w:t>申请</w:t>
      </w:r>
      <w:r>
        <w:rPr>
          <w:rFonts w:hint="eastAsia" w:ascii="Times New Roman" w:hAnsi="Times New Roman" w:eastAsia="方正小标宋简体" w:cs="Times New Roman"/>
          <w:sz w:val="32"/>
          <w:szCs w:val="32"/>
        </w:rPr>
        <w:t>机构：</w:t>
      </w:r>
      <w:r>
        <w:rPr>
          <w:rFonts w:ascii="Times New Roman" w:hAnsi="Times New Roman" w:eastAsia="方正小标宋简体" w:cs="Times New Roman"/>
          <w:sz w:val="32"/>
          <w:szCs w:val="32"/>
        </w:rPr>
        <w:t>XXX公司（盖章）</w:t>
      </w:r>
    </w:p>
    <w:p w14:paraId="1AEF656E">
      <w:pPr>
        <w:spacing w:line="560" w:lineRule="exact"/>
        <w:ind w:firstLine="0" w:firstLineChars="0"/>
        <w:jc w:val="center"/>
        <w:rPr>
          <w:rFonts w:hint="eastAsia" w:ascii="Times New Roman" w:hAnsi="Times New Roman" w:eastAsia="方正小标宋简体" w:cs="Times New Roman"/>
          <w:sz w:val="32"/>
          <w:szCs w:val="32"/>
        </w:rPr>
      </w:pPr>
      <w:r>
        <w:rPr>
          <w:rFonts w:ascii="Times New Roman" w:hAnsi="Times New Roman" w:eastAsia="方正小标宋简体" w:cs="Times New Roman"/>
          <w:sz w:val="32"/>
          <w:szCs w:val="32"/>
        </w:rPr>
        <w:t>XXXX年XX月</w:t>
      </w:r>
    </w:p>
    <w:p w14:paraId="4D184330">
      <w:pPr>
        <w:spacing w:line="560" w:lineRule="exact"/>
        <w:ind w:firstLine="0" w:firstLineChars="0"/>
        <w:jc w:val="center"/>
        <w:outlineLvl w:val="0"/>
        <w:rPr>
          <w:rFonts w:hint="eastAsia" w:ascii="Times New Roman" w:hAnsi="Times New Roman" w:eastAsia="黑体" w:cs="Times New Roman"/>
          <w:sz w:val="32"/>
          <w:szCs w:val="32"/>
        </w:rPr>
      </w:pPr>
    </w:p>
    <w:p w14:paraId="42147224">
      <w:pPr>
        <w:spacing w:line="560" w:lineRule="exact"/>
        <w:ind w:firstLine="0" w:firstLineChars="0"/>
        <w:jc w:val="left"/>
        <w:rPr>
          <w:rFonts w:hint="eastAsia" w:ascii="Times New Roman" w:hAnsi="Times New Roman" w:eastAsia="黑体" w:cs="Times New Roman"/>
          <w:szCs w:val="24"/>
          <w:highlight w:val="none"/>
          <w:lang w:val="en-US" w:eastAsia="zh-CN"/>
        </w:rPr>
      </w:pPr>
    </w:p>
    <w:p w14:paraId="08576CE1">
      <w:pPr>
        <w:spacing w:line="560" w:lineRule="exact"/>
        <w:ind w:firstLine="0" w:firstLineChars="0"/>
        <w:jc w:val="left"/>
        <w:rPr>
          <w:rFonts w:hint="eastAsia" w:ascii="Times New Roman" w:hAnsi="Times New Roman" w:eastAsia="黑体" w:cs="Times New Roman"/>
          <w:szCs w:val="24"/>
          <w:highlight w:val="none"/>
          <w:lang w:val="en-US" w:eastAsia="zh-CN"/>
        </w:rPr>
        <w:sectPr>
          <w:footerReference r:id="rId6" w:type="default"/>
          <w:pgSz w:w="11906" w:h="16838"/>
          <w:pgMar w:top="2098" w:right="1474" w:bottom="1984" w:left="1587" w:header="851" w:footer="992" w:gutter="0"/>
          <w:cols w:space="425" w:num="1"/>
          <w:docGrid w:type="lines" w:linePitch="312" w:charSpace="0"/>
        </w:sectPr>
      </w:pPr>
    </w:p>
    <w:p w14:paraId="18A2F1ED">
      <w:pPr>
        <w:spacing w:line="560" w:lineRule="exact"/>
        <w:ind w:firstLine="0" w:firstLineChars="0"/>
        <w:jc w:val="left"/>
        <w:rPr>
          <w:rFonts w:hint="eastAsia" w:ascii="Times New Roman" w:hAnsi="Times New Roman" w:eastAsia="方正小标宋简体" w:cs="Times New Roman"/>
          <w:sz w:val="44"/>
          <w:szCs w:val="44"/>
        </w:rPr>
      </w:pPr>
      <w:r>
        <w:rPr>
          <w:rFonts w:hint="eastAsia" w:ascii="Times New Roman" w:hAnsi="Times New Roman" w:eastAsia="黑体" w:cs="Times New Roman"/>
          <w:szCs w:val="24"/>
          <w:highlight w:val="none"/>
          <w:lang w:val="en-US" w:eastAsia="zh-CN"/>
        </w:rPr>
        <w:t>附件</w:t>
      </w:r>
      <w:r>
        <w:rPr>
          <w:rFonts w:hint="eastAsia" w:ascii="Times New Roman" w:hAnsi="Times New Roman" w:eastAsia="黑体" w:cs="Times New Roman"/>
          <w:szCs w:val="24"/>
          <w:highlight w:val="none"/>
        </w:rPr>
        <w:t>1</w:t>
      </w:r>
    </w:p>
    <w:p w14:paraId="0FC41FD2">
      <w:pPr>
        <w:spacing w:line="560" w:lineRule="exact"/>
        <w:ind w:firstLine="0" w:firstLineChars="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中原科技城种子基金子基金申请表</w:t>
      </w:r>
    </w:p>
    <w:p w14:paraId="1BCE7BE3">
      <w:pPr>
        <w:spacing w:line="560" w:lineRule="exact"/>
        <w:ind w:firstLine="0" w:firstLineChars="0"/>
        <w:jc w:val="center"/>
        <w:rPr>
          <w:rFonts w:hint="eastAsia" w:ascii="Times New Roman" w:hAnsi="Times New Roman" w:eastAsia="方正小标宋简体" w:cs="Times New Roman"/>
          <w:sz w:val="32"/>
          <w:szCs w:val="32"/>
        </w:rPr>
      </w:pPr>
    </w:p>
    <w:tbl>
      <w:tblPr>
        <w:tblStyle w:val="9"/>
        <w:tblpPr w:leftFromText="180" w:rightFromText="180" w:vertAnchor="text" w:horzAnchor="page" w:tblpX="1442" w:tblpY="751"/>
        <w:tblOverlap w:val="never"/>
        <w:tblW w:w="9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7"/>
        <w:gridCol w:w="1061"/>
        <w:gridCol w:w="1984"/>
        <w:gridCol w:w="1843"/>
        <w:gridCol w:w="2536"/>
      </w:tblGrid>
      <w:tr w14:paraId="4CFD3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9341" w:type="dxa"/>
            <w:gridSpan w:val="5"/>
            <w:shd w:val="clear" w:color="000000" w:fill="FFFFFF"/>
            <w:vAlign w:val="center"/>
          </w:tcPr>
          <w:p w14:paraId="5717F41F">
            <w:pPr>
              <w:autoSpaceDE w:val="0"/>
              <w:autoSpaceDN w:val="0"/>
              <w:adjustRightInd w:val="0"/>
              <w:spacing w:line="560" w:lineRule="exact"/>
              <w:ind w:firstLine="0" w:firstLineChars="0"/>
              <w:rPr>
                <w:rFonts w:hint="default" w:ascii="Times New Roman" w:hAnsi="Times New Roman" w:eastAsia="黑体" w:cs="Times New Roman"/>
                <w:kern w:val="0"/>
                <w:sz w:val="24"/>
                <w:szCs w:val="24"/>
                <w:lang w:val="en-US" w:eastAsia="zh-CN"/>
              </w:rPr>
            </w:pPr>
            <w:r>
              <w:rPr>
                <w:rFonts w:hint="eastAsia" w:ascii="Times New Roman" w:hAnsi="Times New Roman" w:eastAsia="黑体" w:cs="Times New Roman"/>
                <w:kern w:val="0"/>
                <w:sz w:val="24"/>
                <w:szCs w:val="24"/>
                <w:highlight w:val="none"/>
                <w:lang w:val="zh-CN"/>
              </w:rPr>
              <w:t>一、</w:t>
            </w:r>
            <w:r>
              <w:rPr>
                <w:rFonts w:hint="eastAsia" w:ascii="Times New Roman" w:hAnsi="Times New Roman" w:eastAsia="黑体" w:cs="Times New Roman"/>
                <w:kern w:val="0"/>
                <w:sz w:val="24"/>
                <w:szCs w:val="24"/>
                <w:highlight w:val="none"/>
                <w:lang w:val="en-US" w:eastAsia="zh-CN"/>
              </w:rPr>
              <w:t>子基金管理机构</w:t>
            </w:r>
          </w:p>
        </w:tc>
      </w:tr>
      <w:tr w14:paraId="73D7F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trPr>
        <w:tc>
          <w:tcPr>
            <w:tcW w:w="1917" w:type="dxa"/>
            <w:shd w:val="clear" w:color="000000" w:fill="FFFFFF"/>
            <w:vAlign w:val="center"/>
          </w:tcPr>
          <w:p w14:paraId="2899D2B4">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机构名称</w:t>
            </w:r>
          </w:p>
        </w:tc>
        <w:tc>
          <w:tcPr>
            <w:tcW w:w="3045" w:type="dxa"/>
            <w:gridSpan w:val="2"/>
            <w:shd w:val="clear" w:color="000000" w:fill="FFFFFF"/>
            <w:vAlign w:val="center"/>
          </w:tcPr>
          <w:p w14:paraId="3034FF1C">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c>
          <w:tcPr>
            <w:tcW w:w="1843" w:type="dxa"/>
            <w:shd w:val="clear" w:color="000000" w:fill="FFFFFF"/>
            <w:vAlign w:val="center"/>
          </w:tcPr>
          <w:p w14:paraId="7C2BA617">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法定代表人</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zh-CN"/>
              </w:rPr>
              <w:t>执行事务合伙人</w:t>
            </w:r>
          </w:p>
        </w:tc>
        <w:tc>
          <w:tcPr>
            <w:tcW w:w="2536" w:type="dxa"/>
            <w:shd w:val="clear" w:color="000000" w:fill="FFFFFF"/>
            <w:vAlign w:val="center"/>
          </w:tcPr>
          <w:p w14:paraId="318FC727">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r>
      <w:tr w14:paraId="167A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917" w:type="dxa"/>
            <w:shd w:val="clear" w:color="000000" w:fill="FFFFFF"/>
            <w:vAlign w:val="center"/>
          </w:tcPr>
          <w:p w14:paraId="5733A001">
            <w:pPr>
              <w:autoSpaceDE w:val="0"/>
              <w:autoSpaceDN w:val="0"/>
              <w:adjustRightInd w:val="0"/>
              <w:spacing w:line="560" w:lineRule="exact"/>
              <w:ind w:firstLine="0" w:firstLineChars="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是否为申请机构</w:t>
            </w:r>
          </w:p>
        </w:tc>
        <w:tc>
          <w:tcPr>
            <w:tcW w:w="3045" w:type="dxa"/>
            <w:gridSpan w:val="2"/>
            <w:shd w:val="clear" w:color="000000" w:fill="FFFFFF"/>
            <w:vAlign w:val="center"/>
          </w:tcPr>
          <w:p w14:paraId="30A547AC">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zh-CN"/>
              </w:rPr>
              <w:t>□</w:t>
            </w:r>
            <w:r>
              <w:rPr>
                <w:rFonts w:hint="eastAsia" w:ascii="Times New Roman" w:hAnsi="Times New Roman" w:eastAsia="宋体" w:cs="Times New Roman"/>
                <w:kern w:val="0"/>
                <w:sz w:val="24"/>
                <w:szCs w:val="24"/>
                <w:lang w:val="en-US" w:eastAsia="zh-CN"/>
              </w:rPr>
              <w:t xml:space="preserve">是     </w:t>
            </w:r>
            <w:r>
              <w:rPr>
                <w:rFonts w:hint="eastAsia" w:ascii="Times New Roman" w:hAnsi="Times New Roman" w:eastAsia="宋体" w:cs="Times New Roman"/>
                <w:kern w:val="0"/>
                <w:sz w:val="24"/>
                <w:szCs w:val="24"/>
                <w:lang w:val="zh-CN"/>
              </w:rPr>
              <w:t>□</w:t>
            </w:r>
            <w:bookmarkStart w:id="6" w:name="_GoBack"/>
            <w:bookmarkEnd w:id="6"/>
            <w:r>
              <w:rPr>
                <w:rFonts w:hint="eastAsia" w:ascii="Times New Roman" w:hAnsi="Times New Roman" w:eastAsia="宋体" w:cs="Times New Roman"/>
                <w:kern w:val="0"/>
                <w:sz w:val="24"/>
                <w:szCs w:val="24"/>
                <w:lang w:val="en-US" w:eastAsia="zh-CN"/>
              </w:rPr>
              <w:t>否</w:t>
            </w:r>
          </w:p>
        </w:tc>
        <w:tc>
          <w:tcPr>
            <w:tcW w:w="1843" w:type="dxa"/>
            <w:shd w:val="clear" w:color="000000" w:fill="FFFFFF"/>
            <w:vAlign w:val="center"/>
          </w:tcPr>
          <w:p w14:paraId="545D50C8">
            <w:pPr>
              <w:autoSpaceDE w:val="0"/>
              <w:autoSpaceDN w:val="0"/>
              <w:adjustRightInd w:val="0"/>
              <w:spacing w:line="560" w:lineRule="exact"/>
              <w:ind w:firstLine="0" w:firstLineChars="0"/>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lang w:val="zh-CN"/>
              </w:rPr>
              <w:t>中国证券投资基金业协会登记编号</w:t>
            </w:r>
          </w:p>
        </w:tc>
        <w:tc>
          <w:tcPr>
            <w:tcW w:w="2536" w:type="dxa"/>
            <w:shd w:val="clear" w:color="000000" w:fill="FFFFFF"/>
            <w:vAlign w:val="center"/>
          </w:tcPr>
          <w:p w14:paraId="00B90E76">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r>
      <w:tr w14:paraId="6BBC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917" w:type="dxa"/>
            <w:shd w:val="clear" w:color="000000" w:fill="FFFFFF"/>
            <w:vAlign w:val="center"/>
          </w:tcPr>
          <w:p w14:paraId="3EC49667">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注册地址</w:t>
            </w:r>
          </w:p>
        </w:tc>
        <w:tc>
          <w:tcPr>
            <w:tcW w:w="3045" w:type="dxa"/>
            <w:gridSpan w:val="2"/>
            <w:shd w:val="clear" w:color="000000" w:fill="FFFFFF"/>
            <w:vAlign w:val="center"/>
          </w:tcPr>
          <w:p w14:paraId="16CAB248">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c>
          <w:tcPr>
            <w:tcW w:w="1843" w:type="dxa"/>
            <w:shd w:val="clear" w:color="000000" w:fill="FFFFFF"/>
            <w:vAlign w:val="center"/>
          </w:tcPr>
          <w:p w14:paraId="792624DB">
            <w:pPr>
              <w:autoSpaceDE w:val="0"/>
              <w:autoSpaceDN w:val="0"/>
              <w:adjustRightInd w:val="0"/>
              <w:spacing w:line="560" w:lineRule="exact"/>
              <w:ind w:firstLine="0" w:firstLineChars="0"/>
              <w:rPr>
                <w:rFonts w:hint="eastAsia" w:ascii="Times New Roman" w:hAnsi="Times New Roman" w:eastAsia="宋体" w:cs="Times New Roman"/>
                <w:kern w:val="0"/>
                <w:sz w:val="24"/>
                <w:szCs w:val="24"/>
                <w:highlight w:val="cyan"/>
                <w:lang w:val="zh-CN"/>
              </w:rPr>
            </w:pPr>
            <w:r>
              <w:rPr>
                <w:rFonts w:hint="eastAsia" w:ascii="Times New Roman" w:hAnsi="Times New Roman" w:eastAsia="宋体" w:cs="Times New Roman"/>
                <w:kern w:val="0"/>
                <w:sz w:val="24"/>
                <w:szCs w:val="24"/>
                <w:highlight w:val="none"/>
                <w:lang w:val="en-US" w:eastAsia="zh-CN"/>
              </w:rPr>
              <w:t>统一社会信用</w:t>
            </w:r>
            <w:r>
              <w:rPr>
                <w:rFonts w:hint="eastAsia" w:ascii="Times New Roman" w:hAnsi="Times New Roman" w:eastAsia="宋体" w:cs="Times New Roman"/>
                <w:kern w:val="0"/>
                <w:sz w:val="24"/>
                <w:szCs w:val="24"/>
                <w:highlight w:val="none"/>
                <w:lang w:val="zh-CN"/>
              </w:rPr>
              <w:t>代码</w:t>
            </w:r>
          </w:p>
        </w:tc>
        <w:tc>
          <w:tcPr>
            <w:tcW w:w="2536" w:type="dxa"/>
            <w:shd w:val="clear" w:color="000000" w:fill="FFFFFF"/>
            <w:vAlign w:val="center"/>
          </w:tcPr>
          <w:p w14:paraId="4760E84F">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r>
      <w:tr w14:paraId="426E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917" w:type="dxa"/>
            <w:shd w:val="clear" w:color="000000" w:fill="FFFFFF"/>
            <w:vAlign w:val="center"/>
          </w:tcPr>
          <w:p w14:paraId="4B63DA22">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注册资本</w:t>
            </w:r>
          </w:p>
        </w:tc>
        <w:tc>
          <w:tcPr>
            <w:tcW w:w="3045" w:type="dxa"/>
            <w:gridSpan w:val="2"/>
            <w:shd w:val="clear" w:color="000000" w:fill="FFFFFF"/>
            <w:vAlign w:val="center"/>
          </w:tcPr>
          <w:p w14:paraId="50B42131">
            <w:pPr>
              <w:autoSpaceDE w:val="0"/>
              <w:autoSpaceDN w:val="0"/>
              <w:adjustRightInd w:val="0"/>
              <w:spacing w:line="560" w:lineRule="exact"/>
              <w:ind w:firstLine="1200" w:firstLineChars="50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万元</w:t>
            </w:r>
          </w:p>
        </w:tc>
        <w:tc>
          <w:tcPr>
            <w:tcW w:w="1843" w:type="dxa"/>
            <w:shd w:val="clear" w:color="000000" w:fill="FFFFFF"/>
            <w:vAlign w:val="center"/>
          </w:tcPr>
          <w:p w14:paraId="296A42A6">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实缴资本</w:t>
            </w:r>
          </w:p>
        </w:tc>
        <w:tc>
          <w:tcPr>
            <w:tcW w:w="2536" w:type="dxa"/>
            <w:shd w:val="clear" w:color="000000" w:fill="FFFFFF"/>
            <w:vAlign w:val="center"/>
          </w:tcPr>
          <w:p w14:paraId="6C8B98B8">
            <w:pPr>
              <w:autoSpaceDE w:val="0"/>
              <w:autoSpaceDN w:val="0"/>
              <w:adjustRightInd w:val="0"/>
              <w:spacing w:line="560" w:lineRule="exact"/>
              <w:ind w:firstLine="960" w:firstLineChars="40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万元</w:t>
            </w:r>
          </w:p>
        </w:tc>
      </w:tr>
      <w:tr w14:paraId="0D142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1917" w:type="dxa"/>
            <w:vMerge w:val="restart"/>
            <w:shd w:val="clear" w:color="000000" w:fill="FFFFFF"/>
            <w:vAlign w:val="center"/>
          </w:tcPr>
          <w:p w14:paraId="2B73EAF2">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联系人</w:t>
            </w:r>
          </w:p>
        </w:tc>
        <w:tc>
          <w:tcPr>
            <w:tcW w:w="1061" w:type="dxa"/>
            <w:shd w:val="clear" w:color="000000" w:fill="FFFFFF"/>
            <w:vAlign w:val="center"/>
          </w:tcPr>
          <w:p w14:paraId="1908FE1D">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姓名</w:t>
            </w:r>
          </w:p>
        </w:tc>
        <w:tc>
          <w:tcPr>
            <w:tcW w:w="1984" w:type="dxa"/>
            <w:shd w:val="clear" w:color="000000" w:fill="FFFFFF"/>
            <w:vAlign w:val="center"/>
          </w:tcPr>
          <w:p w14:paraId="09095ADB">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c>
          <w:tcPr>
            <w:tcW w:w="1843" w:type="dxa"/>
            <w:shd w:val="clear" w:color="000000" w:fill="FFFFFF"/>
            <w:vAlign w:val="center"/>
          </w:tcPr>
          <w:p w14:paraId="46EF3F80">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职务</w:t>
            </w:r>
          </w:p>
        </w:tc>
        <w:tc>
          <w:tcPr>
            <w:tcW w:w="2536" w:type="dxa"/>
            <w:shd w:val="clear" w:color="000000" w:fill="FFFFFF"/>
            <w:vAlign w:val="center"/>
          </w:tcPr>
          <w:p w14:paraId="6363F753">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r>
      <w:tr w14:paraId="4954D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917" w:type="dxa"/>
            <w:vMerge w:val="continue"/>
            <w:shd w:val="clear" w:color="000000" w:fill="FFFFFF"/>
            <w:vAlign w:val="center"/>
          </w:tcPr>
          <w:p w14:paraId="58F2BDB0">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c>
          <w:tcPr>
            <w:tcW w:w="1061" w:type="dxa"/>
            <w:shd w:val="clear" w:color="000000" w:fill="FFFFFF"/>
            <w:vAlign w:val="center"/>
          </w:tcPr>
          <w:p w14:paraId="3426A00A">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办公</w:t>
            </w:r>
          </w:p>
          <w:p w14:paraId="7363ECBD">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电话</w:t>
            </w:r>
          </w:p>
        </w:tc>
        <w:tc>
          <w:tcPr>
            <w:tcW w:w="1984" w:type="dxa"/>
            <w:shd w:val="clear" w:color="000000" w:fill="FFFFFF"/>
            <w:vAlign w:val="center"/>
          </w:tcPr>
          <w:p w14:paraId="5B7E0CC3">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c>
          <w:tcPr>
            <w:tcW w:w="1843" w:type="dxa"/>
            <w:shd w:val="clear" w:color="000000" w:fill="FFFFFF"/>
            <w:vAlign w:val="center"/>
          </w:tcPr>
          <w:p w14:paraId="0DBC89A8">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手机</w:t>
            </w:r>
          </w:p>
        </w:tc>
        <w:tc>
          <w:tcPr>
            <w:tcW w:w="2536" w:type="dxa"/>
            <w:shd w:val="clear" w:color="000000" w:fill="FFFFFF"/>
            <w:vAlign w:val="center"/>
          </w:tcPr>
          <w:p w14:paraId="14F9AC54">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r>
      <w:tr w14:paraId="3A9D2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1917" w:type="dxa"/>
            <w:vMerge w:val="continue"/>
            <w:shd w:val="clear" w:color="000000" w:fill="FFFFFF"/>
            <w:vAlign w:val="center"/>
          </w:tcPr>
          <w:p w14:paraId="560E1DFE">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c>
          <w:tcPr>
            <w:tcW w:w="1061" w:type="dxa"/>
            <w:shd w:val="clear" w:color="000000" w:fill="FFFFFF"/>
            <w:vAlign w:val="center"/>
          </w:tcPr>
          <w:p w14:paraId="76A18997">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en-US" w:eastAsia="zh-CN"/>
              </w:rPr>
            </w:pPr>
            <w:r>
              <w:rPr>
                <w:rFonts w:hint="eastAsia" w:cs="Times New Roman"/>
                <w:kern w:val="0"/>
                <w:sz w:val="24"/>
                <w:szCs w:val="24"/>
                <w:lang w:val="en-US" w:eastAsia="zh-CN"/>
              </w:rPr>
              <w:t>地址</w:t>
            </w:r>
          </w:p>
        </w:tc>
        <w:tc>
          <w:tcPr>
            <w:tcW w:w="1984" w:type="dxa"/>
            <w:shd w:val="clear" w:color="000000" w:fill="FFFFFF"/>
            <w:vAlign w:val="center"/>
          </w:tcPr>
          <w:p w14:paraId="2E284A69">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c>
          <w:tcPr>
            <w:tcW w:w="1843" w:type="dxa"/>
            <w:shd w:val="clear" w:color="000000" w:fill="FFFFFF"/>
            <w:vAlign w:val="center"/>
          </w:tcPr>
          <w:p w14:paraId="5ABB6EFE">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电子邮箱</w:t>
            </w:r>
          </w:p>
        </w:tc>
        <w:tc>
          <w:tcPr>
            <w:tcW w:w="2536" w:type="dxa"/>
            <w:shd w:val="clear" w:color="000000" w:fill="FFFFFF"/>
            <w:vAlign w:val="center"/>
          </w:tcPr>
          <w:p w14:paraId="639DDFBC">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r>
      <w:tr w14:paraId="2B54D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2" w:hRule="atLeast"/>
        </w:trPr>
        <w:tc>
          <w:tcPr>
            <w:tcW w:w="9341" w:type="dxa"/>
            <w:gridSpan w:val="5"/>
            <w:shd w:val="clear" w:color="000000" w:fill="FFFFFF"/>
            <w:vAlign w:val="center"/>
          </w:tcPr>
          <w:p w14:paraId="2AC51413">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黑体" w:cs="Times New Roman"/>
                <w:kern w:val="0"/>
                <w:sz w:val="24"/>
                <w:szCs w:val="24"/>
                <w:highlight w:val="none"/>
                <w:lang w:val="en-US" w:eastAsia="zh-CN"/>
              </w:rPr>
              <w:t>二</w:t>
            </w:r>
            <w:r>
              <w:rPr>
                <w:rFonts w:hint="eastAsia" w:ascii="Times New Roman" w:hAnsi="Times New Roman" w:eastAsia="黑体" w:cs="Times New Roman"/>
                <w:kern w:val="0"/>
                <w:sz w:val="24"/>
                <w:szCs w:val="24"/>
                <w:highlight w:val="none"/>
                <w:lang w:val="zh-CN"/>
              </w:rPr>
              <w:t>、</w:t>
            </w:r>
            <w:r>
              <w:rPr>
                <w:rFonts w:hint="eastAsia" w:ascii="Times New Roman" w:hAnsi="Times New Roman" w:eastAsia="黑体" w:cs="Times New Roman"/>
                <w:kern w:val="0"/>
                <w:sz w:val="24"/>
                <w:szCs w:val="24"/>
                <w:highlight w:val="none"/>
                <w:lang w:val="en-US" w:eastAsia="zh-CN"/>
              </w:rPr>
              <w:t>子基金</w:t>
            </w:r>
          </w:p>
        </w:tc>
      </w:tr>
      <w:tr w14:paraId="08B6C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2" w:hRule="atLeast"/>
        </w:trPr>
        <w:tc>
          <w:tcPr>
            <w:tcW w:w="1917" w:type="dxa"/>
            <w:shd w:val="clear" w:color="000000" w:fill="FFFFFF"/>
            <w:vAlign w:val="center"/>
          </w:tcPr>
          <w:p w14:paraId="1C5CC072">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名称</w:t>
            </w:r>
          </w:p>
        </w:tc>
        <w:tc>
          <w:tcPr>
            <w:tcW w:w="3045" w:type="dxa"/>
            <w:gridSpan w:val="2"/>
            <w:shd w:val="clear" w:color="000000" w:fill="FFFFFF"/>
            <w:vAlign w:val="center"/>
          </w:tcPr>
          <w:p w14:paraId="2D4F8BBD">
            <w:pPr>
              <w:keepNext/>
              <w:keepLines/>
              <w:autoSpaceDE w:val="0"/>
              <w:autoSpaceDN w:val="0"/>
              <w:adjustRightInd w:val="0"/>
              <w:spacing w:before="260" w:after="260" w:line="560" w:lineRule="exact"/>
              <w:ind w:firstLine="1680" w:firstLineChars="0"/>
              <w:rPr>
                <w:rFonts w:hint="eastAsia" w:ascii="Times New Roman" w:hAnsi="Times New Roman" w:eastAsia="宋体" w:cs="Times New Roman"/>
                <w:kern w:val="0"/>
                <w:sz w:val="24"/>
                <w:szCs w:val="24"/>
                <w:lang w:val="zh-CN"/>
              </w:rPr>
            </w:pPr>
          </w:p>
        </w:tc>
        <w:tc>
          <w:tcPr>
            <w:tcW w:w="1843" w:type="dxa"/>
            <w:shd w:val="clear" w:color="000000" w:fill="FFFFFF"/>
            <w:vAlign w:val="center"/>
          </w:tcPr>
          <w:p w14:paraId="5FB09F95">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组织形式</w:t>
            </w:r>
          </w:p>
        </w:tc>
        <w:tc>
          <w:tcPr>
            <w:tcW w:w="2536" w:type="dxa"/>
            <w:shd w:val="clear" w:color="000000" w:fill="FFFFFF"/>
            <w:vAlign w:val="center"/>
          </w:tcPr>
          <w:p w14:paraId="15E713BD">
            <w:pPr>
              <w:autoSpaceDE w:val="0"/>
              <w:autoSpaceDN w:val="0"/>
              <w:adjustRightInd w:val="0"/>
              <w:spacing w:line="560" w:lineRule="exact"/>
              <w:ind w:firstLine="0" w:firstLineChars="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zh-CN"/>
              </w:rPr>
              <w:t>□公司制</w:t>
            </w:r>
          </w:p>
          <w:p w14:paraId="5CECEFC2">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□有限合伙制</w:t>
            </w:r>
          </w:p>
        </w:tc>
      </w:tr>
      <w:tr w14:paraId="2AA7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917" w:type="dxa"/>
            <w:shd w:val="clear" w:color="000000" w:fill="FFFFFF"/>
            <w:vAlign w:val="center"/>
          </w:tcPr>
          <w:p w14:paraId="66AB0E87">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注册地址</w:t>
            </w:r>
          </w:p>
        </w:tc>
        <w:tc>
          <w:tcPr>
            <w:tcW w:w="3045" w:type="dxa"/>
            <w:gridSpan w:val="2"/>
            <w:shd w:val="clear" w:color="000000" w:fill="FFFFFF"/>
            <w:vAlign w:val="center"/>
          </w:tcPr>
          <w:p w14:paraId="4B592C61">
            <w:pPr>
              <w:keepNext/>
              <w:keepLines/>
              <w:autoSpaceDE w:val="0"/>
              <w:autoSpaceDN w:val="0"/>
              <w:adjustRightInd w:val="0"/>
              <w:spacing w:before="260" w:after="260" w:line="560" w:lineRule="exact"/>
              <w:ind w:firstLine="1680" w:firstLineChars="0"/>
              <w:rPr>
                <w:rFonts w:hint="eastAsia" w:ascii="Times New Roman" w:hAnsi="Times New Roman" w:eastAsia="宋体" w:cs="Times New Roman"/>
                <w:kern w:val="0"/>
                <w:sz w:val="24"/>
                <w:szCs w:val="24"/>
                <w:lang w:val="zh-CN"/>
              </w:rPr>
            </w:pPr>
          </w:p>
        </w:tc>
        <w:tc>
          <w:tcPr>
            <w:tcW w:w="1843" w:type="dxa"/>
            <w:shd w:val="clear" w:color="000000" w:fill="FFFFFF"/>
            <w:vAlign w:val="center"/>
          </w:tcPr>
          <w:p w14:paraId="37086F30">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存续期限</w:t>
            </w:r>
          </w:p>
        </w:tc>
        <w:tc>
          <w:tcPr>
            <w:tcW w:w="2536" w:type="dxa"/>
            <w:shd w:val="clear" w:color="000000" w:fill="FFFFFF"/>
            <w:vAlign w:val="center"/>
          </w:tcPr>
          <w:p w14:paraId="599E5822">
            <w:pPr>
              <w:keepNext/>
              <w:keepLines/>
              <w:autoSpaceDE w:val="0"/>
              <w:autoSpaceDN w:val="0"/>
              <w:adjustRightInd w:val="0"/>
              <w:spacing w:before="260" w:after="260" w:line="560" w:lineRule="exact"/>
              <w:ind w:firstLine="1680" w:firstLineChars="0"/>
              <w:rPr>
                <w:rFonts w:hint="eastAsia" w:ascii="Times New Roman" w:hAnsi="Times New Roman" w:eastAsia="宋体" w:cs="Times New Roman"/>
                <w:kern w:val="0"/>
                <w:sz w:val="24"/>
                <w:szCs w:val="24"/>
                <w:lang w:val="zh-CN"/>
              </w:rPr>
            </w:pPr>
          </w:p>
        </w:tc>
      </w:tr>
      <w:tr w14:paraId="3B216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917" w:type="dxa"/>
            <w:shd w:val="clear" w:color="000000" w:fill="FFFFFF"/>
            <w:vAlign w:val="center"/>
          </w:tcPr>
          <w:p w14:paraId="06321297">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投资领域</w:t>
            </w:r>
          </w:p>
        </w:tc>
        <w:tc>
          <w:tcPr>
            <w:tcW w:w="3045" w:type="dxa"/>
            <w:gridSpan w:val="2"/>
            <w:shd w:val="clear" w:color="000000" w:fill="FFFFFF"/>
            <w:vAlign w:val="center"/>
          </w:tcPr>
          <w:p w14:paraId="49FFDA5C">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c>
          <w:tcPr>
            <w:tcW w:w="1843" w:type="dxa"/>
            <w:shd w:val="clear" w:color="000000" w:fill="FFFFFF"/>
            <w:vAlign w:val="center"/>
          </w:tcPr>
          <w:p w14:paraId="7768DB67">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投资阶段</w:t>
            </w:r>
          </w:p>
        </w:tc>
        <w:tc>
          <w:tcPr>
            <w:tcW w:w="2536" w:type="dxa"/>
            <w:shd w:val="clear" w:color="000000" w:fill="FFFFFF"/>
            <w:vAlign w:val="center"/>
          </w:tcPr>
          <w:p w14:paraId="0CB5F269">
            <w:pPr>
              <w:keepNext/>
              <w:keepLines/>
              <w:autoSpaceDE w:val="0"/>
              <w:autoSpaceDN w:val="0"/>
              <w:adjustRightInd w:val="0"/>
              <w:spacing w:before="260" w:after="260" w:line="560" w:lineRule="exact"/>
              <w:ind w:firstLine="0" w:firstLineChars="0"/>
              <w:rPr>
                <w:rFonts w:hint="eastAsia" w:ascii="Times New Roman" w:hAnsi="Times New Roman" w:eastAsia="宋体" w:cs="Times New Roman"/>
                <w:kern w:val="0"/>
                <w:sz w:val="24"/>
                <w:szCs w:val="24"/>
                <w:lang w:val="zh-CN"/>
              </w:rPr>
            </w:pPr>
          </w:p>
        </w:tc>
      </w:tr>
      <w:tr w14:paraId="3CD96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1917" w:type="dxa"/>
            <w:shd w:val="clear" w:color="000000" w:fill="FFFFFF"/>
            <w:vAlign w:val="center"/>
          </w:tcPr>
          <w:p w14:paraId="66DEBC98">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子基金规模</w:t>
            </w:r>
            <w:r>
              <w:rPr>
                <w:rFonts w:hint="eastAsia" w:ascii="Times New Roman" w:hAnsi="Times New Roman" w:eastAsia="宋体" w:cs="Times New Roman"/>
                <w:kern w:val="0"/>
                <w:sz w:val="24"/>
                <w:szCs w:val="24"/>
                <w:lang w:val="en-US" w:eastAsia="zh-CN"/>
              </w:rPr>
              <w:t xml:space="preserve">                </w:t>
            </w:r>
          </w:p>
        </w:tc>
        <w:tc>
          <w:tcPr>
            <w:tcW w:w="7424" w:type="dxa"/>
            <w:gridSpan w:val="4"/>
            <w:shd w:val="clear" w:color="000000" w:fill="FFFFFF"/>
            <w:vAlign w:val="center"/>
          </w:tcPr>
          <w:p w14:paraId="3FAC9497">
            <w:pPr>
              <w:autoSpaceDE w:val="0"/>
              <w:autoSpaceDN w:val="0"/>
              <w:adjustRightInd w:val="0"/>
              <w:spacing w:line="560" w:lineRule="exact"/>
              <w:ind w:firstLine="1440" w:firstLineChars="60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万元</w:t>
            </w:r>
          </w:p>
        </w:tc>
      </w:tr>
      <w:tr w14:paraId="48D6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917" w:type="dxa"/>
            <w:shd w:val="clear" w:color="000000" w:fill="FFFFFF"/>
            <w:vAlign w:val="center"/>
          </w:tcPr>
          <w:p w14:paraId="3E76BD60">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已募集资金</w:t>
            </w:r>
          </w:p>
        </w:tc>
        <w:tc>
          <w:tcPr>
            <w:tcW w:w="3045" w:type="dxa"/>
            <w:gridSpan w:val="2"/>
            <w:shd w:val="clear" w:color="000000" w:fill="FFFFFF"/>
            <w:vAlign w:val="center"/>
          </w:tcPr>
          <w:p w14:paraId="6C4BDED1">
            <w:pPr>
              <w:autoSpaceDE w:val="0"/>
              <w:autoSpaceDN w:val="0"/>
              <w:adjustRightInd w:val="0"/>
              <w:spacing w:line="560" w:lineRule="exact"/>
              <w:ind w:firstLine="1560" w:firstLineChars="65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万元</w:t>
            </w:r>
          </w:p>
          <w:p w14:paraId="1CF29854">
            <w:pPr>
              <w:autoSpaceDE w:val="0"/>
              <w:autoSpaceDN w:val="0"/>
              <w:adjustRightInd w:val="0"/>
              <w:spacing w:line="560" w:lineRule="exact"/>
              <w:ind w:firstLine="0" w:firstLineChars="0"/>
              <w:rPr>
                <w:rFonts w:hint="default" w:ascii="Times New Roman" w:hAnsi="Times New Roman" w:eastAsia="宋体" w:cs="Times New Roman"/>
                <w:kern w:val="0"/>
                <w:sz w:val="24"/>
                <w:szCs w:val="24"/>
                <w:lang w:val="en-US"/>
              </w:rPr>
            </w:pPr>
            <w:r>
              <w:rPr>
                <w:rFonts w:hint="eastAsia" w:ascii="Times New Roman" w:hAnsi="Times New Roman" w:eastAsia="宋体" w:cs="Times New Roman"/>
                <w:kern w:val="0"/>
                <w:sz w:val="24"/>
                <w:szCs w:val="24"/>
                <w:lang w:val="en-US" w:eastAsia="zh-CN"/>
              </w:rPr>
              <w:t>占比：   %</w:t>
            </w:r>
          </w:p>
        </w:tc>
        <w:tc>
          <w:tcPr>
            <w:tcW w:w="1843" w:type="dxa"/>
            <w:shd w:val="clear" w:color="000000" w:fill="FFFFFF"/>
            <w:vAlign w:val="center"/>
          </w:tcPr>
          <w:p w14:paraId="35AFFB0D">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子基金管理机构或其关联方承诺出资及占比</w:t>
            </w:r>
          </w:p>
        </w:tc>
        <w:tc>
          <w:tcPr>
            <w:tcW w:w="2536" w:type="dxa"/>
            <w:shd w:val="clear" w:color="000000" w:fill="FFFFFF"/>
            <w:vAlign w:val="center"/>
          </w:tcPr>
          <w:p w14:paraId="3B3EF6C4">
            <w:pPr>
              <w:autoSpaceDE w:val="0"/>
              <w:autoSpaceDN w:val="0"/>
              <w:adjustRightInd w:val="0"/>
              <w:spacing w:line="560" w:lineRule="exact"/>
              <w:ind w:firstLine="1320" w:firstLineChars="55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万元</w:t>
            </w:r>
          </w:p>
          <w:p w14:paraId="798D9D42">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占比：</w:t>
            </w:r>
            <w:r>
              <w:rPr>
                <w:rFonts w:ascii="Times New Roman" w:hAnsi="Times New Roman" w:eastAsia="宋体" w:cs="Times New Roman"/>
                <w:kern w:val="0"/>
                <w:sz w:val="24"/>
                <w:szCs w:val="24"/>
                <w:lang w:val="zh-CN"/>
              </w:rPr>
              <w:t xml:space="preserve">   %</w:t>
            </w:r>
          </w:p>
        </w:tc>
      </w:tr>
      <w:tr w14:paraId="6B254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0" w:hRule="atLeast"/>
        </w:trPr>
        <w:tc>
          <w:tcPr>
            <w:tcW w:w="1917" w:type="dxa"/>
            <w:shd w:val="clear" w:color="000000" w:fill="FFFFFF"/>
            <w:vAlign w:val="center"/>
          </w:tcPr>
          <w:p w14:paraId="778C9882">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申请</w:t>
            </w:r>
            <w:r>
              <w:rPr>
                <w:rFonts w:hint="eastAsia" w:ascii="Times New Roman" w:hAnsi="Times New Roman" w:eastAsia="宋体" w:cs="Times New Roman"/>
                <w:kern w:val="0"/>
                <w:sz w:val="24"/>
                <w:szCs w:val="24"/>
                <w:lang w:val="en-US" w:eastAsia="zh-CN"/>
              </w:rPr>
              <w:t>种子基金出资</w:t>
            </w:r>
            <w:r>
              <w:rPr>
                <w:rFonts w:hint="eastAsia" w:ascii="Times New Roman" w:hAnsi="Times New Roman" w:eastAsia="宋体" w:cs="Times New Roman"/>
                <w:kern w:val="0"/>
                <w:sz w:val="24"/>
                <w:szCs w:val="24"/>
                <w:lang w:val="zh-CN"/>
              </w:rPr>
              <w:t>金额</w:t>
            </w:r>
          </w:p>
        </w:tc>
        <w:tc>
          <w:tcPr>
            <w:tcW w:w="3045" w:type="dxa"/>
            <w:gridSpan w:val="2"/>
            <w:shd w:val="clear" w:color="000000" w:fill="FFFFFF"/>
            <w:vAlign w:val="center"/>
          </w:tcPr>
          <w:p w14:paraId="1F3724DF">
            <w:pPr>
              <w:keepNext w:val="0"/>
              <w:keepLines w:val="0"/>
              <w:autoSpaceDE w:val="0"/>
              <w:autoSpaceDN w:val="0"/>
              <w:adjustRightInd w:val="0"/>
              <w:spacing w:before="0" w:after="0" w:line="560" w:lineRule="exact"/>
              <w:ind w:firstLine="1560" w:firstLineChars="65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zh-CN"/>
              </w:rPr>
              <w:t>万元</w:t>
            </w:r>
          </w:p>
        </w:tc>
        <w:tc>
          <w:tcPr>
            <w:tcW w:w="1843" w:type="dxa"/>
            <w:shd w:val="clear" w:color="000000" w:fill="FFFFFF"/>
            <w:vAlign w:val="center"/>
          </w:tcPr>
          <w:p w14:paraId="514ADFA0">
            <w:pPr>
              <w:autoSpaceDE w:val="0"/>
              <w:autoSpaceDN w:val="0"/>
              <w:adjustRightInd w:val="0"/>
              <w:spacing w:line="560" w:lineRule="exact"/>
              <w:ind w:firstLine="0" w:firstLineChars="0"/>
              <w:rPr>
                <w:rFonts w:hint="eastAsia" w:ascii="Times New Roman" w:hAnsi="Times New Roman" w:eastAsia="宋体" w:cs="Times New Roman"/>
                <w:kern w:val="0"/>
                <w:sz w:val="24"/>
                <w:szCs w:val="24"/>
                <w:lang w:val="zh-CN"/>
              </w:rPr>
            </w:pPr>
            <w:r>
              <w:rPr>
                <w:rFonts w:hint="eastAsia" w:ascii="Times New Roman" w:hAnsi="Times New Roman" w:eastAsia="宋体" w:cs="Times New Roman"/>
                <w:kern w:val="0"/>
                <w:sz w:val="24"/>
                <w:szCs w:val="24"/>
                <w:lang w:val="en-US" w:eastAsia="zh-CN"/>
              </w:rPr>
              <w:t>申请</w:t>
            </w:r>
            <w:r>
              <w:rPr>
                <w:rFonts w:hint="eastAsia" w:ascii="Times New Roman" w:hAnsi="Times New Roman" w:eastAsia="宋体" w:cs="Times New Roman"/>
                <w:kern w:val="0"/>
                <w:sz w:val="24"/>
                <w:szCs w:val="24"/>
                <w:lang w:val="zh-CN"/>
              </w:rPr>
              <w:t>种子基金出资比例</w:t>
            </w:r>
          </w:p>
        </w:tc>
        <w:tc>
          <w:tcPr>
            <w:tcW w:w="2536" w:type="dxa"/>
            <w:shd w:val="clear" w:color="000000" w:fill="FFFFFF"/>
            <w:vAlign w:val="center"/>
          </w:tcPr>
          <w:p w14:paraId="4071DC82">
            <w:pPr>
              <w:autoSpaceDE w:val="0"/>
              <w:autoSpaceDN w:val="0"/>
              <w:adjustRightInd w:val="0"/>
              <w:spacing w:line="560" w:lineRule="exact"/>
              <w:ind w:firstLine="0" w:firstLineChars="0"/>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r>
    </w:tbl>
    <w:p w14:paraId="711EAEEA">
      <w:pPr>
        <w:spacing w:line="560" w:lineRule="exact"/>
        <w:ind w:firstLine="0" w:firstLineChars="0"/>
        <w:rPr>
          <w:rFonts w:hint="eastAsia" w:ascii="Times New Roman" w:hAnsi="Times New Roman" w:eastAsia="黑体" w:cs="Times New Roman"/>
          <w:b w:val="0"/>
          <w:bCs w:val="0"/>
          <w:sz w:val="32"/>
          <w:szCs w:val="28"/>
        </w:rPr>
      </w:pPr>
    </w:p>
    <w:p w14:paraId="104D1DDA">
      <w:pPr>
        <w:spacing w:line="560" w:lineRule="exact"/>
        <w:ind w:firstLine="0" w:firstLineChars="0"/>
        <w:rPr>
          <w:rFonts w:hint="eastAsia" w:ascii="Times New Roman" w:hAnsi="Times New Roman" w:eastAsia="黑体" w:cs="Times New Roman"/>
          <w:b w:val="0"/>
          <w:bCs w:val="0"/>
          <w:sz w:val="32"/>
          <w:szCs w:val="28"/>
        </w:rPr>
      </w:pPr>
    </w:p>
    <w:p w14:paraId="2C5A5147">
      <w:pPr>
        <w:pStyle w:val="2"/>
        <w:rPr>
          <w:rFonts w:hint="eastAsia" w:ascii="Times New Roman" w:hAnsi="Times New Roman"/>
        </w:rPr>
      </w:pPr>
    </w:p>
    <w:p w14:paraId="1D530149">
      <w:pPr>
        <w:rPr>
          <w:rFonts w:hint="eastAsia"/>
        </w:rPr>
      </w:pPr>
    </w:p>
    <w:p w14:paraId="76D8755F">
      <w:pPr>
        <w:rPr>
          <w:rFonts w:hint="eastAsia"/>
        </w:rPr>
      </w:pPr>
    </w:p>
    <w:p w14:paraId="31D2AD6D">
      <w:pPr>
        <w:spacing w:line="560" w:lineRule="exact"/>
        <w:ind w:firstLine="0" w:firstLineChars="0"/>
        <w:rPr>
          <w:rFonts w:hint="eastAsia" w:ascii="Times New Roman" w:hAnsi="Times New Roman" w:eastAsia="仿宋_GB2312" w:cs="Times New Roman"/>
          <w:b/>
          <w:bCs/>
          <w:sz w:val="32"/>
          <w:szCs w:val="28"/>
        </w:rPr>
      </w:pPr>
      <w:r>
        <w:rPr>
          <w:rFonts w:hint="eastAsia" w:ascii="Times New Roman" w:hAnsi="Times New Roman" w:eastAsia="黑体" w:cs="Times New Roman"/>
          <w:b w:val="0"/>
          <w:bCs w:val="0"/>
          <w:sz w:val="32"/>
          <w:szCs w:val="28"/>
        </w:rPr>
        <w:t>附件2</w:t>
      </w:r>
    </w:p>
    <w:p w14:paraId="7074536D">
      <w:pPr>
        <w:spacing w:line="560" w:lineRule="exact"/>
        <w:ind w:firstLine="0" w:firstLineChars="0"/>
        <w:jc w:val="center"/>
        <w:rPr>
          <w:rFonts w:hint="eastAsia" w:ascii="Times New Roman" w:hAnsi="Times New Roman" w:eastAsia="仿宋_GB2312" w:cs="Times New Roman"/>
          <w:sz w:val="32"/>
          <w:szCs w:val="32"/>
        </w:rPr>
      </w:pPr>
    </w:p>
    <w:p w14:paraId="362E3E14">
      <w:pPr>
        <w:spacing w:line="560" w:lineRule="exact"/>
        <w:ind w:firstLine="0" w:firstLineChars="0"/>
        <w:jc w:val="center"/>
        <w:rPr>
          <w:rFonts w:hint="eastAsia" w:ascii="Times New Roman" w:hAnsi="Times New Roman" w:eastAsia="仿宋_GB2312" w:cs="Times New Roman"/>
          <w:sz w:val="32"/>
          <w:szCs w:val="32"/>
        </w:rPr>
      </w:pPr>
    </w:p>
    <w:p w14:paraId="404BA5EF">
      <w:pPr>
        <w:pStyle w:val="2"/>
        <w:rPr>
          <w:rFonts w:hint="eastAsia" w:ascii="Times New Roman" w:hAnsi="Times New Roman" w:eastAsia="仿宋_GB2312" w:cs="Times New Roman"/>
          <w:sz w:val="32"/>
          <w:szCs w:val="32"/>
        </w:rPr>
      </w:pPr>
    </w:p>
    <w:p w14:paraId="2831614A">
      <w:pPr>
        <w:rPr>
          <w:rFonts w:hint="eastAsia"/>
        </w:rPr>
      </w:pPr>
    </w:p>
    <w:p w14:paraId="39B16AF8">
      <w:pPr>
        <w:spacing w:line="560" w:lineRule="exact"/>
        <w:ind w:firstLine="0" w:firstLineChars="0"/>
        <w:jc w:val="center"/>
        <w:rPr>
          <w:rFonts w:hint="eastAsia" w:ascii="Times New Roman" w:hAnsi="Times New Roman" w:eastAsia="仿宋_GB2312" w:cs="Times New Roman"/>
          <w:sz w:val="32"/>
          <w:szCs w:val="32"/>
        </w:rPr>
      </w:pPr>
    </w:p>
    <w:p w14:paraId="63D4DF4B">
      <w:pPr>
        <w:spacing w:line="560" w:lineRule="exact"/>
        <w:ind w:firstLine="0" w:firstLineChars="0"/>
        <w:jc w:val="center"/>
        <w:rPr>
          <w:rFonts w:hint="eastAsia" w:ascii="Times New Roman" w:hAnsi="Times New Roman" w:eastAsia="方正小标宋简体" w:cs="Times New Roman"/>
          <w:sz w:val="48"/>
          <w:szCs w:val="48"/>
        </w:rPr>
      </w:pPr>
    </w:p>
    <w:p w14:paraId="02F55F10">
      <w:pPr>
        <w:spacing w:line="560" w:lineRule="exact"/>
        <w:ind w:firstLine="0" w:firstLineChars="0"/>
        <w:jc w:val="both"/>
        <w:rPr>
          <w:rFonts w:hint="eastAsia" w:ascii="Times New Roman" w:hAnsi="Times New Roman" w:eastAsia="方正小标宋简体" w:cs="Times New Roman"/>
          <w:sz w:val="48"/>
          <w:szCs w:val="48"/>
        </w:rPr>
      </w:pPr>
    </w:p>
    <w:p w14:paraId="27667137">
      <w:pPr>
        <w:spacing w:line="560" w:lineRule="exact"/>
        <w:ind w:firstLine="0" w:firstLineChars="0"/>
        <w:jc w:val="center"/>
        <w:rPr>
          <w:rFonts w:hint="eastAsia" w:ascii="Times New Roman" w:hAnsi="Times New Roman" w:eastAsia="方正小标宋简体" w:cs="Times New Roman"/>
          <w:sz w:val="48"/>
          <w:szCs w:val="48"/>
        </w:rPr>
      </w:pPr>
    </w:p>
    <w:p w14:paraId="766FAD3C">
      <w:pPr>
        <w:spacing w:line="560" w:lineRule="exact"/>
        <w:ind w:firstLine="0" w:firstLineChars="0"/>
        <w:jc w:val="center"/>
        <w:rPr>
          <w:rFonts w:hint="eastAsia" w:ascii="Times New Roman" w:hAnsi="Times New Roman" w:eastAsia="仿宋_GB2312" w:cs="Times New Roman"/>
          <w:sz w:val="32"/>
          <w:szCs w:val="32"/>
        </w:rPr>
      </w:pPr>
      <w:r>
        <w:rPr>
          <w:rFonts w:hint="eastAsia" w:ascii="Times New Roman" w:hAnsi="Times New Roman" w:eastAsia="方正小标宋简体" w:cs="Times New Roman"/>
          <w:sz w:val="48"/>
          <w:szCs w:val="48"/>
        </w:rPr>
        <w:t>子基金设立方案</w:t>
      </w:r>
    </w:p>
    <w:p w14:paraId="3555C372">
      <w:pPr>
        <w:spacing w:line="560" w:lineRule="exact"/>
        <w:ind w:firstLine="0" w:firstLineChars="0"/>
        <w:jc w:val="center"/>
        <w:rPr>
          <w:rFonts w:hint="eastAsia" w:ascii="Times New Roman" w:hAnsi="Times New Roman" w:eastAsia="仿宋_GB2312" w:cs="Times New Roman"/>
          <w:sz w:val="32"/>
          <w:szCs w:val="32"/>
        </w:rPr>
      </w:pPr>
    </w:p>
    <w:p w14:paraId="7EE17073">
      <w:pPr>
        <w:spacing w:line="560" w:lineRule="exact"/>
        <w:ind w:firstLine="0" w:firstLineChars="0"/>
        <w:jc w:val="center"/>
        <w:rPr>
          <w:rFonts w:hint="eastAsia" w:ascii="Times New Roman" w:hAnsi="Times New Roman" w:eastAsia="仿宋_GB2312" w:cs="Times New Roman"/>
          <w:sz w:val="32"/>
          <w:szCs w:val="32"/>
        </w:rPr>
      </w:pPr>
    </w:p>
    <w:p w14:paraId="12F8A235">
      <w:pPr>
        <w:spacing w:line="560" w:lineRule="exact"/>
        <w:ind w:firstLine="0" w:firstLineChars="0"/>
        <w:jc w:val="center"/>
        <w:rPr>
          <w:rFonts w:hint="eastAsia" w:ascii="Times New Roman" w:hAnsi="Times New Roman" w:eastAsia="仿宋_GB2312" w:cs="Times New Roman"/>
          <w:sz w:val="32"/>
          <w:szCs w:val="32"/>
        </w:rPr>
      </w:pPr>
    </w:p>
    <w:p w14:paraId="4B9D32D5">
      <w:pPr>
        <w:spacing w:line="560" w:lineRule="exact"/>
        <w:ind w:firstLine="0" w:firstLineChars="0"/>
        <w:jc w:val="center"/>
        <w:rPr>
          <w:rFonts w:hint="eastAsia" w:ascii="Times New Roman" w:hAnsi="Times New Roman" w:eastAsia="仿宋_GB2312" w:cs="Times New Roman"/>
          <w:sz w:val="32"/>
          <w:szCs w:val="32"/>
        </w:rPr>
      </w:pPr>
    </w:p>
    <w:p w14:paraId="53021F32">
      <w:pPr>
        <w:spacing w:line="560" w:lineRule="exact"/>
        <w:ind w:firstLine="0" w:firstLineChars="0"/>
        <w:jc w:val="center"/>
        <w:rPr>
          <w:rFonts w:hint="eastAsia" w:ascii="Times New Roman" w:hAnsi="Times New Roman" w:eastAsia="仿宋_GB2312" w:cs="Times New Roman"/>
          <w:sz w:val="32"/>
          <w:szCs w:val="32"/>
        </w:rPr>
      </w:pPr>
    </w:p>
    <w:p w14:paraId="3CFA6C57">
      <w:pPr>
        <w:spacing w:line="560" w:lineRule="exact"/>
        <w:ind w:firstLine="0" w:firstLineChars="0"/>
        <w:jc w:val="center"/>
        <w:rPr>
          <w:rFonts w:hint="eastAsia" w:ascii="Times New Roman" w:hAnsi="Times New Roman" w:eastAsia="仿宋_GB2312" w:cs="Times New Roman"/>
          <w:sz w:val="32"/>
          <w:szCs w:val="32"/>
        </w:rPr>
      </w:pPr>
    </w:p>
    <w:p w14:paraId="4FAC89E9">
      <w:pPr>
        <w:spacing w:line="560" w:lineRule="exact"/>
        <w:ind w:firstLine="0" w:firstLineChars="0"/>
        <w:jc w:val="center"/>
        <w:rPr>
          <w:rFonts w:hint="eastAsia" w:ascii="Times New Roman" w:hAnsi="Times New Roman" w:eastAsia="仿宋_GB2312" w:cs="Times New Roman"/>
          <w:sz w:val="32"/>
          <w:szCs w:val="32"/>
        </w:rPr>
      </w:pPr>
    </w:p>
    <w:p w14:paraId="7ADFE5EE">
      <w:pPr>
        <w:spacing w:line="560" w:lineRule="exact"/>
        <w:ind w:firstLine="0" w:firstLineChars="0"/>
        <w:jc w:val="center"/>
        <w:rPr>
          <w:rFonts w:hint="eastAsia" w:ascii="Times New Roman" w:hAnsi="Times New Roman" w:eastAsia="仿宋_GB2312" w:cs="Times New Roman"/>
          <w:sz w:val="32"/>
          <w:szCs w:val="32"/>
        </w:rPr>
      </w:pPr>
    </w:p>
    <w:p w14:paraId="0551D973">
      <w:pPr>
        <w:spacing w:line="560" w:lineRule="exact"/>
        <w:ind w:firstLine="0" w:firstLineChars="0"/>
        <w:jc w:val="center"/>
        <w:rPr>
          <w:rFonts w:hint="eastAsia" w:ascii="Times New Roman" w:hAnsi="Times New Roman" w:eastAsia="仿宋_GB2312" w:cs="Times New Roman"/>
          <w:sz w:val="32"/>
          <w:szCs w:val="32"/>
        </w:rPr>
      </w:pPr>
    </w:p>
    <w:p w14:paraId="05C45615">
      <w:pPr>
        <w:spacing w:line="560" w:lineRule="exact"/>
        <w:ind w:firstLine="0" w:firstLineChars="0"/>
        <w:jc w:val="center"/>
        <w:rPr>
          <w:rFonts w:hint="eastAsia" w:ascii="Times New Roman" w:hAnsi="Times New Roman" w:eastAsia="仿宋_GB2312" w:cs="Times New Roman"/>
          <w:sz w:val="32"/>
          <w:szCs w:val="32"/>
        </w:rPr>
      </w:pPr>
    </w:p>
    <w:p w14:paraId="0707C1ED">
      <w:pPr>
        <w:spacing w:line="560" w:lineRule="exact"/>
        <w:ind w:firstLine="0" w:firstLineChars="0"/>
        <w:jc w:val="center"/>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XX年XX月</w:t>
      </w:r>
    </w:p>
    <w:p w14:paraId="3637AE94">
      <w:pPr>
        <w:spacing w:line="560" w:lineRule="exact"/>
        <w:ind w:firstLine="0" w:firstLineChars="0"/>
        <w:jc w:val="center"/>
        <w:rPr>
          <w:rFonts w:hint="eastAsia" w:ascii="Times New Roman" w:hAnsi="Times New Roman" w:eastAsia="仿宋_GB2312" w:cs="Times New Roman"/>
          <w:sz w:val="32"/>
          <w:szCs w:val="32"/>
        </w:rPr>
      </w:pPr>
    </w:p>
    <w:p w14:paraId="19F90CDB">
      <w:pPr>
        <w:widowControl/>
        <w:spacing w:line="560" w:lineRule="exact"/>
        <w:ind w:left="0" w:leftChars="0" w:firstLine="0" w:firstLineChars="0"/>
        <w:jc w:val="both"/>
        <w:rPr>
          <w:rFonts w:hint="eastAsia" w:ascii="Times New Roman" w:hAnsi="Times New Roman" w:eastAsia="黑体" w:cs="Times New Roman"/>
          <w:sz w:val="32"/>
          <w:szCs w:val="32"/>
        </w:rPr>
      </w:pPr>
      <w:r>
        <w:rPr>
          <w:rFonts w:hint="eastAsia" w:eastAsia="黑体" w:cs="Times New Roman"/>
          <w:sz w:val="32"/>
          <w:szCs w:val="32"/>
          <w:lang w:val="en-US" w:eastAsia="zh-CN"/>
        </w:rPr>
        <w:t xml:space="preserve">    </w:t>
      </w:r>
      <w:r>
        <w:rPr>
          <w:rFonts w:hint="eastAsia" w:ascii="Times New Roman" w:hAnsi="Times New Roman" w:eastAsia="黑体" w:cs="Times New Roman"/>
          <w:sz w:val="32"/>
          <w:szCs w:val="32"/>
        </w:rPr>
        <w:t>一、基金设立背景与行业分析</w:t>
      </w:r>
    </w:p>
    <w:p w14:paraId="026EEB61">
      <w:pPr>
        <w:spacing w:line="560" w:lineRule="exact"/>
        <w:ind w:firstLine="640" w:firstLineChars="200"/>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二、基金概况</w:t>
      </w:r>
    </w:p>
    <w:p w14:paraId="74489617">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（一）基金名称</w:t>
      </w:r>
    </w:p>
    <w:p w14:paraId="1FB2F6DB">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（二）基金管理机构</w:t>
      </w:r>
    </w:p>
    <w:p w14:paraId="2FB4FBC3">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（三）基金注册地址</w:t>
      </w:r>
    </w:p>
    <w:p w14:paraId="4D2B3743">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（四）基金规模</w:t>
      </w:r>
    </w:p>
    <w:p w14:paraId="0DF3F3DD">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（五）存续期限（须注明投资期和退出期）</w:t>
      </w:r>
    </w:p>
    <w:p w14:paraId="62DF15B0">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（六）基金组织形式及类型</w:t>
      </w:r>
    </w:p>
    <w:p w14:paraId="234FE7D1">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（七）申请种子基金出资额及比例</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须注明分期出资计划</w:t>
      </w:r>
      <w:r>
        <w:rPr>
          <w:rFonts w:hint="eastAsia" w:ascii="Times New Roman" w:hAnsi="Times New Roman" w:eastAsia="楷体_GB2312" w:cs="Times New Roman"/>
          <w:sz w:val="32"/>
          <w:szCs w:val="32"/>
          <w:lang w:eastAsia="zh-CN"/>
        </w:rPr>
        <w:t>）</w:t>
      </w:r>
    </w:p>
    <w:p w14:paraId="4B7CFF76">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（八）基金投资领域（须注明具体行业）</w:t>
      </w:r>
    </w:p>
    <w:p w14:paraId="15613719">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（九）基金投资标的</w:t>
      </w:r>
    </w:p>
    <w:p w14:paraId="4D8B7CC5">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（十）基金投资地域</w:t>
      </w:r>
    </w:p>
    <w:p w14:paraId="7B3E5E5D">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（十一）基金投资限额</w:t>
      </w:r>
    </w:p>
    <w:p w14:paraId="22B71CF5">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（十二）管理费用（须注明计算基数和费率）</w:t>
      </w:r>
    </w:p>
    <w:p w14:paraId="65DEB08D">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（十三）收益分配</w:t>
      </w:r>
    </w:p>
    <w:p w14:paraId="2B28115A">
      <w:pPr>
        <w:spacing w:line="560" w:lineRule="exact"/>
        <w:ind w:firstLine="640" w:firstLineChars="200"/>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三、基金出资人</w:t>
      </w:r>
    </w:p>
    <w:p w14:paraId="3B2E7466">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（一）基金出资架构：</w:t>
      </w:r>
      <w:r>
        <w:rPr>
          <w:rFonts w:hint="eastAsia" w:ascii="Times New Roman" w:hAnsi="Times New Roman" w:cs="Times New Roman"/>
          <w:sz w:val="32"/>
          <w:szCs w:val="32"/>
          <w:lang w:val="en-US" w:eastAsia="zh-CN"/>
        </w:rPr>
        <w:t>详细列明</w:t>
      </w:r>
      <w:r>
        <w:rPr>
          <w:rFonts w:hint="eastAsia" w:ascii="Times New Roman" w:hAnsi="Times New Roman" w:eastAsia="仿宋_GB2312" w:cs="Times New Roman"/>
          <w:sz w:val="32"/>
          <w:szCs w:val="32"/>
        </w:rPr>
        <w:t>已基本确定的出资人类型、出资人名称、认缴出资金额、出资比例等情况，以及剩余资金的募集计划及时间安排。</w:t>
      </w:r>
    </w:p>
    <w:tbl>
      <w:tblPr>
        <w:tblStyle w:val="9"/>
        <w:tblpPr w:leftFromText="180" w:rightFromText="180" w:vertAnchor="text" w:horzAnchor="page" w:tblpXSpec="center" w:tblpY="508"/>
        <w:tblOverlap w:val="never"/>
        <w:tblW w:w="7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1"/>
        <w:gridCol w:w="2979"/>
        <w:gridCol w:w="2108"/>
        <w:gridCol w:w="1442"/>
      </w:tblGrid>
      <w:tr w14:paraId="443D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41" w:type="dxa"/>
            <w:tcBorders>
              <w:tl2br w:val="nil"/>
              <w:tr2bl w:val="nil"/>
            </w:tcBorders>
            <w:shd w:val="clear" w:color="auto" w:fill="auto"/>
            <w:noWrap/>
            <w:vAlign w:val="center"/>
          </w:tcPr>
          <w:p w14:paraId="38C4B667">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b/>
                <w:bCs/>
                <w:kern w:val="2"/>
                <w:sz w:val="24"/>
                <w:szCs w:val="24"/>
                <w:highlight w:val="none"/>
                <w:lang w:val="en-US" w:eastAsia="zh-CN" w:bidi="ar-SA"/>
              </w:rPr>
            </w:pPr>
            <w:r>
              <w:rPr>
                <w:rFonts w:hint="eastAsia" w:ascii="Times New Roman" w:hAnsi="Times New Roman" w:eastAsia="仿宋_GB2312" w:cs="仿宋_GB2312"/>
                <w:b/>
                <w:bCs/>
                <w:sz w:val="24"/>
                <w:szCs w:val="24"/>
                <w:highlight w:val="none"/>
                <w:lang w:val="en-US" w:eastAsia="zh-CN"/>
              </w:rPr>
              <w:t>出资人类型</w:t>
            </w:r>
          </w:p>
        </w:tc>
        <w:tc>
          <w:tcPr>
            <w:tcW w:w="2979" w:type="dxa"/>
            <w:tcBorders>
              <w:tl2br w:val="nil"/>
              <w:tr2bl w:val="nil"/>
            </w:tcBorders>
            <w:shd w:val="clear" w:color="auto" w:fill="auto"/>
            <w:noWrap/>
            <w:vAlign w:val="center"/>
          </w:tcPr>
          <w:p w14:paraId="6B3982BA">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b/>
                <w:bCs/>
                <w:kern w:val="2"/>
                <w:sz w:val="24"/>
                <w:szCs w:val="24"/>
                <w:highlight w:val="none"/>
                <w:lang w:val="en-US" w:eastAsia="zh-CN" w:bidi="ar-SA"/>
              </w:rPr>
            </w:pPr>
            <w:r>
              <w:rPr>
                <w:rFonts w:hint="eastAsia" w:ascii="Times New Roman" w:hAnsi="Times New Roman" w:eastAsia="仿宋_GB2312" w:cs="仿宋_GB2312"/>
                <w:b/>
                <w:bCs/>
                <w:sz w:val="24"/>
                <w:szCs w:val="24"/>
                <w:highlight w:val="none"/>
              </w:rPr>
              <w:t>出资人名称</w:t>
            </w:r>
          </w:p>
        </w:tc>
        <w:tc>
          <w:tcPr>
            <w:tcW w:w="2108" w:type="dxa"/>
            <w:tcBorders>
              <w:tl2br w:val="nil"/>
              <w:tr2bl w:val="nil"/>
            </w:tcBorders>
            <w:shd w:val="clear" w:color="auto" w:fill="auto"/>
            <w:noWrap/>
            <w:vAlign w:val="center"/>
          </w:tcPr>
          <w:p w14:paraId="1A21CCD5">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b/>
                <w:bCs/>
                <w:kern w:val="2"/>
                <w:sz w:val="24"/>
                <w:szCs w:val="24"/>
                <w:highlight w:val="none"/>
                <w:lang w:val="en-US" w:eastAsia="zh-CN" w:bidi="ar-SA"/>
              </w:rPr>
            </w:pPr>
            <w:r>
              <w:rPr>
                <w:rFonts w:hint="eastAsia" w:ascii="Times New Roman" w:hAnsi="Times New Roman" w:eastAsia="仿宋_GB2312" w:cs="仿宋_GB2312"/>
                <w:b/>
                <w:bCs/>
                <w:sz w:val="24"/>
                <w:szCs w:val="24"/>
                <w:highlight w:val="none"/>
              </w:rPr>
              <w:t>认缴出资金额</w:t>
            </w:r>
            <w:r>
              <w:rPr>
                <w:rFonts w:hint="eastAsia" w:ascii="Times New Roman" w:hAnsi="Times New Roman" w:eastAsia="仿宋_GB2312" w:cs="仿宋_GB2312"/>
                <w:b/>
                <w:bCs/>
                <w:sz w:val="24"/>
                <w:szCs w:val="24"/>
                <w:highlight w:val="none"/>
                <w:lang w:val="en-US" w:eastAsia="zh-CN"/>
              </w:rPr>
              <w:t xml:space="preserve">  </w:t>
            </w:r>
            <w:r>
              <w:rPr>
                <w:rFonts w:hint="eastAsia" w:ascii="Times New Roman" w:hAnsi="Times New Roman" w:eastAsia="仿宋_GB2312" w:cs="仿宋_GB2312"/>
                <w:b/>
                <w:bCs/>
                <w:sz w:val="24"/>
                <w:szCs w:val="24"/>
                <w:highlight w:val="none"/>
              </w:rPr>
              <w:t>（</w:t>
            </w:r>
            <w:r>
              <w:rPr>
                <w:rFonts w:hint="eastAsia" w:ascii="Times New Roman" w:hAnsi="Times New Roman" w:cs="仿宋_GB2312"/>
                <w:b/>
                <w:bCs/>
                <w:sz w:val="24"/>
                <w:szCs w:val="24"/>
                <w:highlight w:val="none"/>
                <w:lang w:val="en-US" w:eastAsia="zh-CN"/>
              </w:rPr>
              <w:t>万</w:t>
            </w:r>
            <w:r>
              <w:rPr>
                <w:rFonts w:hint="eastAsia" w:ascii="Times New Roman" w:hAnsi="Times New Roman" w:eastAsia="仿宋_GB2312" w:cs="仿宋_GB2312"/>
                <w:b/>
                <w:bCs/>
                <w:sz w:val="24"/>
                <w:szCs w:val="24"/>
                <w:highlight w:val="none"/>
              </w:rPr>
              <w:t>元）</w:t>
            </w:r>
          </w:p>
        </w:tc>
        <w:tc>
          <w:tcPr>
            <w:tcW w:w="1442" w:type="dxa"/>
            <w:tcBorders>
              <w:tl2br w:val="nil"/>
              <w:tr2bl w:val="nil"/>
            </w:tcBorders>
            <w:shd w:val="clear" w:color="auto" w:fill="auto"/>
            <w:noWrap/>
            <w:vAlign w:val="center"/>
          </w:tcPr>
          <w:p w14:paraId="003D1C85">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b/>
                <w:bCs/>
                <w:kern w:val="2"/>
                <w:sz w:val="24"/>
                <w:szCs w:val="24"/>
                <w:highlight w:val="none"/>
                <w:lang w:val="en-US" w:eastAsia="zh-CN" w:bidi="ar-SA"/>
              </w:rPr>
            </w:pPr>
            <w:r>
              <w:rPr>
                <w:rFonts w:hint="eastAsia" w:ascii="Times New Roman" w:hAnsi="Times New Roman" w:eastAsia="仿宋_GB2312" w:cs="仿宋_GB2312"/>
                <w:b/>
                <w:bCs/>
                <w:sz w:val="24"/>
                <w:szCs w:val="24"/>
                <w:highlight w:val="none"/>
              </w:rPr>
              <w:t>出资比例</w:t>
            </w:r>
          </w:p>
        </w:tc>
      </w:tr>
      <w:tr w14:paraId="0D0E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7" w:hRule="atLeast"/>
          <w:jc w:val="center"/>
        </w:trPr>
        <w:tc>
          <w:tcPr>
            <w:tcW w:w="941" w:type="dxa"/>
            <w:tcBorders>
              <w:tl2br w:val="nil"/>
              <w:tr2bl w:val="nil"/>
            </w:tcBorders>
            <w:shd w:val="clear" w:color="auto" w:fill="auto"/>
            <w:noWrap/>
            <w:vAlign w:val="center"/>
          </w:tcPr>
          <w:p w14:paraId="30ABA73D">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eastAsia="仿宋_GB2312" w:cs="仿宋_GB2312"/>
                <w:sz w:val="24"/>
                <w:szCs w:val="24"/>
                <w:highlight w:val="none"/>
                <w:lang w:val="en-US" w:eastAsia="zh-CN"/>
              </w:rPr>
              <w:t>GP</w:t>
            </w:r>
          </w:p>
        </w:tc>
        <w:tc>
          <w:tcPr>
            <w:tcW w:w="2979" w:type="dxa"/>
            <w:tcBorders>
              <w:tl2br w:val="nil"/>
              <w:tr2bl w:val="nil"/>
            </w:tcBorders>
            <w:shd w:val="clear" w:color="auto" w:fill="auto"/>
            <w:noWrap/>
            <w:vAlign w:val="center"/>
          </w:tcPr>
          <w:p w14:paraId="3348ECE3">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Times New Roman"/>
                <w:sz w:val="24"/>
                <w:szCs w:val="24"/>
                <w:lang w:val="en-US" w:eastAsia="zh-CN"/>
              </w:rPr>
            </w:pPr>
          </w:p>
        </w:tc>
        <w:tc>
          <w:tcPr>
            <w:tcW w:w="2108" w:type="dxa"/>
            <w:tcBorders>
              <w:tl2br w:val="nil"/>
              <w:tr2bl w:val="nil"/>
            </w:tcBorders>
            <w:shd w:val="clear" w:color="auto" w:fill="auto"/>
            <w:noWrap/>
            <w:vAlign w:val="center"/>
          </w:tcPr>
          <w:p w14:paraId="11A4A7E0">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sz w:val="24"/>
                <w:szCs w:val="24"/>
                <w:lang w:val="en-US" w:eastAsia="zh-CN"/>
              </w:rPr>
            </w:pPr>
          </w:p>
        </w:tc>
        <w:tc>
          <w:tcPr>
            <w:tcW w:w="1442" w:type="dxa"/>
            <w:tcBorders>
              <w:tl2br w:val="nil"/>
              <w:tr2bl w:val="nil"/>
            </w:tcBorders>
            <w:shd w:val="clear" w:color="auto" w:fill="auto"/>
            <w:noWrap/>
            <w:vAlign w:val="center"/>
          </w:tcPr>
          <w:p w14:paraId="023EF24A">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Times New Roman"/>
                <w:sz w:val="24"/>
                <w:szCs w:val="24"/>
                <w:lang w:val="en-US" w:eastAsia="zh-CN"/>
              </w:rPr>
            </w:pPr>
          </w:p>
        </w:tc>
      </w:tr>
      <w:tr w14:paraId="2523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41" w:type="dxa"/>
            <w:tcBorders>
              <w:tl2br w:val="nil"/>
              <w:tr2bl w:val="nil"/>
            </w:tcBorders>
            <w:shd w:val="clear" w:color="auto" w:fill="auto"/>
            <w:noWrap/>
            <w:vAlign w:val="center"/>
          </w:tcPr>
          <w:p w14:paraId="52E7D5D1">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eastAsia="仿宋_GB2312" w:cs="仿宋_GB2312"/>
                <w:sz w:val="24"/>
                <w:szCs w:val="24"/>
                <w:highlight w:val="none"/>
                <w:lang w:val="en-US" w:eastAsia="zh-CN"/>
              </w:rPr>
              <w:t>LP1</w:t>
            </w:r>
          </w:p>
        </w:tc>
        <w:tc>
          <w:tcPr>
            <w:tcW w:w="2979" w:type="dxa"/>
            <w:tcBorders>
              <w:tl2br w:val="nil"/>
              <w:tr2bl w:val="nil"/>
            </w:tcBorders>
            <w:shd w:val="clear" w:color="auto" w:fill="auto"/>
            <w:noWrap/>
            <w:vAlign w:val="center"/>
          </w:tcPr>
          <w:p w14:paraId="0E54912F">
            <w:pPr>
              <w:ind w:firstLine="0" w:firstLineChars="0"/>
              <w:jc w:val="center"/>
              <w:rPr>
                <w:rFonts w:hint="eastAsia" w:ascii="Times New Roman" w:hAnsi="Times New Roman" w:eastAsia="仿宋_GB2312" w:cs="Times New Roman"/>
                <w:kern w:val="2"/>
                <w:sz w:val="24"/>
                <w:szCs w:val="24"/>
                <w:lang w:val="en-US" w:eastAsia="zh-CN" w:bidi="ar-SA"/>
              </w:rPr>
            </w:pPr>
          </w:p>
        </w:tc>
        <w:tc>
          <w:tcPr>
            <w:tcW w:w="2108" w:type="dxa"/>
            <w:tcBorders>
              <w:tl2br w:val="nil"/>
              <w:tr2bl w:val="nil"/>
            </w:tcBorders>
            <w:shd w:val="clear" w:color="auto" w:fill="auto"/>
            <w:noWrap/>
            <w:vAlign w:val="center"/>
          </w:tcPr>
          <w:p w14:paraId="25954F0E">
            <w:pPr>
              <w:jc w:val="center"/>
              <w:rPr>
                <w:rFonts w:hint="default" w:ascii="Times New Roman" w:hAnsi="Times New Roman" w:eastAsia="仿宋_GB2312" w:cs="Times New Roman"/>
                <w:kern w:val="2"/>
                <w:sz w:val="24"/>
                <w:szCs w:val="24"/>
                <w:lang w:val="en-US" w:eastAsia="zh-CN" w:bidi="ar-SA"/>
              </w:rPr>
            </w:pPr>
          </w:p>
        </w:tc>
        <w:tc>
          <w:tcPr>
            <w:tcW w:w="1442" w:type="dxa"/>
            <w:tcBorders>
              <w:tl2br w:val="nil"/>
              <w:tr2bl w:val="nil"/>
            </w:tcBorders>
            <w:shd w:val="clear" w:color="auto" w:fill="auto"/>
            <w:noWrap/>
            <w:vAlign w:val="center"/>
          </w:tcPr>
          <w:p w14:paraId="1C0BFC5E">
            <w:pPr>
              <w:jc w:val="center"/>
              <w:rPr>
                <w:rFonts w:hint="default" w:ascii="Times New Roman" w:hAnsi="Times New Roman" w:eastAsia="仿宋_GB2312" w:cs="Times New Roman"/>
                <w:kern w:val="2"/>
                <w:sz w:val="24"/>
                <w:szCs w:val="24"/>
                <w:lang w:val="en-US" w:eastAsia="zh-CN" w:bidi="ar-SA"/>
              </w:rPr>
            </w:pPr>
          </w:p>
        </w:tc>
      </w:tr>
      <w:tr w14:paraId="0AB3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 w:type="dxa"/>
            <w:tcBorders>
              <w:tl2br w:val="nil"/>
              <w:tr2bl w:val="nil"/>
            </w:tcBorders>
            <w:shd w:val="clear" w:color="auto" w:fill="auto"/>
            <w:noWrap/>
            <w:vAlign w:val="center"/>
          </w:tcPr>
          <w:p w14:paraId="4D19940C">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eastAsia="仿宋_GB2312" w:cs="仿宋_GB2312"/>
                <w:sz w:val="24"/>
                <w:szCs w:val="24"/>
                <w:highlight w:val="none"/>
                <w:lang w:val="en-US" w:eastAsia="zh-CN"/>
              </w:rPr>
              <w:t>LP2</w:t>
            </w:r>
          </w:p>
        </w:tc>
        <w:tc>
          <w:tcPr>
            <w:tcW w:w="2979" w:type="dxa"/>
            <w:tcBorders>
              <w:tl2br w:val="nil"/>
              <w:tr2bl w:val="nil"/>
            </w:tcBorders>
            <w:shd w:val="clear" w:color="auto" w:fill="auto"/>
            <w:noWrap/>
            <w:vAlign w:val="center"/>
          </w:tcPr>
          <w:p w14:paraId="605F92CF">
            <w:pPr>
              <w:ind w:firstLine="0" w:firstLineChars="0"/>
              <w:jc w:val="center"/>
              <w:rPr>
                <w:rFonts w:hint="eastAsia" w:ascii="Times New Roman" w:hAnsi="Times New Roman" w:eastAsia="仿宋_GB2312" w:cs="Times New Roman"/>
                <w:kern w:val="2"/>
                <w:sz w:val="24"/>
                <w:szCs w:val="24"/>
                <w:lang w:val="en-US" w:eastAsia="zh-CN" w:bidi="ar-SA"/>
              </w:rPr>
            </w:pPr>
          </w:p>
        </w:tc>
        <w:tc>
          <w:tcPr>
            <w:tcW w:w="2108" w:type="dxa"/>
            <w:tcBorders>
              <w:tl2br w:val="nil"/>
              <w:tr2bl w:val="nil"/>
            </w:tcBorders>
            <w:shd w:val="clear" w:color="auto" w:fill="auto"/>
            <w:noWrap/>
            <w:vAlign w:val="center"/>
          </w:tcPr>
          <w:p w14:paraId="3EBB27D6">
            <w:pPr>
              <w:jc w:val="center"/>
              <w:rPr>
                <w:rFonts w:hint="eastAsia" w:ascii="Times New Roman" w:hAnsi="Times New Roman" w:eastAsia="仿宋_GB2312" w:cs="Times New Roman"/>
                <w:kern w:val="2"/>
                <w:sz w:val="24"/>
                <w:szCs w:val="24"/>
                <w:lang w:val="en-US" w:eastAsia="zh-CN" w:bidi="ar-SA"/>
              </w:rPr>
            </w:pPr>
          </w:p>
        </w:tc>
        <w:tc>
          <w:tcPr>
            <w:tcW w:w="1442" w:type="dxa"/>
            <w:tcBorders>
              <w:tl2br w:val="nil"/>
              <w:tr2bl w:val="nil"/>
            </w:tcBorders>
            <w:shd w:val="clear" w:color="auto" w:fill="auto"/>
            <w:noWrap/>
            <w:vAlign w:val="center"/>
          </w:tcPr>
          <w:p w14:paraId="3DDF0592">
            <w:pPr>
              <w:jc w:val="center"/>
              <w:rPr>
                <w:rFonts w:hint="eastAsia" w:ascii="Times New Roman" w:hAnsi="Times New Roman" w:eastAsia="仿宋_GB2312" w:cs="Times New Roman"/>
                <w:kern w:val="2"/>
                <w:sz w:val="24"/>
                <w:szCs w:val="24"/>
                <w:lang w:val="en-US" w:eastAsia="zh-CN" w:bidi="ar-SA"/>
              </w:rPr>
            </w:pPr>
          </w:p>
        </w:tc>
      </w:tr>
      <w:tr w14:paraId="2888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 w:type="dxa"/>
            <w:tcBorders>
              <w:tl2br w:val="nil"/>
              <w:tr2bl w:val="nil"/>
            </w:tcBorders>
            <w:shd w:val="clear" w:color="auto" w:fill="auto"/>
            <w:noWrap/>
            <w:vAlign w:val="center"/>
          </w:tcPr>
          <w:p w14:paraId="74132A66">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仿宋_GB2312"/>
                <w:kern w:val="2"/>
                <w:sz w:val="24"/>
                <w:szCs w:val="24"/>
                <w:highlight w:val="none"/>
                <w:lang w:val="en-US" w:eastAsia="zh-CN" w:bidi="ar-SA"/>
              </w:rPr>
            </w:pPr>
            <w:r>
              <w:rPr>
                <w:rFonts w:hint="eastAsia" w:ascii="Times New Roman" w:hAnsi="Times New Roman" w:cs="仿宋_GB2312"/>
                <w:sz w:val="24"/>
                <w:szCs w:val="24"/>
                <w:highlight w:val="none"/>
                <w:lang w:val="en-US" w:eastAsia="zh-CN"/>
              </w:rPr>
              <w:t>...</w:t>
            </w:r>
          </w:p>
        </w:tc>
        <w:tc>
          <w:tcPr>
            <w:tcW w:w="2979" w:type="dxa"/>
            <w:tcBorders>
              <w:tl2br w:val="nil"/>
              <w:tr2bl w:val="nil"/>
            </w:tcBorders>
            <w:shd w:val="clear" w:color="auto" w:fill="auto"/>
            <w:noWrap/>
            <w:vAlign w:val="center"/>
          </w:tcPr>
          <w:p w14:paraId="3CDDBB63">
            <w:pPr>
              <w:ind w:firstLine="0" w:firstLineChars="0"/>
              <w:jc w:val="center"/>
              <w:rPr>
                <w:rFonts w:hint="eastAsia" w:ascii="Times New Roman" w:hAnsi="Times New Roman" w:eastAsia="仿宋_GB2312" w:cs="Times New Roman"/>
                <w:kern w:val="2"/>
                <w:sz w:val="24"/>
                <w:szCs w:val="24"/>
                <w:lang w:val="en-US" w:eastAsia="zh-CN" w:bidi="ar-SA"/>
              </w:rPr>
            </w:pPr>
          </w:p>
        </w:tc>
        <w:tc>
          <w:tcPr>
            <w:tcW w:w="2108" w:type="dxa"/>
            <w:tcBorders>
              <w:tl2br w:val="nil"/>
              <w:tr2bl w:val="nil"/>
            </w:tcBorders>
            <w:shd w:val="clear" w:color="auto" w:fill="auto"/>
            <w:noWrap/>
            <w:vAlign w:val="center"/>
          </w:tcPr>
          <w:p w14:paraId="45BEBD56">
            <w:pPr>
              <w:jc w:val="center"/>
              <w:rPr>
                <w:rFonts w:hint="default" w:ascii="Times New Roman" w:hAnsi="Times New Roman" w:eastAsia="仿宋_GB2312" w:cs="Times New Roman"/>
                <w:kern w:val="2"/>
                <w:sz w:val="24"/>
                <w:szCs w:val="24"/>
                <w:lang w:val="en-US" w:eastAsia="zh-CN" w:bidi="ar-SA"/>
              </w:rPr>
            </w:pPr>
          </w:p>
        </w:tc>
        <w:tc>
          <w:tcPr>
            <w:tcW w:w="1442" w:type="dxa"/>
            <w:tcBorders>
              <w:tl2br w:val="nil"/>
              <w:tr2bl w:val="nil"/>
            </w:tcBorders>
            <w:shd w:val="clear" w:color="auto" w:fill="auto"/>
            <w:noWrap/>
            <w:vAlign w:val="center"/>
          </w:tcPr>
          <w:p w14:paraId="69C2B4BA">
            <w:pPr>
              <w:jc w:val="center"/>
              <w:rPr>
                <w:rFonts w:hint="default" w:ascii="Times New Roman" w:hAnsi="Times New Roman" w:eastAsia="仿宋_GB2312" w:cs="Times New Roman"/>
                <w:kern w:val="2"/>
                <w:sz w:val="24"/>
                <w:szCs w:val="24"/>
                <w:lang w:val="en-US" w:eastAsia="zh-CN" w:bidi="ar-SA"/>
              </w:rPr>
            </w:pPr>
          </w:p>
        </w:tc>
      </w:tr>
      <w:tr w14:paraId="7786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8" w:hRule="atLeast"/>
          <w:jc w:val="center"/>
        </w:trPr>
        <w:tc>
          <w:tcPr>
            <w:tcW w:w="3920" w:type="dxa"/>
            <w:gridSpan w:val="2"/>
            <w:tcBorders>
              <w:tl2br w:val="nil"/>
              <w:tr2bl w:val="nil"/>
            </w:tcBorders>
            <w:shd w:val="clear" w:color="auto" w:fill="auto"/>
            <w:noWrap/>
            <w:vAlign w:val="center"/>
          </w:tcPr>
          <w:p w14:paraId="4FBD0D0B">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b/>
                <w:bCs/>
                <w:kern w:val="2"/>
                <w:sz w:val="24"/>
                <w:szCs w:val="24"/>
                <w:highlight w:val="none"/>
                <w:lang w:val="en-US" w:eastAsia="zh-CN" w:bidi="ar-SA"/>
              </w:rPr>
            </w:pPr>
            <w:r>
              <w:rPr>
                <w:rFonts w:hint="eastAsia" w:ascii="Times New Roman" w:hAnsi="Times New Roman" w:eastAsia="仿宋_GB2312" w:cs="仿宋_GB2312"/>
                <w:b/>
                <w:bCs/>
                <w:sz w:val="24"/>
                <w:szCs w:val="24"/>
                <w:highlight w:val="none"/>
                <w:lang w:val="en-US" w:eastAsia="zh-CN"/>
              </w:rPr>
              <w:t>合计</w:t>
            </w:r>
          </w:p>
        </w:tc>
        <w:tc>
          <w:tcPr>
            <w:tcW w:w="2108" w:type="dxa"/>
            <w:tcBorders>
              <w:tl2br w:val="nil"/>
              <w:tr2bl w:val="nil"/>
            </w:tcBorders>
            <w:shd w:val="clear" w:color="auto" w:fill="auto"/>
            <w:noWrap/>
            <w:vAlign w:val="center"/>
          </w:tcPr>
          <w:p w14:paraId="5760DA55">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仿宋_GB2312"/>
                <w:b/>
                <w:bCs/>
                <w:kern w:val="2"/>
                <w:sz w:val="24"/>
                <w:szCs w:val="24"/>
                <w:highlight w:val="none"/>
                <w:lang w:val="en-US" w:eastAsia="zh-CN" w:bidi="ar-SA"/>
              </w:rPr>
            </w:pPr>
          </w:p>
        </w:tc>
        <w:tc>
          <w:tcPr>
            <w:tcW w:w="1442" w:type="dxa"/>
            <w:tcBorders>
              <w:tl2br w:val="nil"/>
              <w:tr2bl w:val="nil"/>
            </w:tcBorders>
            <w:shd w:val="clear" w:color="auto" w:fill="auto"/>
            <w:noWrap/>
            <w:vAlign w:val="center"/>
          </w:tcPr>
          <w:p w14:paraId="55D83246">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b/>
                <w:bCs/>
                <w:kern w:val="2"/>
                <w:sz w:val="24"/>
                <w:szCs w:val="24"/>
                <w:highlight w:val="none"/>
                <w:lang w:val="en-US" w:eastAsia="zh-CN" w:bidi="ar-SA"/>
              </w:rPr>
            </w:pPr>
            <w:r>
              <w:rPr>
                <w:rFonts w:hint="eastAsia" w:ascii="Times New Roman" w:hAnsi="Times New Roman" w:eastAsia="仿宋_GB2312" w:cs="仿宋_GB2312"/>
                <w:b/>
                <w:bCs/>
                <w:sz w:val="24"/>
                <w:szCs w:val="24"/>
                <w:highlight w:val="none"/>
                <w:lang w:val="en-US" w:eastAsia="zh-CN"/>
              </w:rPr>
              <w:t>100%</w:t>
            </w:r>
          </w:p>
        </w:tc>
      </w:tr>
    </w:tbl>
    <w:p w14:paraId="00344A92">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（二）出资人介绍：</w:t>
      </w:r>
      <w:r>
        <w:rPr>
          <w:rFonts w:hint="eastAsia" w:ascii="Times New Roman" w:hAnsi="Times New Roman" w:eastAsia="仿宋_GB2312" w:cs="Times New Roman"/>
          <w:sz w:val="32"/>
          <w:szCs w:val="32"/>
        </w:rPr>
        <w:t>按顺序依次介绍基石投资人和其它出资人（机构或个人）的概况</w:t>
      </w:r>
      <w:r>
        <w:rPr>
          <w:rFonts w:hint="eastAsia" w:cs="Times New Roman"/>
          <w:sz w:val="32"/>
          <w:szCs w:val="32"/>
          <w:lang w:val="en-US" w:eastAsia="zh-CN"/>
        </w:rPr>
        <w:t>及募资进度</w:t>
      </w:r>
      <w:r>
        <w:rPr>
          <w:rFonts w:hint="eastAsia" w:ascii="Times New Roman" w:hAnsi="Times New Roman" w:eastAsia="仿宋_GB2312" w:cs="Times New Roman"/>
          <w:sz w:val="32"/>
          <w:szCs w:val="32"/>
        </w:rPr>
        <w:t>，如出资涉及监管部门监管或审批，需说明相关监管事项和对审批时间的预估。</w:t>
      </w:r>
    </w:p>
    <w:p w14:paraId="711D6A86">
      <w:pPr>
        <w:spacing w:line="560" w:lineRule="exact"/>
        <w:ind w:firstLine="640" w:firstLineChars="200"/>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四、基金管理机构和团队</w:t>
      </w:r>
    </w:p>
    <w:p w14:paraId="108C8C52">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（一）基金管理机构</w:t>
      </w:r>
    </w:p>
    <w:p w14:paraId="7AEFEE64">
      <w:pPr>
        <w:spacing w:line="560" w:lineRule="exact"/>
        <w:ind w:firstLine="640" w:firstLineChars="200"/>
        <w:outlineLvl w:val="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1.基金管理机构工商注册信息、</w:t>
      </w:r>
      <w:bookmarkStart w:id="1" w:name="_Hlk31973876"/>
      <w:r>
        <w:rPr>
          <w:rFonts w:ascii="Times New Roman" w:hAnsi="Times New Roman" w:eastAsia="仿宋_GB2312" w:cs="Times New Roman"/>
          <w:sz w:val="32"/>
          <w:szCs w:val="32"/>
        </w:rPr>
        <w:t>注册资本与</w:t>
      </w:r>
      <w:r>
        <w:rPr>
          <w:rFonts w:hint="eastAsia" w:ascii="Times New Roman" w:hAnsi="Times New Roman" w:eastAsia="仿宋_GB2312" w:cs="Times New Roman"/>
          <w:sz w:val="32"/>
          <w:szCs w:val="32"/>
        </w:rPr>
        <w:t>实缴</w:t>
      </w:r>
      <w:r>
        <w:rPr>
          <w:rFonts w:ascii="Times New Roman" w:hAnsi="Times New Roman" w:eastAsia="仿宋_GB2312" w:cs="Times New Roman"/>
          <w:sz w:val="32"/>
          <w:szCs w:val="32"/>
        </w:rPr>
        <w:t>资本</w:t>
      </w:r>
      <w:bookmarkEnd w:id="1"/>
      <w:r>
        <w:rPr>
          <w:rFonts w:ascii="Times New Roman" w:hAnsi="Times New Roman" w:eastAsia="仿宋_GB2312" w:cs="Times New Roman"/>
          <w:sz w:val="32"/>
          <w:szCs w:val="32"/>
        </w:rPr>
        <w:t>、历史</w:t>
      </w:r>
      <w:r>
        <w:rPr>
          <w:rFonts w:hint="eastAsia" w:ascii="Times New Roman" w:hAnsi="Times New Roman" w:eastAsia="仿宋_GB2312" w:cs="Times New Roman"/>
          <w:sz w:val="32"/>
          <w:szCs w:val="32"/>
        </w:rPr>
        <w:t>沿革等；</w:t>
      </w:r>
    </w:p>
    <w:p w14:paraId="619972E7">
      <w:pPr>
        <w:spacing w:line="560" w:lineRule="exact"/>
        <w:ind w:firstLine="640" w:firstLineChars="200"/>
        <w:outlineLvl w:val="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bookmarkStart w:id="2" w:name="_Hlk31973803"/>
      <w:r>
        <w:rPr>
          <w:rFonts w:ascii="Times New Roman" w:hAnsi="Times New Roman" w:eastAsia="仿宋_GB2312" w:cs="Times New Roman"/>
          <w:sz w:val="32"/>
          <w:szCs w:val="32"/>
        </w:rPr>
        <w:t>股权结构、实际控制人：图表配合文字详细说明</w:t>
      </w:r>
      <w:bookmarkEnd w:id="2"/>
      <w:r>
        <w:rPr>
          <w:rFonts w:hint="eastAsia" w:ascii="Times New Roman" w:hAnsi="Times New Roman" w:eastAsia="仿宋_GB2312" w:cs="Times New Roman"/>
          <w:sz w:val="32"/>
          <w:szCs w:val="32"/>
        </w:rPr>
        <w:t>；</w:t>
      </w:r>
    </w:p>
    <w:p w14:paraId="56D9FC6E">
      <w:pPr>
        <w:spacing w:line="560" w:lineRule="exact"/>
        <w:ind w:firstLine="640" w:firstLineChars="200"/>
        <w:outlineLvl w:val="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3.内部治理架构：</w:t>
      </w:r>
      <w:r>
        <w:rPr>
          <w:rFonts w:hint="eastAsia" w:ascii="Times New Roman" w:hAnsi="Times New Roman" w:eastAsia="仿宋_GB2312" w:cs="Times New Roman"/>
          <w:sz w:val="32"/>
          <w:szCs w:val="32"/>
        </w:rPr>
        <w:t>管理和投资运作规范，具有完整的投资决策程序、全面的风险控制机制和健全的财务管理制度；</w:t>
      </w:r>
    </w:p>
    <w:tbl>
      <w:tblPr>
        <w:tblStyle w:val="9"/>
        <w:tblpPr w:leftFromText="180" w:rightFromText="180" w:vertAnchor="text" w:horzAnchor="page" w:tblpXSpec="center" w:tblpY="508"/>
        <w:tblOverlap w:val="never"/>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5"/>
        <w:gridCol w:w="2340"/>
        <w:gridCol w:w="5354"/>
      </w:tblGrid>
      <w:tr w14:paraId="6DCB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805" w:type="dxa"/>
            <w:tcBorders>
              <w:tl2br w:val="nil"/>
              <w:tr2bl w:val="nil"/>
            </w:tcBorders>
            <w:shd w:val="clear" w:color="auto" w:fill="auto"/>
            <w:noWrap/>
            <w:vAlign w:val="center"/>
          </w:tcPr>
          <w:p w14:paraId="4671F360">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仿宋_GB2312"/>
                <w:b/>
                <w:bCs/>
                <w:kern w:val="2"/>
                <w:sz w:val="24"/>
                <w:szCs w:val="24"/>
                <w:highlight w:val="none"/>
                <w:lang w:val="en-US" w:eastAsia="zh-CN" w:bidi="ar-SA"/>
              </w:rPr>
            </w:pPr>
            <w:r>
              <w:rPr>
                <w:rFonts w:hint="eastAsia" w:ascii="Times New Roman" w:hAnsi="Times New Roman" w:cs="仿宋_GB2312"/>
                <w:b/>
                <w:bCs/>
                <w:kern w:val="2"/>
                <w:sz w:val="24"/>
                <w:szCs w:val="24"/>
                <w:highlight w:val="none"/>
                <w:lang w:val="en-US" w:eastAsia="zh-CN" w:bidi="ar-SA"/>
              </w:rPr>
              <w:t>序号</w:t>
            </w:r>
          </w:p>
        </w:tc>
        <w:tc>
          <w:tcPr>
            <w:tcW w:w="2340" w:type="dxa"/>
            <w:tcBorders>
              <w:tl2br w:val="nil"/>
              <w:tr2bl w:val="nil"/>
            </w:tcBorders>
            <w:shd w:val="clear" w:color="auto" w:fill="auto"/>
            <w:noWrap/>
            <w:vAlign w:val="center"/>
          </w:tcPr>
          <w:p w14:paraId="0132A70C">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仿宋_GB2312"/>
                <w:b/>
                <w:bCs/>
                <w:kern w:val="2"/>
                <w:sz w:val="24"/>
                <w:szCs w:val="24"/>
                <w:highlight w:val="none"/>
                <w:lang w:val="en-US" w:eastAsia="zh-CN" w:bidi="ar-SA"/>
              </w:rPr>
            </w:pPr>
            <w:r>
              <w:rPr>
                <w:rFonts w:hint="eastAsia" w:ascii="Times New Roman" w:hAnsi="Times New Roman" w:cs="仿宋_GB2312"/>
                <w:b/>
                <w:bCs/>
                <w:sz w:val="24"/>
                <w:szCs w:val="24"/>
                <w:highlight w:val="none"/>
                <w:lang w:val="en-US" w:eastAsia="zh-CN"/>
              </w:rPr>
              <w:t>制度类型（参考）</w:t>
            </w:r>
          </w:p>
        </w:tc>
        <w:tc>
          <w:tcPr>
            <w:tcW w:w="5354" w:type="dxa"/>
            <w:tcBorders>
              <w:tl2br w:val="nil"/>
              <w:tr2bl w:val="nil"/>
            </w:tcBorders>
            <w:shd w:val="clear" w:color="auto" w:fill="auto"/>
            <w:noWrap/>
            <w:vAlign w:val="center"/>
          </w:tcPr>
          <w:p w14:paraId="5ECAED83">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b/>
                <w:bCs/>
                <w:kern w:val="2"/>
                <w:sz w:val="24"/>
                <w:szCs w:val="24"/>
                <w:highlight w:val="none"/>
                <w:lang w:val="en-US" w:eastAsia="zh-CN" w:bidi="ar-SA"/>
              </w:rPr>
            </w:pPr>
            <w:r>
              <w:rPr>
                <w:rFonts w:hint="eastAsia" w:ascii="Times New Roman" w:hAnsi="Times New Roman" w:cs="仿宋_GB2312"/>
                <w:b/>
                <w:bCs/>
                <w:kern w:val="2"/>
                <w:sz w:val="24"/>
                <w:szCs w:val="24"/>
                <w:highlight w:val="none"/>
                <w:lang w:val="en-US" w:eastAsia="zh-CN" w:bidi="ar-SA"/>
              </w:rPr>
              <w:t>制度名称</w:t>
            </w:r>
          </w:p>
        </w:tc>
      </w:tr>
      <w:tr w14:paraId="434E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805" w:type="dxa"/>
            <w:tcBorders>
              <w:tl2br w:val="nil"/>
              <w:tr2bl w:val="nil"/>
            </w:tcBorders>
            <w:shd w:val="clear" w:color="auto" w:fill="auto"/>
            <w:noWrap/>
            <w:vAlign w:val="center"/>
          </w:tcPr>
          <w:p w14:paraId="3214DB6F">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cs="仿宋_GB2312"/>
                <w:sz w:val="24"/>
                <w:szCs w:val="24"/>
                <w:highlight w:val="none"/>
                <w:lang w:val="en-US" w:eastAsia="zh-CN"/>
              </w:rPr>
              <w:t>1</w:t>
            </w:r>
          </w:p>
        </w:tc>
        <w:tc>
          <w:tcPr>
            <w:tcW w:w="2340" w:type="dxa"/>
            <w:tcBorders>
              <w:tl2br w:val="nil"/>
              <w:tr2bl w:val="nil"/>
            </w:tcBorders>
            <w:shd w:val="clear" w:color="auto" w:fill="auto"/>
            <w:noWrap/>
            <w:vAlign w:val="center"/>
          </w:tcPr>
          <w:p w14:paraId="19743845">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 w:val="24"/>
                <w:szCs w:val="24"/>
                <w:lang w:val="en-US" w:eastAsia="zh-CN"/>
              </w:rPr>
              <w:t>财务管理类</w:t>
            </w:r>
          </w:p>
        </w:tc>
        <w:tc>
          <w:tcPr>
            <w:tcW w:w="5354" w:type="dxa"/>
            <w:tcBorders>
              <w:tl2br w:val="nil"/>
              <w:tr2bl w:val="nil"/>
            </w:tcBorders>
            <w:shd w:val="clear" w:color="auto" w:fill="auto"/>
            <w:noWrap/>
            <w:vAlign w:val="center"/>
          </w:tcPr>
          <w:p w14:paraId="424CF5B8">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Times New Roman"/>
                <w:sz w:val="24"/>
                <w:szCs w:val="24"/>
                <w:lang w:val="en-US" w:eastAsia="zh-CN"/>
              </w:rPr>
            </w:pPr>
          </w:p>
        </w:tc>
      </w:tr>
      <w:tr w14:paraId="7E99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805" w:type="dxa"/>
            <w:tcBorders>
              <w:tl2br w:val="nil"/>
              <w:tr2bl w:val="nil"/>
            </w:tcBorders>
            <w:shd w:val="clear" w:color="auto" w:fill="auto"/>
            <w:noWrap/>
            <w:vAlign w:val="center"/>
          </w:tcPr>
          <w:p w14:paraId="09648A2D">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cs="仿宋_GB2312"/>
                <w:sz w:val="24"/>
                <w:szCs w:val="24"/>
                <w:highlight w:val="none"/>
                <w:lang w:val="en-US" w:eastAsia="zh-CN"/>
              </w:rPr>
              <w:t>2</w:t>
            </w:r>
          </w:p>
        </w:tc>
        <w:tc>
          <w:tcPr>
            <w:tcW w:w="2340" w:type="dxa"/>
            <w:tcBorders>
              <w:tl2br w:val="nil"/>
              <w:tr2bl w:val="nil"/>
            </w:tcBorders>
            <w:shd w:val="clear" w:color="auto" w:fill="auto"/>
            <w:noWrap/>
            <w:vAlign w:val="center"/>
          </w:tcPr>
          <w:p w14:paraId="43F43056">
            <w:pPr>
              <w:ind w:firstLine="0" w:firstLineChars="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投资管理类</w:t>
            </w:r>
          </w:p>
        </w:tc>
        <w:tc>
          <w:tcPr>
            <w:tcW w:w="5354" w:type="dxa"/>
            <w:tcBorders>
              <w:tl2br w:val="nil"/>
              <w:tr2bl w:val="nil"/>
            </w:tcBorders>
            <w:shd w:val="clear" w:color="auto" w:fill="auto"/>
            <w:noWrap/>
            <w:vAlign w:val="center"/>
          </w:tcPr>
          <w:p w14:paraId="3D9CDDD8">
            <w:pPr>
              <w:jc w:val="center"/>
              <w:rPr>
                <w:rFonts w:hint="default" w:ascii="Times New Roman" w:hAnsi="Times New Roman" w:eastAsia="仿宋_GB2312" w:cs="Times New Roman"/>
                <w:kern w:val="2"/>
                <w:sz w:val="24"/>
                <w:szCs w:val="24"/>
                <w:lang w:val="en-US" w:eastAsia="zh-CN" w:bidi="ar-SA"/>
              </w:rPr>
            </w:pPr>
          </w:p>
        </w:tc>
      </w:tr>
      <w:tr w14:paraId="4AF6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805" w:type="dxa"/>
            <w:tcBorders>
              <w:tl2br w:val="nil"/>
              <w:tr2bl w:val="nil"/>
            </w:tcBorders>
            <w:shd w:val="clear" w:color="auto" w:fill="auto"/>
            <w:noWrap/>
            <w:vAlign w:val="center"/>
          </w:tcPr>
          <w:p w14:paraId="6A68F941">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cs="仿宋_GB2312"/>
                <w:sz w:val="24"/>
                <w:szCs w:val="24"/>
                <w:highlight w:val="none"/>
                <w:lang w:val="en-US" w:eastAsia="zh-CN"/>
              </w:rPr>
              <w:t>3</w:t>
            </w:r>
          </w:p>
        </w:tc>
        <w:tc>
          <w:tcPr>
            <w:tcW w:w="2340" w:type="dxa"/>
            <w:tcBorders>
              <w:tl2br w:val="nil"/>
              <w:tr2bl w:val="nil"/>
            </w:tcBorders>
            <w:shd w:val="clear" w:color="auto" w:fill="auto"/>
            <w:noWrap/>
            <w:vAlign w:val="center"/>
          </w:tcPr>
          <w:p w14:paraId="7E90724B">
            <w:pPr>
              <w:ind w:firstLine="0" w:firstLineChars="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风险控制类</w:t>
            </w:r>
          </w:p>
        </w:tc>
        <w:tc>
          <w:tcPr>
            <w:tcW w:w="5354" w:type="dxa"/>
            <w:tcBorders>
              <w:tl2br w:val="nil"/>
              <w:tr2bl w:val="nil"/>
            </w:tcBorders>
            <w:shd w:val="clear" w:color="auto" w:fill="auto"/>
            <w:noWrap/>
            <w:vAlign w:val="center"/>
          </w:tcPr>
          <w:p w14:paraId="00274E5A">
            <w:pPr>
              <w:jc w:val="center"/>
              <w:rPr>
                <w:rFonts w:hint="eastAsia" w:ascii="Times New Roman" w:hAnsi="Times New Roman" w:eastAsia="仿宋_GB2312" w:cs="Times New Roman"/>
                <w:kern w:val="2"/>
                <w:sz w:val="24"/>
                <w:szCs w:val="24"/>
                <w:lang w:val="en-US" w:eastAsia="zh-CN" w:bidi="ar-SA"/>
              </w:rPr>
            </w:pPr>
          </w:p>
        </w:tc>
      </w:tr>
      <w:tr w14:paraId="17B1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jc w:val="center"/>
        </w:trPr>
        <w:tc>
          <w:tcPr>
            <w:tcW w:w="805" w:type="dxa"/>
            <w:tcBorders>
              <w:tl2br w:val="nil"/>
              <w:tr2bl w:val="nil"/>
            </w:tcBorders>
            <w:shd w:val="clear" w:color="auto" w:fill="auto"/>
            <w:noWrap/>
            <w:vAlign w:val="center"/>
          </w:tcPr>
          <w:p w14:paraId="0D60281C">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仿宋_GB2312"/>
                <w:kern w:val="2"/>
                <w:sz w:val="24"/>
                <w:szCs w:val="24"/>
                <w:highlight w:val="none"/>
                <w:lang w:val="en-US" w:eastAsia="zh-CN" w:bidi="ar-SA"/>
              </w:rPr>
            </w:pPr>
            <w:r>
              <w:rPr>
                <w:rFonts w:hint="eastAsia" w:ascii="Times New Roman" w:hAnsi="Times New Roman" w:cs="仿宋_GB2312"/>
                <w:sz w:val="24"/>
                <w:szCs w:val="24"/>
                <w:highlight w:val="none"/>
                <w:lang w:val="en-US" w:eastAsia="zh-CN"/>
              </w:rPr>
              <w:t>4</w:t>
            </w:r>
          </w:p>
        </w:tc>
        <w:tc>
          <w:tcPr>
            <w:tcW w:w="2340" w:type="dxa"/>
            <w:tcBorders>
              <w:tl2br w:val="nil"/>
              <w:tr2bl w:val="nil"/>
            </w:tcBorders>
            <w:shd w:val="clear" w:color="auto" w:fill="auto"/>
            <w:noWrap/>
            <w:vAlign w:val="center"/>
          </w:tcPr>
          <w:p w14:paraId="54B01EDE">
            <w:pPr>
              <w:ind w:firstLine="0" w:firstLineChars="0"/>
              <w:jc w:val="center"/>
              <w:rPr>
                <w:rFonts w:hint="default"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其他制度</w:t>
            </w:r>
          </w:p>
        </w:tc>
        <w:tc>
          <w:tcPr>
            <w:tcW w:w="5354" w:type="dxa"/>
            <w:tcBorders>
              <w:tl2br w:val="nil"/>
              <w:tr2bl w:val="nil"/>
            </w:tcBorders>
            <w:shd w:val="clear" w:color="auto" w:fill="auto"/>
            <w:noWrap/>
            <w:vAlign w:val="center"/>
          </w:tcPr>
          <w:p w14:paraId="003D841C">
            <w:pPr>
              <w:jc w:val="center"/>
              <w:rPr>
                <w:rFonts w:hint="default" w:ascii="Times New Roman" w:hAnsi="Times New Roman" w:eastAsia="仿宋_GB2312" w:cs="Times New Roman"/>
                <w:kern w:val="2"/>
                <w:sz w:val="24"/>
                <w:szCs w:val="24"/>
                <w:lang w:val="en-US" w:eastAsia="zh-CN" w:bidi="ar-SA"/>
              </w:rPr>
            </w:pPr>
          </w:p>
        </w:tc>
      </w:tr>
      <w:tr w14:paraId="4A00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jc w:val="center"/>
        </w:trPr>
        <w:tc>
          <w:tcPr>
            <w:tcW w:w="805" w:type="dxa"/>
            <w:tcBorders>
              <w:tl2br w:val="nil"/>
              <w:tr2bl w:val="nil"/>
            </w:tcBorders>
            <w:shd w:val="clear" w:color="auto" w:fill="auto"/>
            <w:noWrap/>
            <w:vAlign w:val="center"/>
          </w:tcPr>
          <w:p w14:paraId="013FE264">
            <w:pPr>
              <w:pStyle w:val="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cs="仿宋_GB2312"/>
                <w:sz w:val="24"/>
                <w:szCs w:val="24"/>
                <w:highlight w:val="none"/>
                <w:lang w:val="en-US" w:eastAsia="zh-CN"/>
              </w:rPr>
            </w:pPr>
            <w:bookmarkStart w:id="3" w:name="_Hlk31979876"/>
            <w:r>
              <w:rPr>
                <w:rFonts w:hint="eastAsia" w:ascii="Times New Roman" w:hAnsi="Times New Roman" w:cs="仿宋_GB2312"/>
                <w:sz w:val="24"/>
                <w:szCs w:val="24"/>
                <w:highlight w:val="none"/>
                <w:lang w:val="en-US" w:eastAsia="zh-CN"/>
              </w:rPr>
              <w:t>...</w:t>
            </w:r>
          </w:p>
        </w:tc>
        <w:tc>
          <w:tcPr>
            <w:tcW w:w="2340" w:type="dxa"/>
            <w:tcBorders>
              <w:tl2br w:val="nil"/>
              <w:tr2bl w:val="nil"/>
            </w:tcBorders>
            <w:shd w:val="clear" w:color="auto" w:fill="auto"/>
            <w:noWrap/>
            <w:vAlign w:val="center"/>
          </w:tcPr>
          <w:p w14:paraId="14B90BA0">
            <w:pPr>
              <w:ind w:firstLine="0" w:firstLineChars="0"/>
              <w:jc w:val="center"/>
              <w:rPr>
                <w:rFonts w:hint="eastAsia" w:cs="Times New Roman"/>
                <w:kern w:val="2"/>
                <w:sz w:val="24"/>
                <w:szCs w:val="24"/>
                <w:lang w:val="en-US" w:eastAsia="zh-CN" w:bidi="ar-SA"/>
              </w:rPr>
            </w:pPr>
          </w:p>
        </w:tc>
        <w:tc>
          <w:tcPr>
            <w:tcW w:w="5354" w:type="dxa"/>
            <w:tcBorders>
              <w:tl2br w:val="nil"/>
              <w:tr2bl w:val="nil"/>
            </w:tcBorders>
            <w:shd w:val="clear" w:color="auto" w:fill="auto"/>
            <w:noWrap/>
            <w:vAlign w:val="center"/>
          </w:tcPr>
          <w:p w14:paraId="211EA269">
            <w:pPr>
              <w:jc w:val="center"/>
              <w:rPr>
                <w:rFonts w:hint="default" w:ascii="Times New Roman" w:hAnsi="Times New Roman" w:eastAsia="仿宋_GB2312" w:cs="Times New Roman"/>
                <w:kern w:val="2"/>
                <w:sz w:val="24"/>
                <w:szCs w:val="24"/>
                <w:lang w:val="en-US" w:eastAsia="zh-CN" w:bidi="ar-SA"/>
              </w:rPr>
            </w:pPr>
          </w:p>
        </w:tc>
      </w:tr>
      <w:bookmarkEnd w:id="3"/>
    </w:tbl>
    <w:p w14:paraId="1A9E72B4">
      <w:pPr>
        <w:spacing w:line="560" w:lineRule="exact"/>
        <w:ind w:left="0" w:leftChars="0" w:firstLine="0" w:firstLineChars="0"/>
        <w:outlineLvl w:val="0"/>
        <w:rPr>
          <w:rFonts w:hint="eastAsia" w:ascii="Times New Roman" w:hAnsi="Times New Roman" w:eastAsia="仿宋_GB2312" w:cs="Times New Roman"/>
          <w:sz w:val="32"/>
          <w:szCs w:val="32"/>
          <w:highlight w:val="none"/>
        </w:rPr>
        <w:sectPr>
          <w:footerReference r:id="rId7" w:type="default"/>
          <w:pgSz w:w="11906" w:h="16838"/>
          <w:pgMar w:top="2098" w:right="1474" w:bottom="1984" w:left="1587" w:header="851" w:footer="992" w:gutter="0"/>
          <w:pgNumType w:fmt="numberInDash" w:start="1"/>
          <w:cols w:space="425" w:num="1"/>
          <w:docGrid w:type="lines" w:linePitch="312" w:charSpace="0"/>
        </w:sectPr>
      </w:pPr>
    </w:p>
    <w:p w14:paraId="4908ACC6">
      <w:pPr>
        <w:spacing w:line="560" w:lineRule="exact"/>
        <w:ind w:firstLine="640" w:firstLineChars="200"/>
        <w:outlineLvl w:val="0"/>
        <w:rPr>
          <w:rFonts w:hint="eastAsia" w:ascii="Times New Roman" w:hAnsi="Times New Roman" w:cs="Times New Roman"/>
          <w:sz w:val="32"/>
          <w:szCs w:val="32"/>
          <w:lang w:val="en-US" w:eastAsia="zh-CN"/>
        </w:rPr>
      </w:pPr>
      <w:r>
        <w:rPr>
          <w:rFonts w:ascii="Times New Roman" w:hAnsi="Times New Roman" w:eastAsia="仿宋_GB2312" w:cs="Times New Roman"/>
          <w:sz w:val="32"/>
          <w:szCs w:val="32"/>
        </w:rPr>
        <w:t>4.图表配合文字详细说明管理机构</w:t>
      </w:r>
      <w:r>
        <w:rPr>
          <w:rFonts w:hint="default" w:ascii="Times New Roman" w:hAnsi="Times New Roman" w:eastAsia="仿宋_GB2312" w:cs="Times New Roman"/>
          <w:sz w:val="32"/>
          <w:szCs w:val="32"/>
          <w:lang w:val="en-US"/>
        </w:rPr>
        <w:t>全体</w:t>
      </w:r>
      <w:r>
        <w:rPr>
          <w:rFonts w:ascii="Times New Roman" w:hAnsi="Times New Roman" w:eastAsia="仿宋_GB2312" w:cs="Times New Roman"/>
          <w:sz w:val="32"/>
          <w:szCs w:val="32"/>
        </w:rPr>
        <w:t>成员</w:t>
      </w:r>
      <w:r>
        <w:rPr>
          <w:rFonts w:hint="eastAsia" w:cs="Times New Roman"/>
          <w:sz w:val="32"/>
          <w:szCs w:val="32"/>
          <w:lang w:val="en-US" w:eastAsia="zh-CN"/>
        </w:rPr>
        <w:t>情况，包括但不限于</w:t>
      </w:r>
      <w:r>
        <w:rPr>
          <w:rFonts w:hint="eastAsia" w:ascii="Times New Roman" w:hAnsi="Times New Roman" w:cs="Times New Roman"/>
          <w:sz w:val="32"/>
          <w:szCs w:val="32"/>
          <w:lang w:val="en-US" w:eastAsia="zh-CN"/>
        </w:rPr>
        <w:t>以下内容：</w:t>
      </w:r>
    </w:p>
    <w:p w14:paraId="2F8B13D1">
      <w:pPr>
        <w:spacing w:line="560" w:lineRule="exact"/>
        <w:ind w:firstLine="640" w:firstLineChars="200"/>
        <w:outlineLvl w:val="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（1）管</w:t>
      </w:r>
      <w:r>
        <w:rPr>
          <w:rFonts w:hint="eastAsia" w:cs="Times New Roman"/>
          <w:sz w:val="32"/>
          <w:szCs w:val="32"/>
          <w:lang w:val="en-US" w:eastAsia="zh-CN"/>
        </w:rPr>
        <w:t>理机构全体</w:t>
      </w:r>
      <w:r>
        <w:rPr>
          <w:rFonts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rPr>
        <w:t>列表</w:t>
      </w:r>
      <w:bookmarkStart w:id="4" w:name="_Hlk31975984"/>
      <w:bookmarkStart w:id="5" w:name="_Hlk31975846"/>
      <w:r>
        <w:rPr>
          <w:rFonts w:hint="eastAsia" w:cs="Times New Roman"/>
          <w:sz w:val="32"/>
          <w:szCs w:val="32"/>
          <w:lang w:val="en-US" w:eastAsia="zh-CN"/>
        </w:rPr>
        <w:t>，文字说明主要人员</w:t>
      </w:r>
      <w:r>
        <w:rPr>
          <w:rFonts w:ascii="Times New Roman" w:hAnsi="Times New Roman" w:eastAsia="仿宋_GB2312" w:cs="Times New Roman"/>
          <w:sz w:val="32"/>
          <w:szCs w:val="32"/>
        </w:rPr>
        <w:t>共同合作经历</w:t>
      </w:r>
      <w:r>
        <w:rPr>
          <w:rFonts w:ascii="Times New Roman" w:hAnsi="Times New Roman" w:eastAsia="仿宋_GB2312" w:cs="Times New Roman"/>
          <w:sz w:val="32"/>
          <w:szCs w:val="32"/>
          <w:highlight w:val="none"/>
        </w:rPr>
        <w:t>等内容</w:t>
      </w:r>
      <w:bookmarkEnd w:id="4"/>
      <w:bookmarkEnd w:id="5"/>
      <w:r>
        <w:rPr>
          <w:rFonts w:hint="eastAsia" w:ascii="Times New Roman" w:hAnsi="Times New Roman" w:eastAsia="仿宋_GB2312" w:cs="Times New Roman"/>
          <w:sz w:val="32"/>
          <w:szCs w:val="32"/>
          <w:highlight w:val="none"/>
        </w:rPr>
        <w:t>；</w:t>
      </w:r>
    </w:p>
    <w:tbl>
      <w:tblPr>
        <w:tblStyle w:val="10"/>
        <w:tblW w:w="12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117"/>
        <w:gridCol w:w="1117"/>
        <w:gridCol w:w="1918"/>
        <w:gridCol w:w="1117"/>
        <w:gridCol w:w="1918"/>
        <w:gridCol w:w="1918"/>
        <w:gridCol w:w="1919"/>
        <w:gridCol w:w="1919"/>
      </w:tblGrid>
      <w:tr w14:paraId="6067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1117" w:type="dxa"/>
            <w:vAlign w:val="center"/>
          </w:tcPr>
          <w:p w14:paraId="7C9FB16A">
            <w:pPr>
              <w:pStyle w:val="2"/>
              <w:snapToGrid w:val="0"/>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序号</w:t>
            </w:r>
          </w:p>
        </w:tc>
        <w:tc>
          <w:tcPr>
            <w:tcW w:w="1117" w:type="dxa"/>
            <w:vAlign w:val="center"/>
          </w:tcPr>
          <w:p w14:paraId="279FB080">
            <w:pPr>
              <w:pStyle w:val="2"/>
              <w:snapToGrid w:val="0"/>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姓名</w:t>
            </w:r>
          </w:p>
        </w:tc>
        <w:tc>
          <w:tcPr>
            <w:tcW w:w="1918" w:type="dxa"/>
            <w:vAlign w:val="center"/>
          </w:tcPr>
          <w:p w14:paraId="4D45D3EB">
            <w:pPr>
              <w:pStyle w:val="2"/>
              <w:snapToGrid w:val="0"/>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出生年月</w:t>
            </w:r>
          </w:p>
        </w:tc>
        <w:tc>
          <w:tcPr>
            <w:tcW w:w="1117" w:type="dxa"/>
            <w:vAlign w:val="center"/>
          </w:tcPr>
          <w:p w14:paraId="6B181A9C">
            <w:pPr>
              <w:pStyle w:val="2"/>
              <w:snapToGrid w:val="0"/>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职务</w:t>
            </w:r>
          </w:p>
        </w:tc>
        <w:tc>
          <w:tcPr>
            <w:tcW w:w="1918" w:type="dxa"/>
            <w:vAlign w:val="center"/>
          </w:tcPr>
          <w:p w14:paraId="6A565EEE">
            <w:pPr>
              <w:pStyle w:val="2"/>
              <w:snapToGrid w:val="0"/>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教育背景</w:t>
            </w:r>
          </w:p>
        </w:tc>
        <w:tc>
          <w:tcPr>
            <w:tcW w:w="1918" w:type="dxa"/>
            <w:vAlign w:val="center"/>
          </w:tcPr>
          <w:p w14:paraId="1BEDE3F1">
            <w:pPr>
              <w:pStyle w:val="2"/>
              <w:snapToGrid w:val="0"/>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工作经历</w:t>
            </w:r>
          </w:p>
        </w:tc>
        <w:tc>
          <w:tcPr>
            <w:tcW w:w="1919" w:type="dxa"/>
            <w:vAlign w:val="center"/>
          </w:tcPr>
          <w:p w14:paraId="21E5BA80">
            <w:pPr>
              <w:pStyle w:val="2"/>
              <w:snapToGrid w:val="0"/>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入职时间</w:t>
            </w:r>
          </w:p>
        </w:tc>
        <w:tc>
          <w:tcPr>
            <w:tcW w:w="1919" w:type="dxa"/>
            <w:vAlign w:val="center"/>
          </w:tcPr>
          <w:p w14:paraId="14C1B531">
            <w:pPr>
              <w:pStyle w:val="2"/>
              <w:snapToGrid w:val="0"/>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职责分工</w:t>
            </w:r>
          </w:p>
        </w:tc>
      </w:tr>
      <w:tr w14:paraId="7451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17" w:type="dxa"/>
            <w:vAlign w:val="center"/>
          </w:tcPr>
          <w:p w14:paraId="057F8540">
            <w:pPr>
              <w:pStyle w:val="2"/>
              <w:snapToGrid w:val="0"/>
              <w:jc w:val="center"/>
              <w:rPr>
                <w:rFonts w:hint="eastAsia" w:ascii="Times New Roman" w:hAnsi="Times New Roman"/>
                <w:sz w:val="24"/>
                <w:szCs w:val="24"/>
                <w:vertAlign w:val="baseline"/>
              </w:rPr>
            </w:pPr>
          </w:p>
        </w:tc>
        <w:tc>
          <w:tcPr>
            <w:tcW w:w="1117" w:type="dxa"/>
            <w:vAlign w:val="center"/>
          </w:tcPr>
          <w:p w14:paraId="6DB4DC21">
            <w:pPr>
              <w:pStyle w:val="2"/>
              <w:snapToGrid w:val="0"/>
              <w:jc w:val="center"/>
              <w:rPr>
                <w:rFonts w:hint="eastAsia" w:ascii="Times New Roman" w:hAnsi="Times New Roman"/>
                <w:sz w:val="24"/>
                <w:szCs w:val="24"/>
                <w:vertAlign w:val="baseline"/>
              </w:rPr>
            </w:pPr>
          </w:p>
        </w:tc>
        <w:tc>
          <w:tcPr>
            <w:tcW w:w="1918" w:type="dxa"/>
            <w:vAlign w:val="center"/>
          </w:tcPr>
          <w:p w14:paraId="0C3DCEB5">
            <w:pPr>
              <w:pStyle w:val="2"/>
              <w:snapToGrid w:val="0"/>
              <w:jc w:val="center"/>
              <w:rPr>
                <w:rFonts w:hint="eastAsia" w:ascii="Times New Roman" w:hAnsi="Times New Roman"/>
                <w:sz w:val="24"/>
                <w:szCs w:val="24"/>
                <w:vertAlign w:val="baseline"/>
              </w:rPr>
            </w:pPr>
          </w:p>
        </w:tc>
        <w:tc>
          <w:tcPr>
            <w:tcW w:w="1117" w:type="dxa"/>
            <w:vAlign w:val="center"/>
          </w:tcPr>
          <w:p w14:paraId="379619A8">
            <w:pPr>
              <w:pStyle w:val="2"/>
              <w:snapToGrid w:val="0"/>
              <w:jc w:val="center"/>
              <w:rPr>
                <w:rFonts w:hint="eastAsia" w:ascii="Times New Roman" w:hAnsi="Times New Roman"/>
                <w:sz w:val="24"/>
                <w:szCs w:val="24"/>
                <w:vertAlign w:val="baseline"/>
              </w:rPr>
            </w:pPr>
          </w:p>
        </w:tc>
        <w:tc>
          <w:tcPr>
            <w:tcW w:w="1918" w:type="dxa"/>
            <w:vAlign w:val="center"/>
          </w:tcPr>
          <w:p w14:paraId="7822F953">
            <w:pPr>
              <w:pStyle w:val="2"/>
              <w:snapToGrid w:val="0"/>
              <w:jc w:val="center"/>
              <w:rPr>
                <w:rFonts w:hint="eastAsia" w:ascii="Times New Roman" w:hAnsi="Times New Roman"/>
                <w:sz w:val="24"/>
                <w:szCs w:val="24"/>
                <w:vertAlign w:val="baseline"/>
              </w:rPr>
            </w:pPr>
          </w:p>
        </w:tc>
        <w:tc>
          <w:tcPr>
            <w:tcW w:w="1918" w:type="dxa"/>
            <w:vAlign w:val="center"/>
          </w:tcPr>
          <w:p w14:paraId="340EF0D8">
            <w:pPr>
              <w:pStyle w:val="2"/>
              <w:snapToGrid w:val="0"/>
              <w:jc w:val="center"/>
              <w:rPr>
                <w:rFonts w:hint="eastAsia" w:ascii="Times New Roman" w:hAnsi="Times New Roman"/>
                <w:sz w:val="24"/>
                <w:szCs w:val="24"/>
                <w:vertAlign w:val="baseline"/>
              </w:rPr>
            </w:pPr>
          </w:p>
        </w:tc>
        <w:tc>
          <w:tcPr>
            <w:tcW w:w="1919" w:type="dxa"/>
            <w:vAlign w:val="center"/>
          </w:tcPr>
          <w:p w14:paraId="1EEA64D9">
            <w:pPr>
              <w:pStyle w:val="2"/>
              <w:snapToGrid w:val="0"/>
              <w:jc w:val="center"/>
              <w:rPr>
                <w:rFonts w:hint="eastAsia" w:ascii="Times New Roman" w:hAnsi="Times New Roman"/>
                <w:sz w:val="24"/>
                <w:szCs w:val="24"/>
                <w:vertAlign w:val="baseline"/>
              </w:rPr>
            </w:pPr>
          </w:p>
        </w:tc>
        <w:tc>
          <w:tcPr>
            <w:tcW w:w="1919" w:type="dxa"/>
            <w:vAlign w:val="center"/>
          </w:tcPr>
          <w:p w14:paraId="130734CF">
            <w:pPr>
              <w:pStyle w:val="2"/>
              <w:snapToGrid w:val="0"/>
              <w:jc w:val="center"/>
              <w:rPr>
                <w:rFonts w:hint="eastAsia" w:ascii="Times New Roman" w:hAnsi="Times New Roman"/>
                <w:sz w:val="24"/>
                <w:szCs w:val="24"/>
                <w:vertAlign w:val="baseline"/>
              </w:rPr>
            </w:pPr>
          </w:p>
        </w:tc>
      </w:tr>
      <w:tr w14:paraId="08C3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17" w:type="dxa"/>
            <w:vAlign w:val="center"/>
          </w:tcPr>
          <w:p w14:paraId="6CCBD406">
            <w:pPr>
              <w:pStyle w:val="2"/>
              <w:snapToGrid w:val="0"/>
              <w:jc w:val="center"/>
              <w:rPr>
                <w:rFonts w:hint="eastAsia" w:ascii="Times New Roman" w:hAnsi="Times New Roman"/>
                <w:sz w:val="24"/>
                <w:szCs w:val="24"/>
                <w:vertAlign w:val="baseline"/>
              </w:rPr>
            </w:pPr>
          </w:p>
        </w:tc>
        <w:tc>
          <w:tcPr>
            <w:tcW w:w="1117" w:type="dxa"/>
            <w:vAlign w:val="center"/>
          </w:tcPr>
          <w:p w14:paraId="18981617">
            <w:pPr>
              <w:pStyle w:val="2"/>
              <w:snapToGrid w:val="0"/>
              <w:jc w:val="center"/>
              <w:rPr>
                <w:rFonts w:hint="eastAsia" w:ascii="Times New Roman" w:hAnsi="Times New Roman"/>
                <w:sz w:val="24"/>
                <w:szCs w:val="24"/>
                <w:vertAlign w:val="baseline"/>
              </w:rPr>
            </w:pPr>
          </w:p>
        </w:tc>
        <w:tc>
          <w:tcPr>
            <w:tcW w:w="1918" w:type="dxa"/>
            <w:vAlign w:val="center"/>
          </w:tcPr>
          <w:p w14:paraId="5E5AF5E7">
            <w:pPr>
              <w:pStyle w:val="2"/>
              <w:snapToGrid w:val="0"/>
              <w:jc w:val="center"/>
              <w:rPr>
                <w:rFonts w:hint="eastAsia" w:ascii="Times New Roman" w:hAnsi="Times New Roman"/>
                <w:sz w:val="24"/>
                <w:szCs w:val="24"/>
                <w:vertAlign w:val="baseline"/>
              </w:rPr>
            </w:pPr>
          </w:p>
        </w:tc>
        <w:tc>
          <w:tcPr>
            <w:tcW w:w="1117" w:type="dxa"/>
            <w:vAlign w:val="center"/>
          </w:tcPr>
          <w:p w14:paraId="0B267537">
            <w:pPr>
              <w:pStyle w:val="2"/>
              <w:snapToGrid w:val="0"/>
              <w:jc w:val="center"/>
              <w:rPr>
                <w:rFonts w:hint="eastAsia" w:ascii="Times New Roman" w:hAnsi="Times New Roman"/>
                <w:sz w:val="24"/>
                <w:szCs w:val="24"/>
                <w:vertAlign w:val="baseline"/>
              </w:rPr>
            </w:pPr>
          </w:p>
        </w:tc>
        <w:tc>
          <w:tcPr>
            <w:tcW w:w="1918" w:type="dxa"/>
            <w:vAlign w:val="center"/>
          </w:tcPr>
          <w:p w14:paraId="76F8D4FB">
            <w:pPr>
              <w:pStyle w:val="2"/>
              <w:snapToGrid w:val="0"/>
              <w:jc w:val="center"/>
              <w:rPr>
                <w:rFonts w:hint="eastAsia" w:ascii="Times New Roman" w:hAnsi="Times New Roman"/>
                <w:sz w:val="24"/>
                <w:szCs w:val="24"/>
                <w:vertAlign w:val="baseline"/>
              </w:rPr>
            </w:pPr>
          </w:p>
        </w:tc>
        <w:tc>
          <w:tcPr>
            <w:tcW w:w="1918" w:type="dxa"/>
            <w:vAlign w:val="center"/>
          </w:tcPr>
          <w:p w14:paraId="28591115">
            <w:pPr>
              <w:pStyle w:val="2"/>
              <w:snapToGrid w:val="0"/>
              <w:jc w:val="center"/>
              <w:rPr>
                <w:rFonts w:hint="eastAsia" w:ascii="Times New Roman" w:hAnsi="Times New Roman"/>
                <w:sz w:val="24"/>
                <w:szCs w:val="24"/>
                <w:vertAlign w:val="baseline"/>
              </w:rPr>
            </w:pPr>
          </w:p>
        </w:tc>
        <w:tc>
          <w:tcPr>
            <w:tcW w:w="1919" w:type="dxa"/>
            <w:vAlign w:val="center"/>
          </w:tcPr>
          <w:p w14:paraId="589B98C3">
            <w:pPr>
              <w:pStyle w:val="2"/>
              <w:snapToGrid w:val="0"/>
              <w:jc w:val="center"/>
              <w:rPr>
                <w:rFonts w:hint="eastAsia" w:ascii="Times New Roman" w:hAnsi="Times New Roman"/>
                <w:sz w:val="24"/>
                <w:szCs w:val="24"/>
                <w:vertAlign w:val="baseline"/>
              </w:rPr>
            </w:pPr>
          </w:p>
        </w:tc>
        <w:tc>
          <w:tcPr>
            <w:tcW w:w="1919" w:type="dxa"/>
            <w:vAlign w:val="center"/>
          </w:tcPr>
          <w:p w14:paraId="4823278C">
            <w:pPr>
              <w:pStyle w:val="2"/>
              <w:snapToGrid w:val="0"/>
              <w:jc w:val="center"/>
              <w:rPr>
                <w:rFonts w:hint="eastAsia" w:ascii="Times New Roman" w:hAnsi="Times New Roman"/>
                <w:sz w:val="24"/>
                <w:szCs w:val="24"/>
                <w:vertAlign w:val="baseline"/>
              </w:rPr>
            </w:pPr>
          </w:p>
        </w:tc>
      </w:tr>
      <w:tr w14:paraId="09E6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17" w:type="dxa"/>
            <w:vAlign w:val="center"/>
          </w:tcPr>
          <w:p w14:paraId="3E0A2C32">
            <w:pPr>
              <w:pStyle w:val="2"/>
              <w:snapToGrid w:val="0"/>
              <w:jc w:val="center"/>
              <w:rPr>
                <w:rFonts w:hint="eastAsia" w:ascii="Times New Roman" w:hAnsi="Times New Roman"/>
                <w:sz w:val="24"/>
                <w:szCs w:val="24"/>
                <w:vertAlign w:val="baseline"/>
              </w:rPr>
            </w:pPr>
          </w:p>
        </w:tc>
        <w:tc>
          <w:tcPr>
            <w:tcW w:w="1117" w:type="dxa"/>
            <w:vAlign w:val="center"/>
          </w:tcPr>
          <w:p w14:paraId="11454F75">
            <w:pPr>
              <w:pStyle w:val="2"/>
              <w:snapToGrid w:val="0"/>
              <w:jc w:val="center"/>
              <w:rPr>
                <w:rFonts w:hint="eastAsia" w:ascii="Times New Roman" w:hAnsi="Times New Roman"/>
                <w:sz w:val="24"/>
                <w:szCs w:val="24"/>
                <w:vertAlign w:val="baseline"/>
              </w:rPr>
            </w:pPr>
          </w:p>
        </w:tc>
        <w:tc>
          <w:tcPr>
            <w:tcW w:w="1918" w:type="dxa"/>
            <w:vAlign w:val="center"/>
          </w:tcPr>
          <w:p w14:paraId="359BBF2C">
            <w:pPr>
              <w:pStyle w:val="2"/>
              <w:snapToGrid w:val="0"/>
              <w:jc w:val="center"/>
              <w:rPr>
                <w:rFonts w:hint="eastAsia" w:ascii="Times New Roman" w:hAnsi="Times New Roman"/>
                <w:sz w:val="24"/>
                <w:szCs w:val="24"/>
                <w:vertAlign w:val="baseline"/>
              </w:rPr>
            </w:pPr>
          </w:p>
        </w:tc>
        <w:tc>
          <w:tcPr>
            <w:tcW w:w="1117" w:type="dxa"/>
            <w:vAlign w:val="center"/>
          </w:tcPr>
          <w:p w14:paraId="192EF087">
            <w:pPr>
              <w:pStyle w:val="2"/>
              <w:snapToGrid w:val="0"/>
              <w:jc w:val="center"/>
              <w:rPr>
                <w:rFonts w:hint="eastAsia" w:ascii="Times New Roman" w:hAnsi="Times New Roman"/>
                <w:sz w:val="24"/>
                <w:szCs w:val="24"/>
                <w:vertAlign w:val="baseline"/>
              </w:rPr>
            </w:pPr>
          </w:p>
        </w:tc>
        <w:tc>
          <w:tcPr>
            <w:tcW w:w="1918" w:type="dxa"/>
            <w:vAlign w:val="center"/>
          </w:tcPr>
          <w:p w14:paraId="19ED1E8F">
            <w:pPr>
              <w:pStyle w:val="2"/>
              <w:snapToGrid w:val="0"/>
              <w:jc w:val="center"/>
              <w:rPr>
                <w:rFonts w:hint="eastAsia" w:ascii="Times New Roman" w:hAnsi="Times New Roman"/>
                <w:sz w:val="24"/>
                <w:szCs w:val="24"/>
                <w:vertAlign w:val="baseline"/>
              </w:rPr>
            </w:pPr>
          </w:p>
        </w:tc>
        <w:tc>
          <w:tcPr>
            <w:tcW w:w="1918" w:type="dxa"/>
            <w:vAlign w:val="center"/>
          </w:tcPr>
          <w:p w14:paraId="1DC139CB">
            <w:pPr>
              <w:pStyle w:val="2"/>
              <w:snapToGrid w:val="0"/>
              <w:jc w:val="center"/>
              <w:rPr>
                <w:rFonts w:hint="eastAsia" w:ascii="Times New Roman" w:hAnsi="Times New Roman"/>
                <w:sz w:val="24"/>
                <w:szCs w:val="24"/>
                <w:vertAlign w:val="baseline"/>
              </w:rPr>
            </w:pPr>
          </w:p>
        </w:tc>
        <w:tc>
          <w:tcPr>
            <w:tcW w:w="1919" w:type="dxa"/>
            <w:vAlign w:val="center"/>
          </w:tcPr>
          <w:p w14:paraId="05D6CFC6">
            <w:pPr>
              <w:pStyle w:val="2"/>
              <w:snapToGrid w:val="0"/>
              <w:jc w:val="center"/>
              <w:rPr>
                <w:rFonts w:hint="eastAsia" w:ascii="Times New Roman" w:hAnsi="Times New Roman"/>
                <w:sz w:val="24"/>
                <w:szCs w:val="24"/>
                <w:vertAlign w:val="baseline"/>
              </w:rPr>
            </w:pPr>
          </w:p>
        </w:tc>
        <w:tc>
          <w:tcPr>
            <w:tcW w:w="1919" w:type="dxa"/>
            <w:vAlign w:val="center"/>
          </w:tcPr>
          <w:p w14:paraId="606059C8">
            <w:pPr>
              <w:pStyle w:val="2"/>
              <w:snapToGrid w:val="0"/>
              <w:jc w:val="center"/>
              <w:rPr>
                <w:rFonts w:hint="eastAsia" w:ascii="Times New Roman" w:hAnsi="Times New Roman"/>
                <w:sz w:val="24"/>
                <w:szCs w:val="24"/>
                <w:vertAlign w:val="baseline"/>
              </w:rPr>
            </w:pPr>
          </w:p>
        </w:tc>
      </w:tr>
      <w:tr w14:paraId="52F5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17" w:type="dxa"/>
            <w:vAlign w:val="center"/>
          </w:tcPr>
          <w:p w14:paraId="33CE9758">
            <w:pPr>
              <w:pStyle w:val="2"/>
              <w:snapToGrid w:val="0"/>
              <w:jc w:val="center"/>
              <w:rPr>
                <w:rFonts w:hint="eastAsia" w:ascii="Times New Roman" w:hAnsi="Times New Roman"/>
                <w:sz w:val="24"/>
                <w:szCs w:val="24"/>
                <w:vertAlign w:val="baseline"/>
              </w:rPr>
            </w:pPr>
          </w:p>
        </w:tc>
        <w:tc>
          <w:tcPr>
            <w:tcW w:w="1117" w:type="dxa"/>
            <w:vAlign w:val="center"/>
          </w:tcPr>
          <w:p w14:paraId="05870277">
            <w:pPr>
              <w:pStyle w:val="2"/>
              <w:snapToGrid w:val="0"/>
              <w:jc w:val="center"/>
              <w:rPr>
                <w:rFonts w:hint="eastAsia" w:ascii="Times New Roman" w:hAnsi="Times New Roman"/>
                <w:sz w:val="24"/>
                <w:szCs w:val="24"/>
                <w:vertAlign w:val="baseline"/>
              </w:rPr>
            </w:pPr>
          </w:p>
        </w:tc>
        <w:tc>
          <w:tcPr>
            <w:tcW w:w="1918" w:type="dxa"/>
            <w:vAlign w:val="center"/>
          </w:tcPr>
          <w:p w14:paraId="3C817E92">
            <w:pPr>
              <w:pStyle w:val="2"/>
              <w:snapToGrid w:val="0"/>
              <w:jc w:val="center"/>
              <w:rPr>
                <w:rFonts w:hint="eastAsia" w:ascii="Times New Roman" w:hAnsi="Times New Roman"/>
                <w:sz w:val="24"/>
                <w:szCs w:val="24"/>
                <w:vertAlign w:val="baseline"/>
              </w:rPr>
            </w:pPr>
          </w:p>
        </w:tc>
        <w:tc>
          <w:tcPr>
            <w:tcW w:w="1117" w:type="dxa"/>
            <w:vAlign w:val="center"/>
          </w:tcPr>
          <w:p w14:paraId="1D8BD746">
            <w:pPr>
              <w:pStyle w:val="2"/>
              <w:snapToGrid w:val="0"/>
              <w:jc w:val="center"/>
              <w:rPr>
                <w:rFonts w:hint="eastAsia" w:ascii="Times New Roman" w:hAnsi="Times New Roman"/>
                <w:sz w:val="24"/>
                <w:szCs w:val="24"/>
                <w:vertAlign w:val="baseline"/>
              </w:rPr>
            </w:pPr>
          </w:p>
        </w:tc>
        <w:tc>
          <w:tcPr>
            <w:tcW w:w="1918" w:type="dxa"/>
            <w:vAlign w:val="center"/>
          </w:tcPr>
          <w:p w14:paraId="23E3B050">
            <w:pPr>
              <w:pStyle w:val="2"/>
              <w:snapToGrid w:val="0"/>
              <w:jc w:val="center"/>
              <w:rPr>
                <w:rFonts w:hint="eastAsia" w:ascii="Times New Roman" w:hAnsi="Times New Roman"/>
                <w:sz w:val="24"/>
                <w:szCs w:val="24"/>
                <w:vertAlign w:val="baseline"/>
              </w:rPr>
            </w:pPr>
          </w:p>
        </w:tc>
        <w:tc>
          <w:tcPr>
            <w:tcW w:w="1918" w:type="dxa"/>
            <w:vAlign w:val="center"/>
          </w:tcPr>
          <w:p w14:paraId="1DE95665">
            <w:pPr>
              <w:pStyle w:val="2"/>
              <w:snapToGrid w:val="0"/>
              <w:jc w:val="center"/>
              <w:rPr>
                <w:rFonts w:hint="eastAsia" w:ascii="Times New Roman" w:hAnsi="Times New Roman"/>
                <w:sz w:val="24"/>
                <w:szCs w:val="24"/>
                <w:vertAlign w:val="baseline"/>
              </w:rPr>
            </w:pPr>
          </w:p>
        </w:tc>
        <w:tc>
          <w:tcPr>
            <w:tcW w:w="1919" w:type="dxa"/>
            <w:vAlign w:val="center"/>
          </w:tcPr>
          <w:p w14:paraId="2C530FF1">
            <w:pPr>
              <w:pStyle w:val="2"/>
              <w:snapToGrid w:val="0"/>
              <w:jc w:val="center"/>
              <w:rPr>
                <w:rFonts w:hint="eastAsia" w:ascii="Times New Roman" w:hAnsi="Times New Roman"/>
                <w:sz w:val="24"/>
                <w:szCs w:val="24"/>
                <w:vertAlign w:val="baseline"/>
              </w:rPr>
            </w:pPr>
          </w:p>
        </w:tc>
        <w:tc>
          <w:tcPr>
            <w:tcW w:w="1919" w:type="dxa"/>
            <w:vAlign w:val="center"/>
          </w:tcPr>
          <w:p w14:paraId="77BE7878">
            <w:pPr>
              <w:pStyle w:val="2"/>
              <w:snapToGrid w:val="0"/>
              <w:jc w:val="center"/>
              <w:rPr>
                <w:rFonts w:hint="eastAsia" w:ascii="Times New Roman" w:hAnsi="Times New Roman"/>
                <w:sz w:val="24"/>
                <w:szCs w:val="24"/>
                <w:vertAlign w:val="baseline"/>
              </w:rPr>
            </w:pPr>
          </w:p>
        </w:tc>
      </w:tr>
      <w:tr w14:paraId="6C0D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17" w:type="dxa"/>
            <w:vAlign w:val="center"/>
          </w:tcPr>
          <w:p w14:paraId="4D34A891">
            <w:pPr>
              <w:pStyle w:val="2"/>
              <w:snapToGrid w:val="0"/>
              <w:jc w:val="center"/>
              <w:rPr>
                <w:rFonts w:hint="eastAsia" w:ascii="Times New Roman" w:hAnsi="Times New Roman"/>
                <w:sz w:val="24"/>
                <w:szCs w:val="24"/>
                <w:vertAlign w:val="baseline"/>
              </w:rPr>
            </w:pPr>
          </w:p>
        </w:tc>
        <w:tc>
          <w:tcPr>
            <w:tcW w:w="1117" w:type="dxa"/>
            <w:vAlign w:val="center"/>
          </w:tcPr>
          <w:p w14:paraId="441839B8">
            <w:pPr>
              <w:pStyle w:val="2"/>
              <w:snapToGrid w:val="0"/>
              <w:jc w:val="center"/>
              <w:rPr>
                <w:rFonts w:hint="eastAsia" w:ascii="Times New Roman" w:hAnsi="Times New Roman"/>
                <w:sz w:val="24"/>
                <w:szCs w:val="24"/>
                <w:vertAlign w:val="baseline"/>
              </w:rPr>
            </w:pPr>
          </w:p>
        </w:tc>
        <w:tc>
          <w:tcPr>
            <w:tcW w:w="1918" w:type="dxa"/>
            <w:vAlign w:val="center"/>
          </w:tcPr>
          <w:p w14:paraId="4CDE30AA">
            <w:pPr>
              <w:pStyle w:val="2"/>
              <w:snapToGrid w:val="0"/>
              <w:jc w:val="center"/>
              <w:rPr>
                <w:rFonts w:hint="eastAsia" w:ascii="Times New Roman" w:hAnsi="Times New Roman"/>
                <w:sz w:val="24"/>
                <w:szCs w:val="24"/>
                <w:vertAlign w:val="baseline"/>
              </w:rPr>
            </w:pPr>
          </w:p>
        </w:tc>
        <w:tc>
          <w:tcPr>
            <w:tcW w:w="1117" w:type="dxa"/>
            <w:vAlign w:val="center"/>
          </w:tcPr>
          <w:p w14:paraId="64F73198">
            <w:pPr>
              <w:pStyle w:val="2"/>
              <w:snapToGrid w:val="0"/>
              <w:jc w:val="center"/>
              <w:rPr>
                <w:rFonts w:hint="eastAsia" w:ascii="Times New Roman" w:hAnsi="Times New Roman"/>
                <w:sz w:val="24"/>
                <w:szCs w:val="24"/>
                <w:vertAlign w:val="baseline"/>
              </w:rPr>
            </w:pPr>
          </w:p>
        </w:tc>
        <w:tc>
          <w:tcPr>
            <w:tcW w:w="1918" w:type="dxa"/>
            <w:vAlign w:val="center"/>
          </w:tcPr>
          <w:p w14:paraId="2A032084">
            <w:pPr>
              <w:pStyle w:val="2"/>
              <w:snapToGrid w:val="0"/>
              <w:jc w:val="center"/>
              <w:rPr>
                <w:rFonts w:hint="eastAsia" w:ascii="Times New Roman" w:hAnsi="Times New Roman"/>
                <w:sz w:val="24"/>
                <w:szCs w:val="24"/>
                <w:vertAlign w:val="baseline"/>
              </w:rPr>
            </w:pPr>
          </w:p>
        </w:tc>
        <w:tc>
          <w:tcPr>
            <w:tcW w:w="1918" w:type="dxa"/>
            <w:vAlign w:val="center"/>
          </w:tcPr>
          <w:p w14:paraId="53F999E1">
            <w:pPr>
              <w:pStyle w:val="2"/>
              <w:snapToGrid w:val="0"/>
              <w:jc w:val="center"/>
              <w:rPr>
                <w:rFonts w:hint="eastAsia" w:ascii="Times New Roman" w:hAnsi="Times New Roman"/>
                <w:sz w:val="24"/>
                <w:szCs w:val="24"/>
                <w:vertAlign w:val="baseline"/>
              </w:rPr>
            </w:pPr>
          </w:p>
        </w:tc>
        <w:tc>
          <w:tcPr>
            <w:tcW w:w="1919" w:type="dxa"/>
            <w:vAlign w:val="center"/>
          </w:tcPr>
          <w:p w14:paraId="3153AA35">
            <w:pPr>
              <w:pStyle w:val="2"/>
              <w:snapToGrid w:val="0"/>
              <w:jc w:val="center"/>
              <w:rPr>
                <w:rFonts w:hint="eastAsia" w:ascii="Times New Roman" w:hAnsi="Times New Roman"/>
                <w:sz w:val="24"/>
                <w:szCs w:val="24"/>
                <w:vertAlign w:val="baseline"/>
              </w:rPr>
            </w:pPr>
          </w:p>
        </w:tc>
        <w:tc>
          <w:tcPr>
            <w:tcW w:w="1919" w:type="dxa"/>
            <w:vAlign w:val="center"/>
          </w:tcPr>
          <w:p w14:paraId="43A9A9B1">
            <w:pPr>
              <w:pStyle w:val="2"/>
              <w:snapToGrid w:val="0"/>
              <w:jc w:val="center"/>
              <w:rPr>
                <w:rFonts w:hint="eastAsia" w:ascii="Times New Roman" w:hAnsi="Times New Roman"/>
                <w:sz w:val="24"/>
                <w:szCs w:val="24"/>
                <w:vertAlign w:val="baseline"/>
              </w:rPr>
            </w:pPr>
          </w:p>
        </w:tc>
      </w:tr>
      <w:tr w14:paraId="14CA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17" w:type="dxa"/>
            <w:vAlign w:val="center"/>
          </w:tcPr>
          <w:p w14:paraId="5E6273B2">
            <w:pPr>
              <w:pStyle w:val="2"/>
              <w:snapToGrid w:val="0"/>
              <w:jc w:val="center"/>
              <w:rPr>
                <w:rFonts w:hint="eastAsia" w:ascii="Times New Roman" w:hAnsi="Times New Roman"/>
                <w:sz w:val="24"/>
                <w:szCs w:val="24"/>
                <w:vertAlign w:val="baseline"/>
              </w:rPr>
            </w:pPr>
          </w:p>
        </w:tc>
        <w:tc>
          <w:tcPr>
            <w:tcW w:w="1117" w:type="dxa"/>
            <w:vAlign w:val="center"/>
          </w:tcPr>
          <w:p w14:paraId="0B110F07">
            <w:pPr>
              <w:pStyle w:val="2"/>
              <w:snapToGrid w:val="0"/>
              <w:jc w:val="center"/>
              <w:rPr>
                <w:rFonts w:hint="eastAsia" w:ascii="Times New Roman" w:hAnsi="Times New Roman"/>
                <w:sz w:val="24"/>
                <w:szCs w:val="24"/>
                <w:vertAlign w:val="baseline"/>
              </w:rPr>
            </w:pPr>
          </w:p>
        </w:tc>
        <w:tc>
          <w:tcPr>
            <w:tcW w:w="1918" w:type="dxa"/>
            <w:vAlign w:val="center"/>
          </w:tcPr>
          <w:p w14:paraId="0C0F9E75">
            <w:pPr>
              <w:pStyle w:val="2"/>
              <w:snapToGrid w:val="0"/>
              <w:jc w:val="center"/>
              <w:rPr>
                <w:rFonts w:hint="eastAsia" w:ascii="Times New Roman" w:hAnsi="Times New Roman"/>
                <w:sz w:val="24"/>
                <w:szCs w:val="24"/>
                <w:vertAlign w:val="baseline"/>
              </w:rPr>
            </w:pPr>
          </w:p>
        </w:tc>
        <w:tc>
          <w:tcPr>
            <w:tcW w:w="1117" w:type="dxa"/>
            <w:vAlign w:val="center"/>
          </w:tcPr>
          <w:p w14:paraId="0DE29367">
            <w:pPr>
              <w:pStyle w:val="2"/>
              <w:snapToGrid w:val="0"/>
              <w:jc w:val="center"/>
              <w:rPr>
                <w:rFonts w:hint="eastAsia" w:ascii="Times New Roman" w:hAnsi="Times New Roman"/>
                <w:sz w:val="24"/>
                <w:szCs w:val="24"/>
                <w:vertAlign w:val="baseline"/>
              </w:rPr>
            </w:pPr>
          </w:p>
        </w:tc>
        <w:tc>
          <w:tcPr>
            <w:tcW w:w="1918" w:type="dxa"/>
            <w:vAlign w:val="center"/>
          </w:tcPr>
          <w:p w14:paraId="26F53BCA">
            <w:pPr>
              <w:pStyle w:val="2"/>
              <w:snapToGrid w:val="0"/>
              <w:jc w:val="center"/>
              <w:rPr>
                <w:rFonts w:hint="eastAsia" w:ascii="Times New Roman" w:hAnsi="Times New Roman"/>
                <w:sz w:val="24"/>
                <w:szCs w:val="24"/>
                <w:vertAlign w:val="baseline"/>
              </w:rPr>
            </w:pPr>
          </w:p>
        </w:tc>
        <w:tc>
          <w:tcPr>
            <w:tcW w:w="1918" w:type="dxa"/>
            <w:vAlign w:val="center"/>
          </w:tcPr>
          <w:p w14:paraId="228EB866">
            <w:pPr>
              <w:pStyle w:val="2"/>
              <w:snapToGrid w:val="0"/>
              <w:jc w:val="center"/>
              <w:rPr>
                <w:rFonts w:hint="eastAsia" w:ascii="Times New Roman" w:hAnsi="Times New Roman"/>
                <w:sz w:val="24"/>
                <w:szCs w:val="24"/>
                <w:vertAlign w:val="baseline"/>
              </w:rPr>
            </w:pPr>
          </w:p>
        </w:tc>
        <w:tc>
          <w:tcPr>
            <w:tcW w:w="1919" w:type="dxa"/>
            <w:vAlign w:val="center"/>
          </w:tcPr>
          <w:p w14:paraId="662A4D21">
            <w:pPr>
              <w:pStyle w:val="2"/>
              <w:snapToGrid w:val="0"/>
              <w:jc w:val="center"/>
              <w:rPr>
                <w:rFonts w:hint="eastAsia" w:ascii="Times New Roman" w:hAnsi="Times New Roman"/>
                <w:sz w:val="24"/>
                <w:szCs w:val="24"/>
                <w:vertAlign w:val="baseline"/>
              </w:rPr>
            </w:pPr>
          </w:p>
        </w:tc>
        <w:tc>
          <w:tcPr>
            <w:tcW w:w="1919" w:type="dxa"/>
            <w:vAlign w:val="center"/>
          </w:tcPr>
          <w:p w14:paraId="02531F2E">
            <w:pPr>
              <w:pStyle w:val="2"/>
              <w:snapToGrid w:val="0"/>
              <w:jc w:val="center"/>
              <w:rPr>
                <w:rFonts w:hint="eastAsia" w:ascii="Times New Roman" w:hAnsi="Times New Roman"/>
                <w:sz w:val="24"/>
                <w:szCs w:val="24"/>
                <w:vertAlign w:val="baseline"/>
              </w:rPr>
            </w:pPr>
          </w:p>
        </w:tc>
      </w:tr>
    </w:tbl>
    <w:p w14:paraId="3AF4FE8D">
      <w:pPr>
        <w:spacing w:line="560" w:lineRule="exact"/>
        <w:ind w:firstLine="640" w:firstLineChars="200"/>
        <w:outlineLvl w:val="0"/>
        <w:rPr>
          <w:rFonts w:hint="eastAsia" w:ascii="Times New Roman" w:hAnsi="Times New Roman" w:cs="Times New Roman"/>
          <w:sz w:val="32"/>
          <w:szCs w:val="32"/>
          <w:highlight w:val="none"/>
          <w:lang w:eastAsia="zh-CN"/>
        </w:rPr>
      </w:pP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2</w:t>
      </w:r>
      <w:r>
        <w:rPr>
          <w:rFonts w:hint="eastAsia" w:ascii="Times New Roman" w:hAnsi="Times New Roman" w:cs="Times New Roman"/>
          <w:sz w:val="32"/>
          <w:szCs w:val="32"/>
          <w:highlight w:val="none"/>
          <w:lang w:eastAsia="zh-CN"/>
        </w:rPr>
        <w:t>）常驻郑东新区办公情况、所获荣誉、代表案例</w:t>
      </w:r>
      <w:r>
        <w:rPr>
          <w:rFonts w:hint="eastAsia" w:cs="Times New Roman"/>
          <w:sz w:val="32"/>
          <w:szCs w:val="32"/>
          <w:highlight w:val="none"/>
          <w:lang w:eastAsia="zh-CN"/>
        </w:rPr>
        <w:t>；</w:t>
      </w:r>
    </w:p>
    <w:p w14:paraId="5FB116DC">
      <w:pPr>
        <w:spacing w:line="560" w:lineRule="exact"/>
        <w:ind w:firstLine="640" w:firstLineChars="200"/>
        <w:outlineLvl w:val="0"/>
        <w:rPr>
          <w:rFonts w:hint="eastAsia" w:ascii="Times New Roman" w:hAnsi="Times New Roman" w:cs="Times New Roman"/>
          <w:sz w:val="32"/>
          <w:szCs w:val="32"/>
          <w:highlight w:val="none"/>
          <w:lang w:eastAsia="zh-CN"/>
        </w:rPr>
        <w:sectPr>
          <w:pgSz w:w="16838" w:h="11906" w:orient="landscape"/>
          <w:pgMar w:top="1587" w:right="2098" w:bottom="1474" w:left="1984" w:header="851" w:footer="992" w:gutter="0"/>
          <w:pgNumType w:fmt="numberInDash"/>
          <w:cols w:space="425" w:num="1"/>
          <w:docGrid w:type="lines" w:linePitch="312" w:charSpace="0"/>
        </w:sectPr>
      </w:pP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3</w:t>
      </w:r>
      <w:r>
        <w:rPr>
          <w:rFonts w:hint="eastAsia" w:ascii="Times New Roman" w:hAnsi="Times New Roman" w:cs="Times New Roman"/>
          <w:sz w:val="32"/>
          <w:szCs w:val="32"/>
          <w:highlight w:val="none"/>
          <w:lang w:eastAsia="zh-CN"/>
        </w:rPr>
        <w:t>）管理机构或其主要股东、普通合伙人或管理团队主要成员以骨干身份过往累计管理基金情况。对管理基金作以下详细说明，包括但不限于：基金名称、注册地、基金规模、实缴规模、</w:t>
      </w:r>
      <w:r>
        <w:rPr>
          <w:rFonts w:hint="eastAsia" w:cs="Times New Roman"/>
          <w:sz w:val="32"/>
          <w:szCs w:val="32"/>
          <w:highlight w:val="none"/>
          <w:lang w:val="en-US" w:eastAsia="zh-CN"/>
        </w:rPr>
        <w:t>基金状态、主要股东（合伙人）及持股比例、投资策略</w:t>
      </w:r>
      <w:r>
        <w:rPr>
          <w:rFonts w:hint="eastAsia" w:ascii="Times New Roman" w:hAnsi="Times New Roman" w:cs="Times New Roman"/>
          <w:sz w:val="32"/>
          <w:szCs w:val="32"/>
          <w:highlight w:val="none"/>
          <w:lang w:eastAsia="zh-CN"/>
        </w:rPr>
        <w:t>、投资项目数量及金额、退出项目数量及金额、退出</w:t>
      </w:r>
      <w:r>
        <w:rPr>
          <w:rFonts w:hint="eastAsia" w:cs="Times New Roman"/>
          <w:sz w:val="32"/>
          <w:szCs w:val="32"/>
          <w:highlight w:val="none"/>
          <w:lang w:val="en-US" w:eastAsia="zh-CN"/>
        </w:rPr>
        <w:t>部分</w:t>
      </w:r>
      <w:r>
        <w:rPr>
          <w:rFonts w:hint="eastAsia" w:ascii="Times New Roman" w:hAnsi="Times New Roman" w:cs="Times New Roman"/>
          <w:sz w:val="32"/>
          <w:szCs w:val="32"/>
          <w:highlight w:val="none"/>
          <w:lang w:eastAsia="zh-CN"/>
        </w:rPr>
        <w:t>股权投资收益率等</w:t>
      </w:r>
      <w:r>
        <w:rPr>
          <w:rFonts w:hint="eastAsia" w:cs="Times New Roman"/>
          <w:sz w:val="32"/>
          <w:szCs w:val="32"/>
          <w:highlight w:val="none"/>
          <w:lang w:eastAsia="zh-CN"/>
        </w:rPr>
        <w:t>。</w:t>
      </w:r>
    </w:p>
    <w:tbl>
      <w:tblPr>
        <w:tblStyle w:val="9"/>
        <w:tblW w:w="14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34"/>
        <w:gridCol w:w="878"/>
        <w:gridCol w:w="878"/>
        <w:gridCol w:w="878"/>
        <w:gridCol w:w="878"/>
        <w:gridCol w:w="881"/>
        <w:gridCol w:w="2065"/>
        <w:gridCol w:w="2065"/>
        <w:gridCol w:w="1466"/>
        <w:gridCol w:w="1454"/>
        <w:gridCol w:w="1192"/>
      </w:tblGrid>
      <w:tr w14:paraId="2C8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525" w:type="dxa"/>
            <w:noWrap w:val="0"/>
            <w:vAlign w:val="center"/>
          </w:tcPr>
          <w:p w14:paraId="002F6D9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rPr>
            </w:pPr>
            <w:r>
              <w:rPr>
                <w:rFonts w:hint="eastAsia" w:ascii="Times New Roman" w:hAnsi="Times New Roman" w:cs="仿宋_GB2312"/>
                <w:b/>
                <w:bCs/>
                <w:color w:val="000000"/>
                <w:spacing w:val="0"/>
                <w:kern w:val="0"/>
                <w:sz w:val="24"/>
                <w:szCs w:val="24"/>
                <w:highlight w:val="none"/>
                <w:lang w:val="en-US" w:eastAsia="zh-CN"/>
              </w:rPr>
              <w:t>序号</w:t>
            </w:r>
          </w:p>
        </w:tc>
        <w:tc>
          <w:tcPr>
            <w:tcW w:w="1034" w:type="dxa"/>
            <w:noWrap w:val="0"/>
            <w:vAlign w:val="center"/>
          </w:tcPr>
          <w:p w14:paraId="5025BB6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rPr>
            </w:pPr>
            <w:r>
              <w:rPr>
                <w:rFonts w:hint="eastAsia" w:ascii="Times New Roman" w:hAnsi="Times New Roman" w:eastAsia="仿宋_GB2312" w:cs="仿宋_GB2312"/>
                <w:b/>
                <w:bCs/>
                <w:color w:val="000000"/>
                <w:spacing w:val="0"/>
                <w:kern w:val="0"/>
                <w:sz w:val="24"/>
                <w:szCs w:val="24"/>
                <w:highlight w:val="none"/>
              </w:rPr>
              <w:t>基金</w:t>
            </w:r>
          </w:p>
          <w:p w14:paraId="48E48B6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rPr>
            </w:pPr>
            <w:r>
              <w:rPr>
                <w:rFonts w:hint="eastAsia" w:ascii="Times New Roman" w:hAnsi="Times New Roman" w:eastAsia="仿宋_GB2312" w:cs="仿宋_GB2312"/>
                <w:b/>
                <w:bCs/>
                <w:color w:val="000000"/>
                <w:spacing w:val="0"/>
                <w:kern w:val="0"/>
                <w:sz w:val="24"/>
                <w:szCs w:val="24"/>
                <w:highlight w:val="none"/>
              </w:rPr>
              <w:t>名称</w:t>
            </w:r>
          </w:p>
        </w:tc>
        <w:tc>
          <w:tcPr>
            <w:tcW w:w="878" w:type="dxa"/>
            <w:noWrap w:val="0"/>
            <w:vAlign w:val="center"/>
          </w:tcPr>
          <w:p w14:paraId="00AF2F1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rPr>
            </w:pPr>
            <w:r>
              <w:rPr>
                <w:rFonts w:hint="eastAsia" w:ascii="Times New Roman" w:hAnsi="Times New Roman" w:eastAsia="仿宋_GB2312" w:cs="仿宋_GB2312"/>
                <w:b/>
                <w:bCs/>
                <w:color w:val="000000"/>
                <w:spacing w:val="0"/>
                <w:kern w:val="0"/>
                <w:sz w:val="24"/>
                <w:szCs w:val="24"/>
                <w:highlight w:val="none"/>
                <w:lang w:val="en-US" w:eastAsia="zh-CN"/>
              </w:rPr>
              <w:t>注册地</w:t>
            </w:r>
          </w:p>
        </w:tc>
        <w:tc>
          <w:tcPr>
            <w:tcW w:w="878" w:type="dxa"/>
            <w:noWrap w:val="0"/>
            <w:vAlign w:val="center"/>
          </w:tcPr>
          <w:p w14:paraId="0B90C42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rPr>
            </w:pPr>
            <w:r>
              <w:rPr>
                <w:rFonts w:hint="eastAsia" w:ascii="Times New Roman" w:hAnsi="Times New Roman" w:eastAsia="仿宋_GB2312" w:cs="仿宋_GB2312"/>
                <w:b/>
                <w:bCs/>
                <w:color w:val="000000"/>
                <w:spacing w:val="0"/>
                <w:kern w:val="0"/>
                <w:sz w:val="24"/>
                <w:szCs w:val="24"/>
                <w:highlight w:val="none"/>
                <w:lang w:val="en-US" w:eastAsia="zh-CN"/>
              </w:rPr>
              <w:t>成立时间</w:t>
            </w:r>
          </w:p>
        </w:tc>
        <w:tc>
          <w:tcPr>
            <w:tcW w:w="878" w:type="dxa"/>
            <w:shd w:val="clear" w:color="auto" w:fill="auto"/>
            <w:noWrap w:val="0"/>
            <w:vAlign w:val="center"/>
          </w:tcPr>
          <w:p w14:paraId="3EADDD7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rPr>
            </w:pPr>
            <w:r>
              <w:rPr>
                <w:rFonts w:hint="eastAsia" w:ascii="Times New Roman" w:hAnsi="Times New Roman" w:eastAsia="仿宋_GB2312" w:cs="仿宋_GB2312"/>
                <w:b/>
                <w:bCs/>
                <w:color w:val="000000"/>
                <w:spacing w:val="0"/>
                <w:kern w:val="0"/>
                <w:sz w:val="24"/>
                <w:szCs w:val="24"/>
                <w:highlight w:val="none"/>
              </w:rPr>
              <w:t>基金</w:t>
            </w:r>
          </w:p>
          <w:p w14:paraId="1559324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rPr>
            </w:pPr>
            <w:r>
              <w:rPr>
                <w:rFonts w:hint="eastAsia" w:ascii="Times New Roman" w:hAnsi="Times New Roman" w:eastAsia="仿宋_GB2312" w:cs="仿宋_GB2312"/>
                <w:b/>
                <w:bCs/>
                <w:color w:val="000000"/>
                <w:spacing w:val="0"/>
                <w:kern w:val="0"/>
                <w:sz w:val="24"/>
                <w:szCs w:val="24"/>
                <w:highlight w:val="none"/>
              </w:rPr>
              <w:t>规模</w:t>
            </w:r>
          </w:p>
          <w:p w14:paraId="66BFBF5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bidi="ar-SA"/>
              </w:rPr>
            </w:pPr>
            <w:r>
              <w:rPr>
                <w:rFonts w:hint="eastAsia" w:ascii="Times New Roman" w:hAnsi="Times New Roman" w:cs="仿宋_GB2312"/>
                <w:b/>
                <w:bCs/>
                <w:color w:val="000000"/>
                <w:spacing w:val="0"/>
                <w:kern w:val="0"/>
                <w:sz w:val="24"/>
                <w:szCs w:val="24"/>
                <w:highlight w:val="none"/>
                <w:lang w:eastAsia="zh-CN"/>
              </w:rPr>
              <w:t>（</w:t>
            </w:r>
            <w:r>
              <w:rPr>
                <w:rFonts w:hint="eastAsia" w:ascii="Times New Roman" w:hAnsi="Times New Roman" w:eastAsia="仿宋_GB2312" w:cs="仿宋_GB2312"/>
                <w:b/>
                <w:bCs/>
                <w:color w:val="000000"/>
                <w:spacing w:val="0"/>
                <w:kern w:val="0"/>
                <w:sz w:val="24"/>
                <w:szCs w:val="24"/>
                <w:highlight w:val="none"/>
              </w:rPr>
              <w:t>万元</w:t>
            </w:r>
            <w:r>
              <w:rPr>
                <w:rFonts w:hint="eastAsia" w:ascii="Times New Roman" w:hAnsi="Times New Roman" w:cs="仿宋_GB2312"/>
                <w:b/>
                <w:bCs/>
                <w:color w:val="000000"/>
                <w:spacing w:val="0"/>
                <w:kern w:val="0"/>
                <w:sz w:val="24"/>
                <w:szCs w:val="24"/>
                <w:highlight w:val="none"/>
                <w:lang w:eastAsia="zh-CN"/>
              </w:rPr>
              <w:t>）</w:t>
            </w:r>
          </w:p>
        </w:tc>
        <w:tc>
          <w:tcPr>
            <w:tcW w:w="878" w:type="dxa"/>
            <w:shd w:val="clear" w:color="auto" w:fill="auto"/>
            <w:noWrap w:val="0"/>
            <w:vAlign w:val="center"/>
          </w:tcPr>
          <w:p w14:paraId="6ACD459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bidi="ar-SA"/>
              </w:rPr>
            </w:pPr>
            <w:r>
              <w:rPr>
                <w:rFonts w:hint="eastAsia" w:ascii="Times New Roman" w:hAnsi="Times New Roman" w:eastAsia="仿宋_GB2312" w:cs="仿宋_GB2312"/>
                <w:b/>
                <w:bCs/>
                <w:color w:val="000000"/>
                <w:spacing w:val="0"/>
                <w:kern w:val="0"/>
                <w:sz w:val="24"/>
                <w:szCs w:val="24"/>
                <w:highlight w:val="none"/>
                <w:lang w:val="en-US" w:eastAsia="zh-CN"/>
              </w:rPr>
              <w:t>实缴 规模（万元）</w:t>
            </w:r>
          </w:p>
        </w:tc>
        <w:tc>
          <w:tcPr>
            <w:tcW w:w="881" w:type="dxa"/>
            <w:shd w:val="clear" w:color="auto" w:fill="auto"/>
            <w:noWrap w:val="0"/>
            <w:vAlign w:val="center"/>
          </w:tcPr>
          <w:p w14:paraId="1886D62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bidi="ar-SA"/>
              </w:rPr>
            </w:pPr>
            <w:r>
              <w:rPr>
                <w:rFonts w:hint="eastAsia" w:ascii="Times New Roman" w:hAnsi="Times New Roman" w:eastAsia="仿宋_GB2312" w:cs="仿宋_GB2312"/>
                <w:b/>
                <w:bCs/>
                <w:color w:val="000000"/>
                <w:spacing w:val="0"/>
                <w:kern w:val="0"/>
                <w:sz w:val="24"/>
                <w:szCs w:val="24"/>
                <w:highlight w:val="none"/>
                <w:lang w:val="en-US" w:eastAsia="zh-CN"/>
              </w:rPr>
              <w:t>基金状态</w:t>
            </w:r>
          </w:p>
        </w:tc>
        <w:tc>
          <w:tcPr>
            <w:tcW w:w="2065" w:type="dxa"/>
            <w:shd w:val="clear" w:color="auto" w:fill="auto"/>
            <w:noWrap w:val="0"/>
            <w:vAlign w:val="center"/>
          </w:tcPr>
          <w:p w14:paraId="323BB1B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bidi="ar-SA"/>
              </w:rPr>
            </w:pPr>
            <w:r>
              <w:rPr>
                <w:rFonts w:hint="eastAsia" w:ascii="Times New Roman" w:hAnsi="Times New Roman" w:eastAsia="仿宋_GB2312" w:cs="仿宋_GB2312"/>
                <w:b/>
                <w:bCs/>
                <w:color w:val="000000"/>
                <w:spacing w:val="0"/>
                <w:kern w:val="0"/>
                <w:sz w:val="24"/>
                <w:szCs w:val="24"/>
                <w:highlight w:val="none"/>
              </w:rPr>
              <w:t>主要股东（合伙人）及持股比例</w:t>
            </w:r>
            <w:r>
              <w:rPr>
                <w:rFonts w:hint="eastAsia" w:ascii="Times New Roman" w:hAnsi="Times New Roman" w:eastAsia="仿宋_GB2312" w:cs="仿宋_GB2312"/>
                <w:b/>
                <w:bCs/>
                <w:color w:val="000000"/>
                <w:spacing w:val="0"/>
                <w:kern w:val="0"/>
                <w:sz w:val="24"/>
                <w:szCs w:val="24"/>
                <w:highlight w:val="none"/>
                <w:lang w:eastAsia="zh-CN"/>
              </w:rPr>
              <w:t>（</w:t>
            </w:r>
            <w:r>
              <w:rPr>
                <w:rFonts w:hint="eastAsia" w:ascii="Times New Roman" w:hAnsi="Times New Roman" w:eastAsia="仿宋_GB2312" w:cs="仿宋_GB2312"/>
                <w:b/>
                <w:bCs/>
                <w:color w:val="000000"/>
                <w:spacing w:val="0"/>
                <w:kern w:val="0"/>
                <w:sz w:val="24"/>
                <w:szCs w:val="24"/>
                <w:highlight w:val="none"/>
                <w:lang w:val="en-US" w:eastAsia="zh-CN"/>
              </w:rPr>
              <w:t>政府引导基金需注明</w:t>
            </w:r>
            <w:r>
              <w:rPr>
                <w:rFonts w:hint="eastAsia" w:ascii="Times New Roman" w:hAnsi="Times New Roman" w:eastAsia="仿宋_GB2312" w:cs="仿宋_GB2312"/>
                <w:b/>
                <w:bCs/>
                <w:color w:val="000000"/>
                <w:spacing w:val="0"/>
                <w:kern w:val="0"/>
                <w:sz w:val="24"/>
                <w:szCs w:val="24"/>
                <w:highlight w:val="none"/>
                <w:lang w:eastAsia="zh-CN"/>
              </w:rPr>
              <w:t>）</w:t>
            </w:r>
          </w:p>
        </w:tc>
        <w:tc>
          <w:tcPr>
            <w:tcW w:w="2065" w:type="dxa"/>
            <w:shd w:val="clear" w:color="auto" w:fill="auto"/>
            <w:noWrap w:val="0"/>
            <w:vAlign w:val="center"/>
          </w:tcPr>
          <w:p w14:paraId="00FE554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rPr>
            </w:pPr>
            <w:r>
              <w:rPr>
                <w:rFonts w:hint="eastAsia" w:ascii="Times New Roman" w:hAnsi="Times New Roman" w:eastAsia="仿宋_GB2312" w:cs="仿宋_GB2312"/>
                <w:b/>
                <w:bCs/>
                <w:color w:val="000000"/>
                <w:spacing w:val="0"/>
                <w:kern w:val="0"/>
                <w:sz w:val="24"/>
                <w:szCs w:val="24"/>
                <w:highlight w:val="none"/>
              </w:rPr>
              <w:t>投资策略</w:t>
            </w:r>
          </w:p>
          <w:p w14:paraId="5D2259D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bidi="ar-SA"/>
              </w:rPr>
            </w:pPr>
            <w:r>
              <w:rPr>
                <w:rFonts w:hint="eastAsia" w:ascii="Times New Roman" w:hAnsi="Times New Roman" w:eastAsia="仿宋_GB2312" w:cs="仿宋_GB2312"/>
                <w:b/>
                <w:bCs/>
                <w:color w:val="000000"/>
                <w:spacing w:val="0"/>
                <w:kern w:val="0"/>
                <w:sz w:val="24"/>
                <w:szCs w:val="24"/>
                <w:highlight w:val="none"/>
              </w:rPr>
              <w:t>（包括主要投资行业、投资阶段、区域）</w:t>
            </w:r>
          </w:p>
        </w:tc>
        <w:tc>
          <w:tcPr>
            <w:tcW w:w="1466" w:type="dxa"/>
            <w:noWrap w:val="0"/>
            <w:vAlign w:val="center"/>
          </w:tcPr>
          <w:p w14:paraId="7F92E06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rPr>
            </w:pPr>
            <w:r>
              <w:rPr>
                <w:rFonts w:hint="eastAsia" w:ascii="Times New Roman" w:hAnsi="Times New Roman" w:eastAsia="仿宋_GB2312" w:cs="仿宋_GB2312"/>
                <w:b/>
                <w:bCs/>
                <w:color w:val="000000"/>
                <w:spacing w:val="0"/>
                <w:kern w:val="0"/>
                <w:sz w:val="24"/>
                <w:szCs w:val="24"/>
                <w:highlight w:val="none"/>
                <w:lang w:val="en-US" w:eastAsia="zh-CN"/>
              </w:rPr>
              <w:t>投资项目数量及金额（万元）</w:t>
            </w:r>
          </w:p>
        </w:tc>
        <w:tc>
          <w:tcPr>
            <w:tcW w:w="1454" w:type="dxa"/>
            <w:noWrap w:val="0"/>
            <w:vAlign w:val="center"/>
          </w:tcPr>
          <w:p w14:paraId="2DBEC22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仿宋_GB2312"/>
                <w:b/>
                <w:bCs/>
                <w:color w:val="000000"/>
                <w:spacing w:val="0"/>
                <w:kern w:val="0"/>
                <w:sz w:val="24"/>
                <w:szCs w:val="24"/>
                <w:highlight w:val="none"/>
                <w:lang w:val="en-US" w:eastAsia="zh-CN"/>
              </w:rPr>
            </w:pPr>
            <w:r>
              <w:rPr>
                <w:rFonts w:hint="eastAsia" w:ascii="Times New Roman" w:hAnsi="Times New Roman" w:eastAsia="仿宋_GB2312" w:cs="仿宋_GB2312"/>
                <w:b/>
                <w:bCs/>
                <w:color w:val="000000"/>
                <w:spacing w:val="0"/>
                <w:kern w:val="0"/>
                <w:sz w:val="24"/>
                <w:szCs w:val="24"/>
                <w:highlight w:val="none"/>
                <w:lang w:val="en-US" w:eastAsia="zh-CN"/>
              </w:rPr>
              <w:t>退出项目数量及金额（万元）</w:t>
            </w:r>
          </w:p>
        </w:tc>
        <w:tc>
          <w:tcPr>
            <w:tcW w:w="1192" w:type="dxa"/>
            <w:noWrap w:val="0"/>
            <w:vAlign w:val="center"/>
          </w:tcPr>
          <w:p w14:paraId="03513F3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rPr>
            </w:pPr>
            <w:r>
              <w:rPr>
                <w:rFonts w:hint="eastAsia" w:ascii="Times New Roman" w:hAnsi="Times New Roman" w:eastAsia="仿宋_GB2312" w:cs="仿宋_GB2312"/>
                <w:b/>
                <w:bCs/>
                <w:color w:val="000000"/>
                <w:spacing w:val="0"/>
                <w:kern w:val="0"/>
                <w:sz w:val="24"/>
                <w:szCs w:val="24"/>
                <w:highlight w:val="none"/>
                <w:lang w:val="en-US" w:eastAsia="zh-CN"/>
              </w:rPr>
              <w:t>退出部分</w:t>
            </w:r>
          </w:p>
          <w:p w14:paraId="23D7718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pacing w:val="0"/>
                <w:kern w:val="0"/>
                <w:sz w:val="24"/>
                <w:szCs w:val="24"/>
                <w:highlight w:val="none"/>
                <w:lang w:val="en-US" w:eastAsia="zh-CN"/>
              </w:rPr>
            </w:pPr>
            <w:r>
              <w:rPr>
                <w:rFonts w:hint="eastAsia" w:ascii="Times New Roman" w:hAnsi="Times New Roman" w:eastAsia="仿宋_GB2312" w:cs="仿宋_GB2312"/>
                <w:b/>
                <w:bCs/>
                <w:color w:val="000000"/>
                <w:spacing w:val="0"/>
                <w:kern w:val="0"/>
                <w:sz w:val="24"/>
                <w:szCs w:val="24"/>
                <w:highlight w:val="none"/>
                <w:lang w:val="en-US" w:eastAsia="zh-CN"/>
              </w:rPr>
              <w:t>投资收益率</w:t>
            </w:r>
          </w:p>
        </w:tc>
      </w:tr>
      <w:tr w14:paraId="1CB3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25" w:type="dxa"/>
            <w:noWrap w:val="0"/>
            <w:vAlign w:val="center"/>
          </w:tcPr>
          <w:p w14:paraId="27EEBF0F">
            <w:pPr>
              <w:keepNext w:val="0"/>
              <w:keepLines w:val="0"/>
              <w:pageBreakBefore w:val="0"/>
              <w:widowControl/>
              <w:kinsoku/>
              <w:overflowPunct/>
              <w:topLinePunct w:val="0"/>
              <w:autoSpaceDE/>
              <w:autoSpaceDN/>
              <w:bidi w:val="0"/>
              <w:spacing w:line="560" w:lineRule="exact"/>
              <w:jc w:val="center"/>
              <w:rPr>
                <w:rFonts w:hint="eastAsia" w:ascii="Times New Roman" w:hAnsi="Times New Roman" w:eastAsia="仿宋_GB2312" w:cs="仿宋_GB2312"/>
                <w:color w:val="000000"/>
                <w:spacing w:val="0"/>
                <w:kern w:val="0"/>
                <w:szCs w:val="21"/>
                <w:highlight w:val="none"/>
              </w:rPr>
            </w:pPr>
          </w:p>
        </w:tc>
        <w:tc>
          <w:tcPr>
            <w:tcW w:w="1034" w:type="dxa"/>
            <w:noWrap w:val="0"/>
            <w:vAlign w:val="top"/>
          </w:tcPr>
          <w:p w14:paraId="7D81C099">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653ABFED">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5EC1E8A0">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58E1A196">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3C8C5411">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81" w:type="dxa"/>
            <w:noWrap w:val="0"/>
            <w:vAlign w:val="top"/>
          </w:tcPr>
          <w:p w14:paraId="159ACAF1">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2065" w:type="dxa"/>
            <w:noWrap w:val="0"/>
            <w:vAlign w:val="top"/>
          </w:tcPr>
          <w:p w14:paraId="4C199277">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2065" w:type="dxa"/>
            <w:noWrap w:val="0"/>
            <w:vAlign w:val="top"/>
          </w:tcPr>
          <w:p w14:paraId="55E7DECF">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66" w:type="dxa"/>
            <w:noWrap w:val="0"/>
            <w:vAlign w:val="top"/>
          </w:tcPr>
          <w:p w14:paraId="053E46BF">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54" w:type="dxa"/>
            <w:noWrap w:val="0"/>
            <w:vAlign w:val="top"/>
          </w:tcPr>
          <w:p w14:paraId="14592143">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192" w:type="dxa"/>
            <w:noWrap w:val="0"/>
            <w:vAlign w:val="top"/>
          </w:tcPr>
          <w:p w14:paraId="19DD3EAA">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r>
      <w:tr w14:paraId="4731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25" w:type="dxa"/>
            <w:noWrap w:val="0"/>
            <w:vAlign w:val="center"/>
          </w:tcPr>
          <w:p w14:paraId="2A2B2E8C">
            <w:pPr>
              <w:keepNext w:val="0"/>
              <w:keepLines w:val="0"/>
              <w:pageBreakBefore w:val="0"/>
              <w:widowControl/>
              <w:kinsoku/>
              <w:overflowPunct/>
              <w:topLinePunct w:val="0"/>
              <w:autoSpaceDE/>
              <w:autoSpaceDN/>
              <w:bidi w:val="0"/>
              <w:spacing w:line="560" w:lineRule="exact"/>
              <w:jc w:val="center"/>
              <w:rPr>
                <w:rFonts w:hint="eastAsia" w:ascii="Times New Roman" w:hAnsi="Times New Roman" w:eastAsia="仿宋_GB2312" w:cs="仿宋_GB2312"/>
                <w:color w:val="000000"/>
                <w:spacing w:val="0"/>
                <w:kern w:val="0"/>
                <w:szCs w:val="21"/>
                <w:highlight w:val="none"/>
              </w:rPr>
            </w:pPr>
          </w:p>
        </w:tc>
        <w:tc>
          <w:tcPr>
            <w:tcW w:w="1034" w:type="dxa"/>
            <w:noWrap w:val="0"/>
            <w:vAlign w:val="top"/>
          </w:tcPr>
          <w:p w14:paraId="6C4910FE">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5FBFCE63">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285B4B41">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2D1B46EA">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shd w:val="clear" w:color="auto" w:fill="auto"/>
            <w:noWrap w:val="0"/>
            <w:vAlign w:val="center"/>
          </w:tcPr>
          <w:p w14:paraId="417F35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宋体"/>
                <w:b/>
                <w:bCs/>
                <w:color w:val="000000"/>
                <w:spacing w:val="0"/>
                <w:kern w:val="0"/>
                <w:sz w:val="21"/>
                <w:szCs w:val="21"/>
                <w:highlight w:val="none"/>
                <w:lang w:val="en-US" w:eastAsia="zh-CN" w:bidi="ar-SA"/>
              </w:rPr>
            </w:pPr>
          </w:p>
        </w:tc>
        <w:tc>
          <w:tcPr>
            <w:tcW w:w="881" w:type="dxa"/>
            <w:shd w:val="clear" w:color="auto" w:fill="auto"/>
            <w:noWrap w:val="0"/>
            <w:vAlign w:val="center"/>
          </w:tcPr>
          <w:p w14:paraId="0C929C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宋体"/>
                <w:b/>
                <w:bCs/>
                <w:color w:val="000000"/>
                <w:spacing w:val="0"/>
                <w:kern w:val="0"/>
                <w:sz w:val="21"/>
                <w:szCs w:val="21"/>
                <w:highlight w:val="none"/>
                <w:lang w:val="en-US" w:eastAsia="zh-CN" w:bidi="ar-SA"/>
              </w:rPr>
            </w:pPr>
          </w:p>
        </w:tc>
        <w:tc>
          <w:tcPr>
            <w:tcW w:w="2065" w:type="dxa"/>
            <w:shd w:val="clear" w:color="auto" w:fill="auto"/>
            <w:noWrap w:val="0"/>
            <w:vAlign w:val="center"/>
          </w:tcPr>
          <w:p w14:paraId="33C240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宋体"/>
                <w:b/>
                <w:bCs/>
                <w:color w:val="000000"/>
                <w:spacing w:val="0"/>
                <w:kern w:val="0"/>
                <w:sz w:val="21"/>
                <w:szCs w:val="21"/>
                <w:highlight w:val="none"/>
                <w:lang w:val="en-US" w:eastAsia="zh-CN" w:bidi="ar-SA"/>
              </w:rPr>
            </w:pPr>
          </w:p>
        </w:tc>
        <w:tc>
          <w:tcPr>
            <w:tcW w:w="2065" w:type="dxa"/>
            <w:noWrap w:val="0"/>
            <w:vAlign w:val="top"/>
          </w:tcPr>
          <w:p w14:paraId="6A60C06F">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66" w:type="dxa"/>
            <w:noWrap w:val="0"/>
            <w:vAlign w:val="top"/>
          </w:tcPr>
          <w:p w14:paraId="0B20E3DE">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54" w:type="dxa"/>
            <w:noWrap w:val="0"/>
            <w:vAlign w:val="top"/>
          </w:tcPr>
          <w:p w14:paraId="55740678">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192" w:type="dxa"/>
            <w:noWrap w:val="0"/>
            <w:vAlign w:val="top"/>
          </w:tcPr>
          <w:p w14:paraId="6B536567">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r>
      <w:tr w14:paraId="7C4F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25" w:type="dxa"/>
            <w:noWrap w:val="0"/>
            <w:vAlign w:val="center"/>
          </w:tcPr>
          <w:p w14:paraId="5D7D0152">
            <w:pPr>
              <w:keepNext w:val="0"/>
              <w:keepLines w:val="0"/>
              <w:pageBreakBefore w:val="0"/>
              <w:widowControl/>
              <w:kinsoku/>
              <w:overflowPunct/>
              <w:topLinePunct w:val="0"/>
              <w:autoSpaceDE/>
              <w:autoSpaceDN/>
              <w:bidi w:val="0"/>
              <w:spacing w:line="560" w:lineRule="exact"/>
              <w:jc w:val="center"/>
              <w:rPr>
                <w:rFonts w:hint="eastAsia" w:ascii="Times New Roman" w:hAnsi="Times New Roman" w:eastAsia="仿宋_GB2312" w:cs="仿宋_GB2312"/>
                <w:color w:val="000000"/>
                <w:spacing w:val="0"/>
                <w:kern w:val="0"/>
                <w:szCs w:val="21"/>
                <w:highlight w:val="none"/>
              </w:rPr>
            </w:pPr>
          </w:p>
        </w:tc>
        <w:tc>
          <w:tcPr>
            <w:tcW w:w="1034" w:type="dxa"/>
            <w:noWrap w:val="0"/>
            <w:vAlign w:val="top"/>
          </w:tcPr>
          <w:p w14:paraId="52B016C8">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3CC97BA6">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157ECF47">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63FC0529">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46C39049">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81" w:type="dxa"/>
            <w:noWrap w:val="0"/>
            <w:vAlign w:val="top"/>
          </w:tcPr>
          <w:p w14:paraId="735A7842">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2065" w:type="dxa"/>
            <w:noWrap w:val="0"/>
            <w:vAlign w:val="top"/>
          </w:tcPr>
          <w:p w14:paraId="048F87B5">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2065" w:type="dxa"/>
            <w:noWrap w:val="0"/>
            <w:vAlign w:val="top"/>
          </w:tcPr>
          <w:p w14:paraId="7CCEB237">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66" w:type="dxa"/>
            <w:noWrap w:val="0"/>
            <w:vAlign w:val="top"/>
          </w:tcPr>
          <w:p w14:paraId="6D1FEB34">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54" w:type="dxa"/>
            <w:noWrap w:val="0"/>
            <w:vAlign w:val="top"/>
          </w:tcPr>
          <w:p w14:paraId="0FB38F88">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192" w:type="dxa"/>
            <w:noWrap w:val="0"/>
            <w:vAlign w:val="top"/>
          </w:tcPr>
          <w:p w14:paraId="7A85B89B">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r>
      <w:tr w14:paraId="7042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25" w:type="dxa"/>
            <w:noWrap w:val="0"/>
            <w:vAlign w:val="center"/>
          </w:tcPr>
          <w:p w14:paraId="6F30A8A0">
            <w:pPr>
              <w:keepNext w:val="0"/>
              <w:keepLines w:val="0"/>
              <w:pageBreakBefore w:val="0"/>
              <w:widowControl/>
              <w:kinsoku/>
              <w:overflowPunct/>
              <w:topLinePunct w:val="0"/>
              <w:autoSpaceDE/>
              <w:autoSpaceDN/>
              <w:bidi w:val="0"/>
              <w:spacing w:line="560" w:lineRule="exact"/>
              <w:jc w:val="center"/>
              <w:rPr>
                <w:rFonts w:hint="eastAsia" w:ascii="Times New Roman" w:hAnsi="Times New Roman" w:eastAsia="仿宋_GB2312" w:cs="仿宋_GB2312"/>
                <w:color w:val="000000"/>
                <w:spacing w:val="0"/>
                <w:kern w:val="0"/>
                <w:szCs w:val="21"/>
                <w:highlight w:val="none"/>
              </w:rPr>
            </w:pPr>
          </w:p>
        </w:tc>
        <w:tc>
          <w:tcPr>
            <w:tcW w:w="1034" w:type="dxa"/>
            <w:noWrap w:val="0"/>
            <w:vAlign w:val="top"/>
          </w:tcPr>
          <w:p w14:paraId="4F098645">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73774CFF">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735FB158">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388B0AAA">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0F0492B8">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81" w:type="dxa"/>
            <w:noWrap w:val="0"/>
            <w:vAlign w:val="top"/>
          </w:tcPr>
          <w:p w14:paraId="66B5D5DE">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2065" w:type="dxa"/>
            <w:noWrap w:val="0"/>
            <w:vAlign w:val="top"/>
          </w:tcPr>
          <w:p w14:paraId="09DC904B">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2065" w:type="dxa"/>
            <w:noWrap w:val="0"/>
            <w:vAlign w:val="top"/>
          </w:tcPr>
          <w:p w14:paraId="309C2789">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66" w:type="dxa"/>
            <w:noWrap w:val="0"/>
            <w:vAlign w:val="top"/>
          </w:tcPr>
          <w:p w14:paraId="5979C256">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54" w:type="dxa"/>
            <w:noWrap w:val="0"/>
            <w:vAlign w:val="top"/>
          </w:tcPr>
          <w:p w14:paraId="2C837042">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192" w:type="dxa"/>
            <w:noWrap w:val="0"/>
            <w:vAlign w:val="top"/>
          </w:tcPr>
          <w:p w14:paraId="420CDF81">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r>
      <w:tr w14:paraId="7557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25" w:type="dxa"/>
            <w:noWrap w:val="0"/>
            <w:vAlign w:val="center"/>
          </w:tcPr>
          <w:p w14:paraId="70529AE5">
            <w:pPr>
              <w:keepNext w:val="0"/>
              <w:keepLines w:val="0"/>
              <w:pageBreakBefore w:val="0"/>
              <w:widowControl/>
              <w:kinsoku/>
              <w:overflowPunct/>
              <w:topLinePunct w:val="0"/>
              <w:autoSpaceDE/>
              <w:autoSpaceDN/>
              <w:bidi w:val="0"/>
              <w:spacing w:line="560" w:lineRule="exact"/>
              <w:jc w:val="center"/>
              <w:rPr>
                <w:rFonts w:hint="eastAsia" w:ascii="Times New Roman" w:hAnsi="Times New Roman" w:eastAsia="仿宋_GB2312" w:cs="仿宋_GB2312"/>
                <w:color w:val="000000"/>
                <w:spacing w:val="0"/>
                <w:kern w:val="0"/>
                <w:szCs w:val="21"/>
                <w:highlight w:val="none"/>
              </w:rPr>
            </w:pPr>
          </w:p>
        </w:tc>
        <w:tc>
          <w:tcPr>
            <w:tcW w:w="1034" w:type="dxa"/>
            <w:noWrap w:val="0"/>
            <w:vAlign w:val="top"/>
          </w:tcPr>
          <w:p w14:paraId="2C2B0ED0">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0BD6EA9B">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2C19FEE5">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783BB24E">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78" w:type="dxa"/>
            <w:noWrap w:val="0"/>
            <w:vAlign w:val="top"/>
          </w:tcPr>
          <w:p w14:paraId="10B18636">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881" w:type="dxa"/>
            <w:noWrap w:val="0"/>
            <w:vAlign w:val="top"/>
          </w:tcPr>
          <w:p w14:paraId="2A6C390F">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2065" w:type="dxa"/>
            <w:noWrap w:val="0"/>
            <w:vAlign w:val="top"/>
          </w:tcPr>
          <w:p w14:paraId="33C7F0E9">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2065" w:type="dxa"/>
            <w:noWrap w:val="0"/>
            <w:vAlign w:val="top"/>
          </w:tcPr>
          <w:p w14:paraId="27052ECB">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66" w:type="dxa"/>
            <w:noWrap w:val="0"/>
            <w:vAlign w:val="top"/>
          </w:tcPr>
          <w:p w14:paraId="21603A71">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454" w:type="dxa"/>
            <w:noWrap w:val="0"/>
            <w:vAlign w:val="top"/>
          </w:tcPr>
          <w:p w14:paraId="604F40A1">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c>
          <w:tcPr>
            <w:tcW w:w="1192" w:type="dxa"/>
            <w:noWrap w:val="0"/>
            <w:vAlign w:val="top"/>
          </w:tcPr>
          <w:p w14:paraId="2A861B77">
            <w:pPr>
              <w:keepNext w:val="0"/>
              <w:keepLines w:val="0"/>
              <w:pageBreakBefore w:val="0"/>
              <w:kinsoku/>
              <w:overflowPunct/>
              <w:topLinePunct w:val="0"/>
              <w:autoSpaceDE/>
              <w:autoSpaceDN/>
              <w:bidi w:val="0"/>
              <w:spacing w:line="560" w:lineRule="exact"/>
              <w:jc w:val="center"/>
              <w:textAlignment w:val="center"/>
              <w:rPr>
                <w:rFonts w:ascii="Times New Roman" w:hAnsi="Times New Roman" w:eastAsia="宋体" w:cs="Times New Roman"/>
                <w:bCs/>
                <w:color w:val="000000"/>
                <w:spacing w:val="0"/>
                <w:sz w:val="24"/>
                <w:highlight w:val="none"/>
              </w:rPr>
            </w:pPr>
          </w:p>
        </w:tc>
      </w:tr>
    </w:tbl>
    <w:p w14:paraId="02841D87">
      <w:pPr>
        <w:ind w:left="0" w:leftChars="0" w:firstLine="0" w:firstLineChars="0"/>
        <w:rPr>
          <w:rFonts w:hint="default" w:ascii="Times New Roman" w:hAnsi="Times New Roman" w:eastAsiaTheme="minorEastAsia"/>
          <w:lang w:val="en-US" w:eastAsia="zh-CN"/>
        </w:rPr>
      </w:pPr>
      <w:r>
        <w:rPr>
          <w:rFonts w:hint="eastAsia" w:ascii="Times New Roman" w:hAnsi="Times New Roman"/>
          <w:lang w:val="en-US" w:eastAsia="zh-CN"/>
        </w:rPr>
        <w:t>注：基金状态包括：投资期、退出期、延长期、已清算等。</w:t>
      </w:r>
    </w:p>
    <w:p w14:paraId="624DCB5F">
      <w:pPr>
        <w:spacing w:line="560" w:lineRule="exact"/>
        <w:ind w:left="0" w:leftChars="0" w:firstLine="0" w:firstLineChars="0"/>
        <w:outlineLvl w:val="0"/>
        <w:rPr>
          <w:rFonts w:hint="eastAsia" w:ascii="Times New Roman" w:hAnsi="Times New Roman" w:cs="Times New Roman"/>
          <w:sz w:val="32"/>
          <w:szCs w:val="32"/>
          <w:highlight w:val="none"/>
          <w:lang w:eastAsia="zh-CN"/>
        </w:rPr>
        <w:sectPr>
          <w:pgSz w:w="16838" w:h="11906" w:orient="landscape"/>
          <w:pgMar w:top="1587" w:right="2098" w:bottom="1474" w:left="1984" w:header="851" w:footer="992" w:gutter="0"/>
          <w:pgNumType w:fmt="numberInDash"/>
          <w:cols w:space="425" w:num="1"/>
          <w:docGrid w:type="lines" w:linePitch="312" w:charSpace="0"/>
        </w:sectPr>
      </w:pPr>
    </w:p>
    <w:p w14:paraId="763C4944">
      <w:pPr>
        <w:spacing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成功案例相关情况列表:子基金管理机构或高级管理人员团队</w:t>
      </w:r>
      <w:r>
        <w:rPr>
          <w:rFonts w:ascii="Times New Roman" w:hAnsi="Times New Roman" w:eastAsia="仿宋_GB2312" w:cs="Times New Roman"/>
          <w:sz w:val="32"/>
          <w:szCs w:val="32"/>
        </w:rPr>
        <w:t>需提供以下内容之一</w:t>
      </w:r>
      <w:r>
        <w:rPr>
          <w:rFonts w:hint="eastAsia" w:ascii="Times New Roman" w:hAnsi="Times New Roman" w:cs="Times New Roman"/>
          <w:sz w:val="32"/>
          <w:szCs w:val="32"/>
          <w:lang w:eastAsia="zh-CN"/>
        </w:rPr>
        <w:t>，</w:t>
      </w:r>
      <w:r>
        <w:rPr>
          <w:rFonts w:hint="eastAsia" w:ascii="Times New Roman" w:hAnsi="Times New Roman"/>
          <w:lang w:val="en-US" w:eastAsia="zh-CN"/>
        </w:rPr>
        <w:t>列表内容包括项目名称、项目所属基金、</w:t>
      </w:r>
      <w:r>
        <w:rPr>
          <w:rFonts w:hint="eastAsia"/>
          <w:lang w:val="en-US" w:eastAsia="zh-CN"/>
        </w:rPr>
        <w:t>投资轮次、</w:t>
      </w:r>
      <w:r>
        <w:rPr>
          <w:rFonts w:hint="eastAsia" w:ascii="Times New Roman" w:hAnsi="Times New Roman"/>
          <w:lang w:val="en-US" w:eastAsia="zh-CN"/>
        </w:rPr>
        <w:t>投资金额及投资日期、</w:t>
      </w:r>
      <w:r>
        <w:rPr>
          <w:rFonts w:hint="eastAsia"/>
          <w:lang w:val="en-US" w:eastAsia="zh-CN"/>
        </w:rPr>
        <w:t>项目状态、</w:t>
      </w:r>
      <w:r>
        <w:rPr>
          <w:rFonts w:hint="eastAsia" w:ascii="Times New Roman" w:hAnsi="Times New Roman"/>
          <w:lang w:val="en-US" w:eastAsia="zh-CN"/>
        </w:rPr>
        <w:t>退出金额及退出日期、退出方式、投资阶段、目前持有价值、投资收益等，并简要介绍该成功案例的项目情况（项目/产品的介绍、核心竞争优势、其他主要投资者、满足成功案例的哪项认定标准等）。</w:t>
      </w:r>
    </w:p>
    <w:p w14:paraId="40E900CA">
      <w:pPr>
        <w:spacing w:line="560" w:lineRule="exact"/>
        <w:ind w:firstLine="640" w:firstLineChars="200"/>
        <w:outlineLvl w:val="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至少有2个（含）以上早期成功投资案例(以现金方式退出部分或全部股权，且该退出部分股权投资收益率折年化超过10%)</w:t>
      </w:r>
      <w:r>
        <w:rPr>
          <w:rFonts w:hint="eastAsia" w:ascii="Times New Roman" w:hAnsi="Times New Roman" w:eastAsia="仿宋_GB2312" w:cs="Times New Roman"/>
          <w:sz w:val="32"/>
          <w:szCs w:val="32"/>
          <w:lang w:val="en-US" w:eastAsia="zh-CN"/>
        </w:rPr>
        <w:t>的相关情况列表。</w:t>
      </w:r>
    </w:p>
    <w:p w14:paraId="456C4148">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至少有3个（含）以上早期投资案例且投资后有后续轮次融资，并有相应增值</w:t>
      </w:r>
      <w:r>
        <w:rPr>
          <w:rFonts w:hint="eastAsia" w:ascii="Times New Roman" w:hAnsi="Times New Roman" w:eastAsia="仿宋_GB2312" w:cs="Times New Roman"/>
          <w:sz w:val="32"/>
          <w:szCs w:val="32"/>
          <w:lang w:val="en-US" w:eastAsia="zh-CN"/>
        </w:rPr>
        <w:t>的相关情况列表</w:t>
      </w:r>
      <w:r>
        <w:rPr>
          <w:rFonts w:hint="eastAsia" w:ascii="Times New Roman" w:hAnsi="Times New Roman" w:eastAsia="仿宋_GB2312" w:cs="Times New Roman"/>
          <w:sz w:val="32"/>
          <w:szCs w:val="32"/>
        </w:rPr>
        <w:t>。</w:t>
      </w:r>
    </w:p>
    <w:p w14:paraId="326C7BEF">
      <w:pPr>
        <w:spacing w:line="560" w:lineRule="exact"/>
        <w:ind w:firstLine="640" w:firstLineChars="200"/>
        <w:outlineLvl w:val="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子基金管理机构（含其主要股东或控股子公司）为国内外知名高等院校、科研院所、重点实验室等技术源头单位或国际知名技术转移机构等科技成果转化机构的，该单位最近5年内科技成果转化项目融资总金额累计不低于1亿元人民币（或等值货币）</w:t>
      </w:r>
      <w:r>
        <w:rPr>
          <w:rFonts w:hint="eastAsia" w:ascii="Times New Roman" w:hAnsi="Times New Roman" w:eastAsia="仿宋_GB2312" w:cs="Times New Roman"/>
          <w:sz w:val="32"/>
          <w:szCs w:val="32"/>
          <w:lang w:val="en-US" w:eastAsia="zh-CN"/>
        </w:rPr>
        <w:t>的相关情况列表。</w:t>
      </w:r>
    </w:p>
    <w:p w14:paraId="02D2DD49">
      <w:pPr>
        <w:spacing w:line="560" w:lineRule="exact"/>
        <w:ind w:firstLine="640" w:firstLineChars="200"/>
        <w:outlineLvl w:val="0"/>
        <w:rPr>
          <w:rFonts w:hint="eastAsia" w:ascii="Times New Roman" w:hAnsi="Times New Roman" w:eastAsia="仿宋_GB2312" w:cs="Times New Roman"/>
          <w:sz w:val="32"/>
          <w:szCs w:val="32"/>
          <w:lang w:val="en-US" w:eastAsia="zh-CN"/>
        </w:rPr>
        <w:sectPr>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仿宋_GB2312" w:cs="Times New Roman"/>
          <w:sz w:val="32"/>
          <w:szCs w:val="32"/>
        </w:rPr>
        <w:t>早期投资案例是指投资时为被投企业首两轮外部机构投资，或在投资决策时，被投企业设立时间不超过5年，从业人数不超过200人，且上一年度净资产或年销售收入不超过4000万元。</w:t>
      </w:r>
    </w:p>
    <w:tbl>
      <w:tblPr>
        <w:tblStyle w:val="10"/>
        <w:tblW w:w="15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76"/>
        <w:gridCol w:w="1234"/>
        <w:gridCol w:w="917"/>
        <w:gridCol w:w="1000"/>
        <w:gridCol w:w="1235"/>
        <w:gridCol w:w="1258"/>
        <w:gridCol w:w="929"/>
        <w:gridCol w:w="928"/>
        <w:gridCol w:w="1212"/>
        <w:gridCol w:w="1458"/>
        <w:gridCol w:w="859"/>
        <w:gridCol w:w="799"/>
        <w:gridCol w:w="832"/>
        <w:gridCol w:w="1637"/>
      </w:tblGrid>
      <w:tr w14:paraId="1B5A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14" w:type="dxa"/>
            <w:vAlign w:val="center"/>
          </w:tcPr>
          <w:p w14:paraId="6EF5B1A3">
            <w:pPr>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cs="仿宋_GB2312"/>
                <w:b/>
                <w:bCs/>
                <w:sz w:val="24"/>
                <w:szCs w:val="24"/>
                <w:vertAlign w:val="baseline"/>
                <w:lang w:val="en-US" w:eastAsia="zh-CN"/>
              </w:rPr>
              <w:t>序号</w:t>
            </w:r>
          </w:p>
        </w:tc>
        <w:tc>
          <w:tcPr>
            <w:tcW w:w="1176" w:type="dxa"/>
            <w:shd w:val="clear" w:color="auto" w:fill="auto"/>
            <w:vAlign w:val="center"/>
          </w:tcPr>
          <w:p w14:paraId="5B82E43E">
            <w:pPr>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项目</w:t>
            </w:r>
          </w:p>
          <w:p w14:paraId="0E8D5CA1">
            <w:pPr>
              <w:spacing w:line="240" w:lineRule="auto"/>
              <w:ind w:left="0" w:leftChars="0" w:firstLine="0" w:firstLineChars="0"/>
              <w:jc w:val="center"/>
              <w:rPr>
                <w:rFonts w:hint="default"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名称</w:t>
            </w:r>
          </w:p>
        </w:tc>
        <w:tc>
          <w:tcPr>
            <w:tcW w:w="1234" w:type="dxa"/>
            <w:shd w:val="clear" w:color="auto" w:fill="auto"/>
            <w:vAlign w:val="center"/>
          </w:tcPr>
          <w:p w14:paraId="19587838">
            <w:pPr>
              <w:spacing w:line="240" w:lineRule="auto"/>
              <w:ind w:left="0" w:leftChars="0" w:firstLine="0" w:firstLineChars="0"/>
              <w:jc w:val="center"/>
              <w:rPr>
                <w:rFonts w:hint="eastAsia"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项目所属基金名称</w:t>
            </w:r>
          </w:p>
        </w:tc>
        <w:tc>
          <w:tcPr>
            <w:tcW w:w="917" w:type="dxa"/>
            <w:shd w:val="clear" w:color="auto" w:fill="auto"/>
            <w:vAlign w:val="center"/>
          </w:tcPr>
          <w:p w14:paraId="6DC9B260">
            <w:pPr>
              <w:spacing w:line="240" w:lineRule="auto"/>
              <w:ind w:left="0" w:leftChars="0" w:firstLine="0" w:firstLineChars="0"/>
              <w:jc w:val="center"/>
              <w:rPr>
                <w:rFonts w:hint="eastAsia" w:ascii="Times New Roman" w:hAnsi="Times New Roman" w:eastAsia="仿宋_GB2312" w:cs="仿宋_GB2312"/>
                <w:b/>
                <w:bCs/>
                <w:kern w:val="2"/>
                <w:sz w:val="24"/>
                <w:szCs w:val="24"/>
                <w:vertAlign w:val="baseline"/>
                <w:lang w:val="en-US" w:eastAsia="zh-CN" w:bidi="ar-SA"/>
              </w:rPr>
            </w:pPr>
            <w:r>
              <w:rPr>
                <w:rFonts w:hint="eastAsia" w:ascii="Times New Roman" w:hAnsi="Times New Roman" w:cs="仿宋_GB2312"/>
                <w:b/>
                <w:bCs/>
                <w:sz w:val="24"/>
                <w:szCs w:val="24"/>
                <w:vertAlign w:val="baseline"/>
                <w:lang w:val="en-US" w:eastAsia="zh-CN"/>
              </w:rPr>
              <w:t>投资</w:t>
            </w:r>
            <w:r>
              <w:rPr>
                <w:rFonts w:hint="eastAsia" w:ascii="Times New Roman" w:hAnsi="Times New Roman" w:eastAsia="仿宋_GB2312" w:cs="仿宋_GB2312"/>
                <w:b/>
                <w:bCs/>
                <w:sz w:val="24"/>
                <w:szCs w:val="24"/>
                <w:vertAlign w:val="baseline"/>
                <w:lang w:val="en-US" w:eastAsia="zh-CN"/>
              </w:rPr>
              <w:t>轮次</w:t>
            </w:r>
          </w:p>
        </w:tc>
        <w:tc>
          <w:tcPr>
            <w:tcW w:w="1000" w:type="dxa"/>
            <w:shd w:val="clear" w:color="auto" w:fill="auto"/>
            <w:vAlign w:val="center"/>
          </w:tcPr>
          <w:p w14:paraId="0B4E0E8B">
            <w:pPr>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投资</w:t>
            </w:r>
          </w:p>
          <w:p w14:paraId="4BBF9455">
            <w:pPr>
              <w:spacing w:line="240" w:lineRule="auto"/>
              <w:ind w:left="0" w:leftChars="0" w:firstLine="0" w:firstLineChars="0"/>
              <w:jc w:val="center"/>
              <w:rPr>
                <w:rFonts w:hint="eastAsia"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日期</w:t>
            </w:r>
          </w:p>
        </w:tc>
        <w:tc>
          <w:tcPr>
            <w:tcW w:w="1235" w:type="dxa"/>
            <w:shd w:val="clear" w:color="auto" w:fill="auto"/>
            <w:vAlign w:val="center"/>
          </w:tcPr>
          <w:p w14:paraId="388FBACE">
            <w:pPr>
              <w:spacing w:line="240" w:lineRule="auto"/>
              <w:ind w:left="0" w:leftChars="0" w:firstLine="0" w:firstLineChars="0"/>
              <w:jc w:val="center"/>
              <w:rPr>
                <w:rFonts w:hint="default"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投资金额（万元）</w:t>
            </w:r>
          </w:p>
        </w:tc>
        <w:tc>
          <w:tcPr>
            <w:tcW w:w="1258" w:type="dxa"/>
            <w:shd w:val="clear" w:color="auto" w:fill="auto"/>
            <w:vAlign w:val="center"/>
          </w:tcPr>
          <w:p w14:paraId="2DAA8E64">
            <w:pPr>
              <w:spacing w:line="240" w:lineRule="auto"/>
              <w:ind w:left="0" w:leftChars="0" w:firstLine="0" w:firstLineChars="0"/>
              <w:jc w:val="center"/>
              <w:rPr>
                <w:rFonts w:hint="eastAsia"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项目状态</w:t>
            </w:r>
          </w:p>
        </w:tc>
        <w:tc>
          <w:tcPr>
            <w:tcW w:w="929" w:type="dxa"/>
            <w:shd w:val="clear" w:color="auto" w:fill="auto"/>
            <w:vAlign w:val="center"/>
          </w:tcPr>
          <w:p w14:paraId="792840E9">
            <w:pPr>
              <w:spacing w:line="240" w:lineRule="auto"/>
              <w:ind w:left="0" w:leftChars="0" w:firstLine="0" w:firstLineChars="0"/>
              <w:jc w:val="center"/>
              <w:rPr>
                <w:rFonts w:hint="eastAsia"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退出方式</w:t>
            </w:r>
          </w:p>
        </w:tc>
        <w:tc>
          <w:tcPr>
            <w:tcW w:w="928" w:type="dxa"/>
            <w:shd w:val="clear" w:color="auto" w:fill="auto"/>
            <w:vAlign w:val="center"/>
          </w:tcPr>
          <w:p w14:paraId="0CE71F9A">
            <w:pPr>
              <w:spacing w:line="240" w:lineRule="auto"/>
              <w:ind w:left="0" w:leftChars="0" w:firstLine="0" w:firstLineChars="0"/>
              <w:jc w:val="center"/>
              <w:rPr>
                <w:rFonts w:hint="default"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退出日期</w:t>
            </w:r>
          </w:p>
        </w:tc>
        <w:tc>
          <w:tcPr>
            <w:tcW w:w="1212" w:type="dxa"/>
            <w:shd w:val="clear" w:color="auto" w:fill="auto"/>
            <w:vAlign w:val="center"/>
          </w:tcPr>
          <w:p w14:paraId="024A22E5">
            <w:pPr>
              <w:spacing w:line="240" w:lineRule="auto"/>
              <w:ind w:left="0" w:leftChars="0" w:firstLine="0" w:firstLineChars="0"/>
              <w:jc w:val="center"/>
              <w:rPr>
                <w:rFonts w:hint="default"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退出金额（万元）</w:t>
            </w:r>
          </w:p>
        </w:tc>
        <w:tc>
          <w:tcPr>
            <w:tcW w:w="1458" w:type="dxa"/>
            <w:shd w:val="clear" w:color="auto" w:fill="auto"/>
            <w:vAlign w:val="center"/>
          </w:tcPr>
          <w:p w14:paraId="2E092AC7">
            <w:pPr>
              <w:spacing w:line="240" w:lineRule="auto"/>
              <w:ind w:left="0" w:leftChars="0" w:firstLine="0" w:firstLineChars="0"/>
              <w:jc w:val="center"/>
              <w:rPr>
                <w:rFonts w:hint="eastAsia"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目前持有价值（万元）</w:t>
            </w:r>
          </w:p>
        </w:tc>
        <w:tc>
          <w:tcPr>
            <w:tcW w:w="859" w:type="dxa"/>
            <w:shd w:val="clear" w:color="auto" w:fill="auto"/>
            <w:vAlign w:val="center"/>
          </w:tcPr>
          <w:p w14:paraId="6F79B286">
            <w:pPr>
              <w:spacing w:line="240" w:lineRule="auto"/>
              <w:ind w:left="0" w:leftChars="0" w:firstLine="0" w:firstLineChars="0"/>
              <w:jc w:val="center"/>
              <w:rPr>
                <w:rFonts w:hint="eastAsia"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MOC</w:t>
            </w:r>
          </w:p>
        </w:tc>
        <w:tc>
          <w:tcPr>
            <w:tcW w:w="799" w:type="dxa"/>
            <w:shd w:val="clear" w:color="auto" w:fill="auto"/>
            <w:vAlign w:val="center"/>
          </w:tcPr>
          <w:p w14:paraId="2A54B034">
            <w:pPr>
              <w:spacing w:line="240" w:lineRule="auto"/>
              <w:ind w:left="0" w:leftChars="0" w:firstLine="0" w:firstLineChars="0"/>
              <w:jc w:val="center"/>
              <w:rPr>
                <w:rFonts w:hint="default"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IRR</w:t>
            </w:r>
          </w:p>
        </w:tc>
        <w:tc>
          <w:tcPr>
            <w:tcW w:w="832" w:type="dxa"/>
            <w:shd w:val="clear" w:color="auto" w:fill="auto"/>
            <w:vAlign w:val="center"/>
          </w:tcPr>
          <w:p w14:paraId="0CF9EDA7">
            <w:pPr>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cs="仿宋_GB2312"/>
                <w:b/>
                <w:bCs/>
                <w:sz w:val="24"/>
                <w:szCs w:val="24"/>
                <w:vertAlign w:val="baseline"/>
                <w:lang w:val="en-US" w:eastAsia="zh-CN"/>
              </w:rPr>
              <w:t>DPI</w:t>
            </w:r>
          </w:p>
        </w:tc>
        <w:tc>
          <w:tcPr>
            <w:tcW w:w="1637" w:type="dxa"/>
            <w:shd w:val="clear" w:color="auto" w:fill="auto"/>
            <w:vAlign w:val="center"/>
          </w:tcPr>
          <w:p w14:paraId="21AAA01C">
            <w:pPr>
              <w:spacing w:line="240" w:lineRule="auto"/>
              <w:ind w:left="0" w:leftChars="0" w:firstLine="0" w:firstLineChars="0"/>
              <w:jc w:val="center"/>
              <w:rPr>
                <w:rFonts w:hint="eastAsia"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项目情况</w:t>
            </w:r>
          </w:p>
        </w:tc>
      </w:tr>
      <w:tr w14:paraId="689F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14" w:type="dxa"/>
          </w:tcPr>
          <w:p w14:paraId="2393DAAB">
            <w:pPr>
              <w:rPr>
                <w:rFonts w:hint="eastAsia" w:ascii="Times New Roman" w:hAnsi="Times New Roman"/>
                <w:vertAlign w:val="baseline"/>
                <w:lang w:val="en-US" w:eastAsia="zh-CN"/>
              </w:rPr>
            </w:pPr>
          </w:p>
        </w:tc>
        <w:tc>
          <w:tcPr>
            <w:tcW w:w="1176" w:type="dxa"/>
          </w:tcPr>
          <w:p w14:paraId="621D2262">
            <w:pPr>
              <w:rPr>
                <w:rFonts w:hint="eastAsia" w:ascii="Times New Roman" w:hAnsi="Times New Roman"/>
                <w:vertAlign w:val="baseline"/>
                <w:lang w:val="en-US" w:eastAsia="zh-CN"/>
              </w:rPr>
            </w:pPr>
          </w:p>
        </w:tc>
        <w:tc>
          <w:tcPr>
            <w:tcW w:w="1234" w:type="dxa"/>
          </w:tcPr>
          <w:p w14:paraId="0940C010">
            <w:pPr>
              <w:rPr>
                <w:rFonts w:hint="default" w:ascii="Times New Roman" w:hAnsi="Times New Roman"/>
                <w:vertAlign w:val="baseline"/>
                <w:lang w:val="en-US" w:eastAsia="zh-CN"/>
              </w:rPr>
            </w:pPr>
          </w:p>
        </w:tc>
        <w:tc>
          <w:tcPr>
            <w:tcW w:w="917" w:type="dxa"/>
          </w:tcPr>
          <w:p w14:paraId="203719F0">
            <w:pPr>
              <w:rPr>
                <w:rFonts w:hint="eastAsia" w:ascii="Times New Roman" w:hAnsi="Times New Roman"/>
                <w:vertAlign w:val="baseline"/>
                <w:lang w:val="en-US" w:eastAsia="zh-CN"/>
              </w:rPr>
            </w:pPr>
          </w:p>
        </w:tc>
        <w:tc>
          <w:tcPr>
            <w:tcW w:w="1000" w:type="dxa"/>
          </w:tcPr>
          <w:p w14:paraId="40497E75">
            <w:pPr>
              <w:rPr>
                <w:rFonts w:hint="eastAsia" w:ascii="Times New Roman" w:hAnsi="Times New Roman"/>
                <w:vertAlign w:val="baseline"/>
                <w:lang w:val="en-US" w:eastAsia="zh-CN"/>
              </w:rPr>
            </w:pPr>
          </w:p>
        </w:tc>
        <w:tc>
          <w:tcPr>
            <w:tcW w:w="1235" w:type="dxa"/>
          </w:tcPr>
          <w:p w14:paraId="364711DF">
            <w:pPr>
              <w:rPr>
                <w:rFonts w:hint="eastAsia" w:ascii="Times New Roman" w:hAnsi="Times New Roman"/>
                <w:vertAlign w:val="baseline"/>
                <w:lang w:val="en-US" w:eastAsia="zh-CN"/>
              </w:rPr>
            </w:pPr>
          </w:p>
        </w:tc>
        <w:tc>
          <w:tcPr>
            <w:tcW w:w="1258" w:type="dxa"/>
          </w:tcPr>
          <w:p w14:paraId="5BFA65B4">
            <w:pPr>
              <w:rPr>
                <w:rFonts w:hint="eastAsia" w:ascii="Times New Roman" w:hAnsi="Times New Roman"/>
                <w:vertAlign w:val="baseline"/>
                <w:lang w:val="en-US" w:eastAsia="zh-CN"/>
              </w:rPr>
            </w:pPr>
          </w:p>
        </w:tc>
        <w:tc>
          <w:tcPr>
            <w:tcW w:w="929" w:type="dxa"/>
          </w:tcPr>
          <w:p w14:paraId="5BDB7CA7">
            <w:pPr>
              <w:rPr>
                <w:rFonts w:hint="eastAsia" w:ascii="Times New Roman" w:hAnsi="Times New Roman"/>
                <w:vertAlign w:val="baseline"/>
                <w:lang w:val="en-US" w:eastAsia="zh-CN"/>
              </w:rPr>
            </w:pPr>
          </w:p>
        </w:tc>
        <w:tc>
          <w:tcPr>
            <w:tcW w:w="928" w:type="dxa"/>
          </w:tcPr>
          <w:p w14:paraId="37D61EE8">
            <w:pPr>
              <w:rPr>
                <w:rFonts w:hint="eastAsia" w:ascii="Times New Roman" w:hAnsi="Times New Roman"/>
                <w:vertAlign w:val="baseline"/>
                <w:lang w:val="en-US" w:eastAsia="zh-CN"/>
              </w:rPr>
            </w:pPr>
          </w:p>
        </w:tc>
        <w:tc>
          <w:tcPr>
            <w:tcW w:w="1212" w:type="dxa"/>
          </w:tcPr>
          <w:p w14:paraId="396D1B1F">
            <w:pPr>
              <w:rPr>
                <w:rFonts w:hint="eastAsia" w:ascii="Times New Roman" w:hAnsi="Times New Roman"/>
                <w:vertAlign w:val="baseline"/>
                <w:lang w:val="en-US" w:eastAsia="zh-CN"/>
              </w:rPr>
            </w:pPr>
          </w:p>
        </w:tc>
        <w:tc>
          <w:tcPr>
            <w:tcW w:w="1458" w:type="dxa"/>
          </w:tcPr>
          <w:p w14:paraId="13DABA7E">
            <w:pPr>
              <w:rPr>
                <w:rFonts w:hint="eastAsia" w:ascii="Times New Roman" w:hAnsi="Times New Roman"/>
                <w:vertAlign w:val="baseline"/>
                <w:lang w:val="en-US" w:eastAsia="zh-CN"/>
              </w:rPr>
            </w:pPr>
          </w:p>
        </w:tc>
        <w:tc>
          <w:tcPr>
            <w:tcW w:w="859" w:type="dxa"/>
          </w:tcPr>
          <w:p w14:paraId="731A0955">
            <w:pPr>
              <w:rPr>
                <w:rFonts w:hint="eastAsia" w:ascii="Times New Roman" w:hAnsi="Times New Roman"/>
                <w:vertAlign w:val="baseline"/>
                <w:lang w:val="en-US" w:eastAsia="zh-CN"/>
              </w:rPr>
            </w:pPr>
          </w:p>
        </w:tc>
        <w:tc>
          <w:tcPr>
            <w:tcW w:w="799" w:type="dxa"/>
          </w:tcPr>
          <w:p w14:paraId="037D297F">
            <w:pPr>
              <w:rPr>
                <w:rFonts w:hint="eastAsia" w:ascii="Times New Roman" w:hAnsi="Times New Roman"/>
                <w:vertAlign w:val="baseline"/>
                <w:lang w:val="en-US" w:eastAsia="zh-CN"/>
              </w:rPr>
            </w:pPr>
          </w:p>
        </w:tc>
        <w:tc>
          <w:tcPr>
            <w:tcW w:w="832" w:type="dxa"/>
          </w:tcPr>
          <w:p w14:paraId="7574FCF5">
            <w:pPr>
              <w:rPr>
                <w:rFonts w:hint="eastAsia" w:ascii="Times New Roman" w:hAnsi="Times New Roman"/>
                <w:vertAlign w:val="baseline"/>
                <w:lang w:val="en-US" w:eastAsia="zh-CN"/>
              </w:rPr>
            </w:pPr>
          </w:p>
        </w:tc>
        <w:tc>
          <w:tcPr>
            <w:tcW w:w="1637" w:type="dxa"/>
          </w:tcPr>
          <w:p w14:paraId="135ADB22">
            <w:pPr>
              <w:rPr>
                <w:rFonts w:hint="eastAsia" w:ascii="Times New Roman" w:hAnsi="Times New Roman"/>
                <w:vertAlign w:val="baseline"/>
                <w:lang w:val="en-US" w:eastAsia="zh-CN"/>
              </w:rPr>
            </w:pPr>
          </w:p>
        </w:tc>
      </w:tr>
      <w:tr w14:paraId="3BAD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14" w:type="dxa"/>
          </w:tcPr>
          <w:p w14:paraId="49D9DDC5">
            <w:pPr>
              <w:rPr>
                <w:rFonts w:hint="eastAsia" w:ascii="Times New Roman" w:hAnsi="Times New Roman"/>
                <w:vertAlign w:val="baseline"/>
                <w:lang w:val="en-US" w:eastAsia="zh-CN"/>
              </w:rPr>
            </w:pPr>
          </w:p>
        </w:tc>
        <w:tc>
          <w:tcPr>
            <w:tcW w:w="1176" w:type="dxa"/>
          </w:tcPr>
          <w:p w14:paraId="5C273636">
            <w:pPr>
              <w:rPr>
                <w:rFonts w:hint="eastAsia" w:ascii="Times New Roman" w:hAnsi="Times New Roman"/>
                <w:vertAlign w:val="baseline"/>
                <w:lang w:val="en-US" w:eastAsia="zh-CN"/>
              </w:rPr>
            </w:pPr>
          </w:p>
        </w:tc>
        <w:tc>
          <w:tcPr>
            <w:tcW w:w="1234" w:type="dxa"/>
          </w:tcPr>
          <w:p w14:paraId="48FC9BD7">
            <w:pPr>
              <w:rPr>
                <w:rFonts w:hint="eastAsia" w:ascii="Times New Roman" w:hAnsi="Times New Roman"/>
                <w:vertAlign w:val="baseline"/>
                <w:lang w:val="en-US" w:eastAsia="zh-CN"/>
              </w:rPr>
            </w:pPr>
          </w:p>
        </w:tc>
        <w:tc>
          <w:tcPr>
            <w:tcW w:w="917" w:type="dxa"/>
            <w:shd w:val="clear" w:color="auto" w:fill="auto"/>
            <w:vAlign w:val="center"/>
          </w:tcPr>
          <w:p w14:paraId="5F6A0D29">
            <w:pPr>
              <w:jc w:val="center"/>
              <w:rPr>
                <w:rFonts w:hint="eastAsia" w:ascii="Times New Roman" w:hAnsi="Times New Roman" w:eastAsia="仿宋_GB2312" w:cs="仿宋_GB2312"/>
                <w:b/>
                <w:bCs/>
                <w:kern w:val="2"/>
                <w:sz w:val="24"/>
                <w:szCs w:val="24"/>
                <w:vertAlign w:val="baseline"/>
                <w:lang w:val="en-US" w:eastAsia="zh-CN" w:bidi="ar-SA"/>
              </w:rPr>
            </w:pPr>
          </w:p>
        </w:tc>
        <w:tc>
          <w:tcPr>
            <w:tcW w:w="1000" w:type="dxa"/>
            <w:shd w:val="clear" w:color="auto" w:fill="auto"/>
            <w:vAlign w:val="center"/>
          </w:tcPr>
          <w:p w14:paraId="575CE0B6">
            <w:pPr>
              <w:jc w:val="center"/>
              <w:rPr>
                <w:rFonts w:hint="eastAsia" w:ascii="Times New Roman" w:hAnsi="Times New Roman" w:eastAsia="仿宋_GB2312" w:cs="仿宋_GB2312"/>
                <w:b/>
                <w:bCs/>
                <w:kern w:val="2"/>
                <w:sz w:val="24"/>
                <w:szCs w:val="24"/>
                <w:vertAlign w:val="baseline"/>
                <w:lang w:val="en-US" w:eastAsia="zh-CN" w:bidi="ar-SA"/>
              </w:rPr>
            </w:pPr>
          </w:p>
        </w:tc>
        <w:tc>
          <w:tcPr>
            <w:tcW w:w="1235" w:type="dxa"/>
          </w:tcPr>
          <w:p w14:paraId="05BCB0A6">
            <w:pPr>
              <w:rPr>
                <w:rFonts w:hint="eastAsia" w:ascii="Times New Roman" w:hAnsi="Times New Roman"/>
                <w:vertAlign w:val="baseline"/>
                <w:lang w:val="en-US" w:eastAsia="zh-CN"/>
              </w:rPr>
            </w:pPr>
          </w:p>
        </w:tc>
        <w:tc>
          <w:tcPr>
            <w:tcW w:w="1258" w:type="dxa"/>
            <w:shd w:val="clear" w:color="auto" w:fill="auto"/>
            <w:vAlign w:val="center"/>
          </w:tcPr>
          <w:p w14:paraId="63981C50">
            <w:pPr>
              <w:jc w:val="center"/>
              <w:rPr>
                <w:rFonts w:hint="eastAsia" w:ascii="Times New Roman" w:hAnsi="Times New Roman" w:eastAsia="仿宋_GB2312" w:cs="仿宋_GB2312"/>
                <w:b/>
                <w:bCs/>
                <w:kern w:val="2"/>
                <w:sz w:val="24"/>
                <w:szCs w:val="24"/>
                <w:vertAlign w:val="baseline"/>
                <w:lang w:val="en-US" w:eastAsia="zh-CN" w:bidi="ar-SA"/>
              </w:rPr>
            </w:pPr>
          </w:p>
        </w:tc>
        <w:tc>
          <w:tcPr>
            <w:tcW w:w="929" w:type="dxa"/>
          </w:tcPr>
          <w:p w14:paraId="5CF599C1">
            <w:pPr>
              <w:rPr>
                <w:rFonts w:hint="eastAsia" w:ascii="Times New Roman" w:hAnsi="Times New Roman"/>
                <w:vertAlign w:val="baseline"/>
                <w:lang w:val="en-US" w:eastAsia="zh-CN"/>
              </w:rPr>
            </w:pPr>
          </w:p>
        </w:tc>
        <w:tc>
          <w:tcPr>
            <w:tcW w:w="928" w:type="dxa"/>
          </w:tcPr>
          <w:p w14:paraId="10D5C029">
            <w:pPr>
              <w:rPr>
                <w:rFonts w:hint="eastAsia" w:ascii="Times New Roman" w:hAnsi="Times New Roman"/>
                <w:vertAlign w:val="baseline"/>
                <w:lang w:val="en-US" w:eastAsia="zh-CN"/>
              </w:rPr>
            </w:pPr>
          </w:p>
        </w:tc>
        <w:tc>
          <w:tcPr>
            <w:tcW w:w="1212" w:type="dxa"/>
          </w:tcPr>
          <w:p w14:paraId="4160F177">
            <w:pPr>
              <w:rPr>
                <w:rFonts w:hint="eastAsia" w:ascii="Times New Roman" w:hAnsi="Times New Roman"/>
                <w:vertAlign w:val="baseline"/>
                <w:lang w:val="en-US" w:eastAsia="zh-CN"/>
              </w:rPr>
            </w:pPr>
          </w:p>
        </w:tc>
        <w:tc>
          <w:tcPr>
            <w:tcW w:w="1458" w:type="dxa"/>
          </w:tcPr>
          <w:p w14:paraId="098938F8">
            <w:pPr>
              <w:rPr>
                <w:rFonts w:hint="eastAsia" w:ascii="Times New Roman" w:hAnsi="Times New Roman"/>
                <w:vertAlign w:val="baseline"/>
                <w:lang w:val="en-US" w:eastAsia="zh-CN"/>
              </w:rPr>
            </w:pPr>
          </w:p>
        </w:tc>
        <w:tc>
          <w:tcPr>
            <w:tcW w:w="859" w:type="dxa"/>
          </w:tcPr>
          <w:p w14:paraId="1071E042">
            <w:pPr>
              <w:rPr>
                <w:rFonts w:hint="eastAsia" w:ascii="Times New Roman" w:hAnsi="Times New Roman"/>
                <w:vertAlign w:val="baseline"/>
                <w:lang w:val="en-US" w:eastAsia="zh-CN"/>
              </w:rPr>
            </w:pPr>
          </w:p>
        </w:tc>
        <w:tc>
          <w:tcPr>
            <w:tcW w:w="799" w:type="dxa"/>
          </w:tcPr>
          <w:p w14:paraId="3002A325">
            <w:pPr>
              <w:rPr>
                <w:rFonts w:hint="eastAsia" w:ascii="Times New Roman" w:hAnsi="Times New Roman"/>
                <w:vertAlign w:val="baseline"/>
                <w:lang w:val="en-US" w:eastAsia="zh-CN"/>
              </w:rPr>
            </w:pPr>
          </w:p>
        </w:tc>
        <w:tc>
          <w:tcPr>
            <w:tcW w:w="832" w:type="dxa"/>
          </w:tcPr>
          <w:p w14:paraId="45ACE510">
            <w:pPr>
              <w:rPr>
                <w:rFonts w:hint="eastAsia" w:ascii="Times New Roman" w:hAnsi="Times New Roman"/>
                <w:vertAlign w:val="baseline"/>
                <w:lang w:val="en-US" w:eastAsia="zh-CN"/>
              </w:rPr>
            </w:pPr>
          </w:p>
        </w:tc>
        <w:tc>
          <w:tcPr>
            <w:tcW w:w="1637" w:type="dxa"/>
          </w:tcPr>
          <w:p w14:paraId="0672B934">
            <w:pPr>
              <w:rPr>
                <w:rFonts w:hint="eastAsia" w:ascii="Times New Roman" w:hAnsi="Times New Roman"/>
                <w:vertAlign w:val="baseline"/>
                <w:lang w:val="en-US" w:eastAsia="zh-CN"/>
              </w:rPr>
            </w:pPr>
          </w:p>
        </w:tc>
      </w:tr>
      <w:tr w14:paraId="22B8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14" w:type="dxa"/>
          </w:tcPr>
          <w:p w14:paraId="6A883BBF">
            <w:pPr>
              <w:rPr>
                <w:rFonts w:hint="eastAsia" w:ascii="Times New Roman" w:hAnsi="Times New Roman"/>
                <w:vertAlign w:val="baseline"/>
                <w:lang w:val="en-US" w:eastAsia="zh-CN"/>
              </w:rPr>
            </w:pPr>
          </w:p>
        </w:tc>
        <w:tc>
          <w:tcPr>
            <w:tcW w:w="1176" w:type="dxa"/>
          </w:tcPr>
          <w:p w14:paraId="47B58D10">
            <w:pPr>
              <w:rPr>
                <w:rFonts w:hint="eastAsia" w:ascii="Times New Roman" w:hAnsi="Times New Roman"/>
                <w:vertAlign w:val="baseline"/>
                <w:lang w:val="en-US" w:eastAsia="zh-CN"/>
              </w:rPr>
            </w:pPr>
          </w:p>
        </w:tc>
        <w:tc>
          <w:tcPr>
            <w:tcW w:w="1234" w:type="dxa"/>
          </w:tcPr>
          <w:p w14:paraId="4D71A279">
            <w:pPr>
              <w:rPr>
                <w:rFonts w:hint="eastAsia" w:ascii="Times New Roman" w:hAnsi="Times New Roman"/>
                <w:vertAlign w:val="baseline"/>
                <w:lang w:val="en-US" w:eastAsia="zh-CN"/>
              </w:rPr>
            </w:pPr>
          </w:p>
        </w:tc>
        <w:tc>
          <w:tcPr>
            <w:tcW w:w="917" w:type="dxa"/>
          </w:tcPr>
          <w:p w14:paraId="0E24551C">
            <w:pPr>
              <w:rPr>
                <w:rFonts w:hint="eastAsia" w:ascii="Times New Roman" w:hAnsi="Times New Roman"/>
                <w:vertAlign w:val="baseline"/>
                <w:lang w:val="en-US" w:eastAsia="zh-CN"/>
              </w:rPr>
            </w:pPr>
          </w:p>
        </w:tc>
        <w:tc>
          <w:tcPr>
            <w:tcW w:w="1000" w:type="dxa"/>
          </w:tcPr>
          <w:p w14:paraId="266391A7">
            <w:pPr>
              <w:rPr>
                <w:rFonts w:hint="eastAsia" w:ascii="Times New Roman" w:hAnsi="Times New Roman"/>
                <w:vertAlign w:val="baseline"/>
                <w:lang w:val="en-US" w:eastAsia="zh-CN"/>
              </w:rPr>
            </w:pPr>
          </w:p>
        </w:tc>
        <w:tc>
          <w:tcPr>
            <w:tcW w:w="1235" w:type="dxa"/>
          </w:tcPr>
          <w:p w14:paraId="3C9330EA">
            <w:pPr>
              <w:rPr>
                <w:rFonts w:hint="eastAsia" w:ascii="Times New Roman" w:hAnsi="Times New Roman"/>
                <w:vertAlign w:val="baseline"/>
                <w:lang w:val="en-US" w:eastAsia="zh-CN"/>
              </w:rPr>
            </w:pPr>
          </w:p>
        </w:tc>
        <w:tc>
          <w:tcPr>
            <w:tcW w:w="1258" w:type="dxa"/>
          </w:tcPr>
          <w:p w14:paraId="3008773A">
            <w:pPr>
              <w:rPr>
                <w:rFonts w:hint="eastAsia" w:ascii="Times New Roman" w:hAnsi="Times New Roman"/>
                <w:vertAlign w:val="baseline"/>
                <w:lang w:val="en-US" w:eastAsia="zh-CN"/>
              </w:rPr>
            </w:pPr>
          </w:p>
        </w:tc>
        <w:tc>
          <w:tcPr>
            <w:tcW w:w="929" w:type="dxa"/>
          </w:tcPr>
          <w:p w14:paraId="670E3F4B">
            <w:pPr>
              <w:rPr>
                <w:rFonts w:hint="eastAsia" w:ascii="Times New Roman" w:hAnsi="Times New Roman"/>
                <w:vertAlign w:val="baseline"/>
                <w:lang w:val="en-US" w:eastAsia="zh-CN"/>
              </w:rPr>
            </w:pPr>
          </w:p>
        </w:tc>
        <w:tc>
          <w:tcPr>
            <w:tcW w:w="928" w:type="dxa"/>
          </w:tcPr>
          <w:p w14:paraId="199801D1">
            <w:pPr>
              <w:rPr>
                <w:rFonts w:hint="eastAsia" w:ascii="Times New Roman" w:hAnsi="Times New Roman"/>
                <w:vertAlign w:val="baseline"/>
                <w:lang w:val="en-US" w:eastAsia="zh-CN"/>
              </w:rPr>
            </w:pPr>
          </w:p>
        </w:tc>
        <w:tc>
          <w:tcPr>
            <w:tcW w:w="1212" w:type="dxa"/>
          </w:tcPr>
          <w:p w14:paraId="4BF4D44A">
            <w:pPr>
              <w:rPr>
                <w:rFonts w:hint="eastAsia" w:ascii="Times New Roman" w:hAnsi="Times New Roman"/>
                <w:vertAlign w:val="baseline"/>
                <w:lang w:val="en-US" w:eastAsia="zh-CN"/>
              </w:rPr>
            </w:pPr>
          </w:p>
        </w:tc>
        <w:tc>
          <w:tcPr>
            <w:tcW w:w="1458" w:type="dxa"/>
          </w:tcPr>
          <w:p w14:paraId="16824DF8">
            <w:pPr>
              <w:rPr>
                <w:rFonts w:hint="eastAsia" w:ascii="Times New Roman" w:hAnsi="Times New Roman"/>
                <w:vertAlign w:val="baseline"/>
                <w:lang w:val="en-US" w:eastAsia="zh-CN"/>
              </w:rPr>
            </w:pPr>
          </w:p>
        </w:tc>
        <w:tc>
          <w:tcPr>
            <w:tcW w:w="859" w:type="dxa"/>
          </w:tcPr>
          <w:p w14:paraId="1C5DECA2">
            <w:pPr>
              <w:rPr>
                <w:rFonts w:hint="eastAsia" w:ascii="Times New Roman" w:hAnsi="Times New Roman"/>
                <w:vertAlign w:val="baseline"/>
                <w:lang w:val="en-US" w:eastAsia="zh-CN"/>
              </w:rPr>
            </w:pPr>
          </w:p>
        </w:tc>
        <w:tc>
          <w:tcPr>
            <w:tcW w:w="799" w:type="dxa"/>
          </w:tcPr>
          <w:p w14:paraId="5E52BB4E">
            <w:pPr>
              <w:rPr>
                <w:rFonts w:hint="eastAsia" w:ascii="Times New Roman" w:hAnsi="Times New Roman"/>
                <w:vertAlign w:val="baseline"/>
                <w:lang w:val="en-US" w:eastAsia="zh-CN"/>
              </w:rPr>
            </w:pPr>
          </w:p>
        </w:tc>
        <w:tc>
          <w:tcPr>
            <w:tcW w:w="832" w:type="dxa"/>
          </w:tcPr>
          <w:p w14:paraId="67D7FA9A">
            <w:pPr>
              <w:rPr>
                <w:rFonts w:hint="eastAsia" w:ascii="Times New Roman" w:hAnsi="Times New Roman"/>
                <w:vertAlign w:val="baseline"/>
                <w:lang w:val="en-US" w:eastAsia="zh-CN"/>
              </w:rPr>
            </w:pPr>
          </w:p>
        </w:tc>
        <w:tc>
          <w:tcPr>
            <w:tcW w:w="1637" w:type="dxa"/>
          </w:tcPr>
          <w:p w14:paraId="5D163330">
            <w:pPr>
              <w:rPr>
                <w:rFonts w:hint="eastAsia" w:ascii="Times New Roman" w:hAnsi="Times New Roman"/>
                <w:vertAlign w:val="baseline"/>
                <w:lang w:val="en-US" w:eastAsia="zh-CN"/>
              </w:rPr>
            </w:pPr>
          </w:p>
        </w:tc>
      </w:tr>
      <w:tr w14:paraId="0083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14" w:type="dxa"/>
          </w:tcPr>
          <w:p w14:paraId="6CCFF908">
            <w:pPr>
              <w:rPr>
                <w:rFonts w:hint="eastAsia" w:ascii="Times New Roman" w:hAnsi="Times New Roman"/>
                <w:vertAlign w:val="baseline"/>
                <w:lang w:val="en-US" w:eastAsia="zh-CN"/>
              </w:rPr>
            </w:pPr>
          </w:p>
        </w:tc>
        <w:tc>
          <w:tcPr>
            <w:tcW w:w="1176" w:type="dxa"/>
          </w:tcPr>
          <w:p w14:paraId="602304C8">
            <w:pPr>
              <w:rPr>
                <w:rFonts w:hint="eastAsia" w:ascii="Times New Roman" w:hAnsi="Times New Roman"/>
                <w:vertAlign w:val="baseline"/>
                <w:lang w:val="en-US" w:eastAsia="zh-CN"/>
              </w:rPr>
            </w:pPr>
          </w:p>
        </w:tc>
        <w:tc>
          <w:tcPr>
            <w:tcW w:w="1234" w:type="dxa"/>
          </w:tcPr>
          <w:p w14:paraId="11FFD030">
            <w:pPr>
              <w:rPr>
                <w:rFonts w:hint="eastAsia" w:ascii="Times New Roman" w:hAnsi="Times New Roman"/>
                <w:vertAlign w:val="baseline"/>
                <w:lang w:val="en-US" w:eastAsia="zh-CN"/>
              </w:rPr>
            </w:pPr>
          </w:p>
        </w:tc>
        <w:tc>
          <w:tcPr>
            <w:tcW w:w="917" w:type="dxa"/>
          </w:tcPr>
          <w:p w14:paraId="52A7B4A7">
            <w:pPr>
              <w:rPr>
                <w:rFonts w:hint="eastAsia" w:ascii="Times New Roman" w:hAnsi="Times New Roman"/>
                <w:vertAlign w:val="baseline"/>
                <w:lang w:val="en-US" w:eastAsia="zh-CN"/>
              </w:rPr>
            </w:pPr>
          </w:p>
        </w:tc>
        <w:tc>
          <w:tcPr>
            <w:tcW w:w="1000" w:type="dxa"/>
          </w:tcPr>
          <w:p w14:paraId="10EB90C9">
            <w:pPr>
              <w:rPr>
                <w:rFonts w:hint="eastAsia" w:ascii="Times New Roman" w:hAnsi="Times New Roman"/>
                <w:vertAlign w:val="baseline"/>
                <w:lang w:val="en-US" w:eastAsia="zh-CN"/>
              </w:rPr>
            </w:pPr>
          </w:p>
        </w:tc>
        <w:tc>
          <w:tcPr>
            <w:tcW w:w="1235" w:type="dxa"/>
          </w:tcPr>
          <w:p w14:paraId="0BEB2249">
            <w:pPr>
              <w:rPr>
                <w:rFonts w:hint="eastAsia" w:ascii="Times New Roman" w:hAnsi="Times New Roman"/>
                <w:vertAlign w:val="baseline"/>
                <w:lang w:val="en-US" w:eastAsia="zh-CN"/>
              </w:rPr>
            </w:pPr>
          </w:p>
        </w:tc>
        <w:tc>
          <w:tcPr>
            <w:tcW w:w="1258" w:type="dxa"/>
          </w:tcPr>
          <w:p w14:paraId="12F1D571">
            <w:pPr>
              <w:rPr>
                <w:rFonts w:hint="eastAsia" w:ascii="Times New Roman" w:hAnsi="Times New Roman"/>
                <w:vertAlign w:val="baseline"/>
                <w:lang w:val="en-US" w:eastAsia="zh-CN"/>
              </w:rPr>
            </w:pPr>
          </w:p>
        </w:tc>
        <w:tc>
          <w:tcPr>
            <w:tcW w:w="929" w:type="dxa"/>
          </w:tcPr>
          <w:p w14:paraId="47A42ED2">
            <w:pPr>
              <w:rPr>
                <w:rFonts w:hint="eastAsia" w:ascii="Times New Roman" w:hAnsi="Times New Roman"/>
                <w:vertAlign w:val="baseline"/>
                <w:lang w:val="en-US" w:eastAsia="zh-CN"/>
              </w:rPr>
            </w:pPr>
          </w:p>
        </w:tc>
        <w:tc>
          <w:tcPr>
            <w:tcW w:w="928" w:type="dxa"/>
          </w:tcPr>
          <w:p w14:paraId="406FCA18">
            <w:pPr>
              <w:rPr>
                <w:rFonts w:hint="eastAsia" w:ascii="Times New Roman" w:hAnsi="Times New Roman"/>
                <w:vertAlign w:val="baseline"/>
                <w:lang w:val="en-US" w:eastAsia="zh-CN"/>
              </w:rPr>
            </w:pPr>
          </w:p>
        </w:tc>
        <w:tc>
          <w:tcPr>
            <w:tcW w:w="1212" w:type="dxa"/>
          </w:tcPr>
          <w:p w14:paraId="0902BCB2">
            <w:pPr>
              <w:rPr>
                <w:rFonts w:hint="eastAsia" w:ascii="Times New Roman" w:hAnsi="Times New Roman"/>
                <w:vertAlign w:val="baseline"/>
                <w:lang w:val="en-US" w:eastAsia="zh-CN"/>
              </w:rPr>
            </w:pPr>
          </w:p>
        </w:tc>
        <w:tc>
          <w:tcPr>
            <w:tcW w:w="1458" w:type="dxa"/>
          </w:tcPr>
          <w:p w14:paraId="484EF244">
            <w:pPr>
              <w:rPr>
                <w:rFonts w:hint="eastAsia" w:ascii="Times New Roman" w:hAnsi="Times New Roman"/>
                <w:vertAlign w:val="baseline"/>
                <w:lang w:val="en-US" w:eastAsia="zh-CN"/>
              </w:rPr>
            </w:pPr>
          </w:p>
        </w:tc>
        <w:tc>
          <w:tcPr>
            <w:tcW w:w="859" w:type="dxa"/>
          </w:tcPr>
          <w:p w14:paraId="3BFCC345">
            <w:pPr>
              <w:rPr>
                <w:rFonts w:hint="eastAsia" w:ascii="Times New Roman" w:hAnsi="Times New Roman"/>
                <w:vertAlign w:val="baseline"/>
                <w:lang w:val="en-US" w:eastAsia="zh-CN"/>
              </w:rPr>
            </w:pPr>
          </w:p>
        </w:tc>
        <w:tc>
          <w:tcPr>
            <w:tcW w:w="799" w:type="dxa"/>
          </w:tcPr>
          <w:p w14:paraId="76DBDFFE">
            <w:pPr>
              <w:rPr>
                <w:rFonts w:hint="eastAsia" w:ascii="Times New Roman" w:hAnsi="Times New Roman"/>
                <w:vertAlign w:val="baseline"/>
                <w:lang w:val="en-US" w:eastAsia="zh-CN"/>
              </w:rPr>
            </w:pPr>
          </w:p>
        </w:tc>
        <w:tc>
          <w:tcPr>
            <w:tcW w:w="832" w:type="dxa"/>
          </w:tcPr>
          <w:p w14:paraId="4D66E619">
            <w:pPr>
              <w:rPr>
                <w:rFonts w:hint="eastAsia" w:ascii="Times New Roman" w:hAnsi="Times New Roman"/>
                <w:vertAlign w:val="baseline"/>
                <w:lang w:val="en-US" w:eastAsia="zh-CN"/>
              </w:rPr>
            </w:pPr>
          </w:p>
        </w:tc>
        <w:tc>
          <w:tcPr>
            <w:tcW w:w="1637" w:type="dxa"/>
          </w:tcPr>
          <w:p w14:paraId="0D6B3BAE">
            <w:pPr>
              <w:rPr>
                <w:rFonts w:hint="eastAsia" w:ascii="Times New Roman" w:hAnsi="Times New Roman"/>
                <w:vertAlign w:val="baseline"/>
                <w:lang w:val="en-US" w:eastAsia="zh-CN"/>
              </w:rPr>
            </w:pPr>
          </w:p>
        </w:tc>
      </w:tr>
      <w:tr w14:paraId="0419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14" w:type="dxa"/>
          </w:tcPr>
          <w:p w14:paraId="123D1CC3">
            <w:pPr>
              <w:rPr>
                <w:rFonts w:hint="eastAsia" w:ascii="Times New Roman" w:hAnsi="Times New Roman"/>
                <w:vertAlign w:val="baseline"/>
                <w:lang w:val="en-US" w:eastAsia="zh-CN"/>
              </w:rPr>
            </w:pPr>
          </w:p>
        </w:tc>
        <w:tc>
          <w:tcPr>
            <w:tcW w:w="1176" w:type="dxa"/>
          </w:tcPr>
          <w:p w14:paraId="14DB2A60">
            <w:pPr>
              <w:rPr>
                <w:rFonts w:hint="eastAsia" w:ascii="Times New Roman" w:hAnsi="Times New Roman"/>
                <w:vertAlign w:val="baseline"/>
                <w:lang w:val="en-US" w:eastAsia="zh-CN"/>
              </w:rPr>
            </w:pPr>
          </w:p>
        </w:tc>
        <w:tc>
          <w:tcPr>
            <w:tcW w:w="1234" w:type="dxa"/>
          </w:tcPr>
          <w:p w14:paraId="33E43532">
            <w:pPr>
              <w:rPr>
                <w:rFonts w:hint="eastAsia" w:ascii="Times New Roman" w:hAnsi="Times New Roman"/>
                <w:vertAlign w:val="baseline"/>
                <w:lang w:val="en-US" w:eastAsia="zh-CN"/>
              </w:rPr>
            </w:pPr>
          </w:p>
        </w:tc>
        <w:tc>
          <w:tcPr>
            <w:tcW w:w="917" w:type="dxa"/>
          </w:tcPr>
          <w:p w14:paraId="3F6D1172">
            <w:pPr>
              <w:rPr>
                <w:rFonts w:hint="eastAsia" w:ascii="Times New Roman" w:hAnsi="Times New Roman"/>
                <w:vertAlign w:val="baseline"/>
                <w:lang w:val="en-US" w:eastAsia="zh-CN"/>
              </w:rPr>
            </w:pPr>
          </w:p>
        </w:tc>
        <w:tc>
          <w:tcPr>
            <w:tcW w:w="1000" w:type="dxa"/>
          </w:tcPr>
          <w:p w14:paraId="010CA6A1">
            <w:pPr>
              <w:rPr>
                <w:rFonts w:hint="eastAsia" w:ascii="Times New Roman" w:hAnsi="Times New Roman"/>
                <w:vertAlign w:val="baseline"/>
                <w:lang w:val="en-US" w:eastAsia="zh-CN"/>
              </w:rPr>
            </w:pPr>
          </w:p>
        </w:tc>
        <w:tc>
          <w:tcPr>
            <w:tcW w:w="1235" w:type="dxa"/>
          </w:tcPr>
          <w:p w14:paraId="5FECA82A">
            <w:pPr>
              <w:rPr>
                <w:rFonts w:hint="eastAsia" w:ascii="Times New Roman" w:hAnsi="Times New Roman"/>
                <w:vertAlign w:val="baseline"/>
                <w:lang w:val="en-US" w:eastAsia="zh-CN"/>
              </w:rPr>
            </w:pPr>
          </w:p>
        </w:tc>
        <w:tc>
          <w:tcPr>
            <w:tcW w:w="1258" w:type="dxa"/>
          </w:tcPr>
          <w:p w14:paraId="4D262DC6">
            <w:pPr>
              <w:rPr>
                <w:rFonts w:hint="eastAsia" w:ascii="Times New Roman" w:hAnsi="Times New Roman"/>
                <w:vertAlign w:val="baseline"/>
                <w:lang w:val="en-US" w:eastAsia="zh-CN"/>
              </w:rPr>
            </w:pPr>
          </w:p>
        </w:tc>
        <w:tc>
          <w:tcPr>
            <w:tcW w:w="929" w:type="dxa"/>
          </w:tcPr>
          <w:p w14:paraId="69C21278">
            <w:pPr>
              <w:rPr>
                <w:rFonts w:hint="eastAsia" w:ascii="Times New Roman" w:hAnsi="Times New Roman"/>
                <w:vertAlign w:val="baseline"/>
                <w:lang w:val="en-US" w:eastAsia="zh-CN"/>
              </w:rPr>
            </w:pPr>
          </w:p>
        </w:tc>
        <w:tc>
          <w:tcPr>
            <w:tcW w:w="928" w:type="dxa"/>
          </w:tcPr>
          <w:p w14:paraId="0AB46507">
            <w:pPr>
              <w:rPr>
                <w:rFonts w:hint="eastAsia" w:ascii="Times New Roman" w:hAnsi="Times New Roman"/>
                <w:vertAlign w:val="baseline"/>
                <w:lang w:val="en-US" w:eastAsia="zh-CN"/>
              </w:rPr>
            </w:pPr>
          </w:p>
        </w:tc>
        <w:tc>
          <w:tcPr>
            <w:tcW w:w="1212" w:type="dxa"/>
          </w:tcPr>
          <w:p w14:paraId="1C51783B">
            <w:pPr>
              <w:rPr>
                <w:rFonts w:hint="eastAsia" w:ascii="Times New Roman" w:hAnsi="Times New Roman"/>
                <w:vertAlign w:val="baseline"/>
                <w:lang w:val="en-US" w:eastAsia="zh-CN"/>
              </w:rPr>
            </w:pPr>
          </w:p>
        </w:tc>
        <w:tc>
          <w:tcPr>
            <w:tcW w:w="1458" w:type="dxa"/>
          </w:tcPr>
          <w:p w14:paraId="1A7588F7">
            <w:pPr>
              <w:rPr>
                <w:rFonts w:hint="eastAsia" w:ascii="Times New Roman" w:hAnsi="Times New Roman"/>
                <w:vertAlign w:val="baseline"/>
                <w:lang w:val="en-US" w:eastAsia="zh-CN"/>
              </w:rPr>
            </w:pPr>
          </w:p>
        </w:tc>
        <w:tc>
          <w:tcPr>
            <w:tcW w:w="859" w:type="dxa"/>
          </w:tcPr>
          <w:p w14:paraId="6A030331">
            <w:pPr>
              <w:rPr>
                <w:rFonts w:hint="eastAsia" w:ascii="Times New Roman" w:hAnsi="Times New Roman"/>
                <w:vertAlign w:val="baseline"/>
                <w:lang w:val="en-US" w:eastAsia="zh-CN"/>
              </w:rPr>
            </w:pPr>
          </w:p>
        </w:tc>
        <w:tc>
          <w:tcPr>
            <w:tcW w:w="799" w:type="dxa"/>
          </w:tcPr>
          <w:p w14:paraId="25805754">
            <w:pPr>
              <w:rPr>
                <w:rFonts w:hint="eastAsia" w:ascii="Times New Roman" w:hAnsi="Times New Roman"/>
                <w:vertAlign w:val="baseline"/>
                <w:lang w:val="en-US" w:eastAsia="zh-CN"/>
              </w:rPr>
            </w:pPr>
          </w:p>
        </w:tc>
        <w:tc>
          <w:tcPr>
            <w:tcW w:w="832" w:type="dxa"/>
          </w:tcPr>
          <w:p w14:paraId="14041CDC">
            <w:pPr>
              <w:rPr>
                <w:rFonts w:hint="eastAsia" w:ascii="Times New Roman" w:hAnsi="Times New Roman"/>
                <w:vertAlign w:val="baseline"/>
                <w:lang w:val="en-US" w:eastAsia="zh-CN"/>
              </w:rPr>
            </w:pPr>
          </w:p>
        </w:tc>
        <w:tc>
          <w:tcPr>
            <w:tcW w:w="1637" w:type="dxa"/>
          </w:tcPr>
          <w:p w14:paraId="0B1F4A65">
            <w:pPr>
              <w:rPr>
                <w:rFonts w:hint="eastAsia" w:ascii="Times New Roman" w:hAnsi="Times New Roman"/>
                <w:vertAlign w:val="baseline"/>
                <w:lang w:val="en-US" w:eastAsia="zh-CN"/>
              </w:rPr>
            </w:pPr>
          </w:p>
        </w:tc>
      </w:tr>
    </w:tbl>
    <w:p w14:paraId="3EE2C321">
      <w:pPr>
        <w:ind w:left="0" w:leftChars="0" w:firstLine="0" w:firstLineChars="0"/>
        <w:rPr>
          <w:rFonts w:hint="eastAsia" w:ascii="Times New Roman" w:hAnsi="Times New Roman"/>
          <w:lang w:val="en-US" w:eastAsia="zh-CN"/>
        </w:rPr>
      </w:pPr>
      <w:r>
        <w:rPr>
          <w:rFonts w:hint="eastAsia" w:ascii="Times New Roman" w:hAnsi="Times New Roman"/>
          <w:lang w:val="en-US" w:eastAsia="zh-CN"/>
        </w:rPr>
        <w:t>注：1.项目状态包括：完全退出、部分退出、未退出等。</w:t>
      </w:r>
    </w:p>
    <w:p w14:paraId="3C93B95F">
      <w:pPr>
        <w:pStyle w:val="2"/>
        <w:ind w:left="0" w:leftChars="0" w:firstLine="640" w:firstLineChars="200"/>
        <w:jc w:val="both"/>
        <w:rPr>
          <w:rFonts w:hint="default"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2.项目情况包括：项目/产品的介绍、核心竞争优势、其他主要投资者、满足成功案例的哪项认定标准等。</w:t>
      </w:r>
    </w:p>
    <w:p w14:paraId="458E6D9E">
      <w:pPr>
        <w:spacing w:line="560" w:lineRule="exact"/>
        <w:ind w:left="0" w:leftChars="0" w:firstLine="0" w:firstLineChars="0"/>
        <w:outlineLvl w:val="0"/>
        <w:rPr>
          <w:rFonts w:hint="eastAsia" w:ascii="Times New Roman" w:hAnsi="Times New Roman" w:eastAsia="仿宋_GB2312" w:cs="宋体"/>
          <w:kern w:val="2"/>
          <w:sz w:val="32"/>
          <w:szCs w:val="32"/>
          <w:lang w:val="en-US" w:eastAsia="zh-CN" w:bidi="ar-SA"/>
        </w:rPr>
        <w:sectPr>
          <w:pgSz w:w="16838" w:h="11906" w:orient="landscape"/>
          <w:pgMar w:top="1587" w:right="2098" w:bottom="1474" w:left="1984" w:header="851" w:footer="992" w:gutter="0"/>
          <w:pgNumType w:fmt="numberInDash"/>
          <w:cols w:space="425" w:num="1"/>
          <w:docGrid w:type="lines" w:linePitch="312" w:charSpace="0"/>
        </w:sectPr>
      </w:pPr>
    </w:p>
    <w:p w14:paraId="392D022E">
      <w:pPr>
        <w:spacing w:line="560" w:lineRule="exact"/>
        <w:ind w:firstLine="640" w:firstLineChars="200"/>
        <w:outlineLvl w:val="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（二）基金管理团队</w:t>
      </w:r>
    </w:p>
    <w:p w14:paraId="0EB9813F">
      <w:pPr>
        <w:spacing w:line="560" w:lineRule="exact"/>
        <w:ind w:firstLine="640" w:firstLineChars="200"/>
        <w:outlineLvl w:val="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1.按顺序依次阐述</w:t>
      </w:r>
      <w:r>
        <w:rPr>
          <w:rFonts w:hint="eastAsia" w:ascii="Times New Roman" w:hAnsi="Times New Roman" w:eastAsia="仿宋_GB2312" w:cs="Times New Roman"/>
          <w:sz w:val="32"/>
          <w:szCs w:val="32"/>
        </w:rPr>
        <w:t>子</w:t>
      </w:r>
      <w:r>
        <w:rPr>
          <w:rFonts w:ascii="Times New Roman" w:hAnsi="Times New Roman" w:eastAsia="仿宋_GB2312" w:cs="Times New Roman"/>
          <w:sz w:val="32"/>
          <w:szCs w:val="32"/>
        </w:rPr>
        <w:t>基金管理</w:t>
      </w:r>
      <w:r>
        <w:rPr>
          <w:rFonts w:hint="eastAsia" w:cs="Times New Roman"/>
          <w:sz w:val="32"/>
          <w:szCs w:val="32"/>
          <w:lang w:val="en-US" w:eastAsia="zh-CN"/>
        </w:rPr>
        <w:t>团队</w:t>
      </w:r>
      <w:r>
        <w:rPr>
          <w:rFonts w:ascii="Times New Roman" w:hAnsi="Times New Roman" w:eastAsia="仿宋_GB2312" w:cs="Times New Roman"/>
          <w:sz w:val="32"/>
          <w:szCs w:val="32"/>
        </w:rPr>
        <w:t>人员详细资料及履历、管理各类基金情况、主要项目投资案例及参与程度</w:t>
      </w:r>
      <w:r>
        <w:rPr>
          <w:rFonts w:hint="eastAsia" w:ascii="Times New Roman" w:hAnsi="Times New Roman" w:eastAsia="仿宋_GB2312" w:cs="Times New Roman"/>
          <w:sz w:val="32"/>
          <w:szCs w:val="32"/>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156"/>
        <w:gridCol w:w="1440"/>
        <w:gridCol w:w="1913"/>
        <w:gridCol w:w="1913"/>
        <w:gridCol w:w="1058"/>
        <w:gridCol w:w="1058"/>
      </w:tblGrid>
      <w:tr w14:paraId="05F9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21" w:type="dxa"/>
            <w:vAlign w:val="center"/>
          </w:tcPr>
          <w:p w14:paraId="264D3397">
            <w:pPr>
              <w:pStyle w:val="2"/>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序号</w:t>
            </w:r>
          </w:p>
        </w:tc>
        <w:tc>
          <w:tcPr>
            <w:tcW w:w="1156" w:type="dxa"/>
            <w:vAlign w:val="center"/>
          </w:tcPr>
          <w:p w14:paraId="34E7E065">
            <w:pPr>
              <w:pStyle w:val="2"/>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姓名</w:t>
            </w:r>
          </w:p>
        </w:tc>
        <w:tc>
          <w:tcPr>
            <w:tcW w:w="1440" w:type="dxa"/>
            <w:vAlign w:val="center"/>
          </w:tcPr>
          <w:p w14:paraId="222D5657">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履历</w:t>
            </w:r>
          </w:p>
        </w:tc>
        <w:tc>
          <w:tcPr>
            <w:tcW w:w="1913" w:type="dxa"/>
            <w:shd w:val="clear" w:color="auto" w:fill="auto"/>
            <w:vAlign w:val="center"/>
          </w:tcPr>
          <w:p w14:paraId="7635E383">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管理各类基金情况</w:t>
            </w:r>
          </w:p>
        </w:tc>
        <w:tc>
          <w:tcPr>
            <w:tcW w:w="1913" w:type="dxa"/>
            <w:shd w:val="clear" w:color="auto" w:fill="auto"/>
            <w:vAlign w:val="center"/>
          </w:tcPr>
          <w:p w14:paraId="5792F0AC">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主要项目投资案例</w:t>
            </w:r>
          </w:p>
        </w:tc>
        <w:tc>
          <w:tcPr>
            <w:tcW w:w="1058" w:type="dxa"/>
            <w:shd w:val="clear" w:color="auto" w:fill="auto"/>
            <w:vAlign w:val="center"/>
          </w:tcPr>
          <w:p w14:paraId="4AC76A04">
            <w:pPr>
              <w:pStyle w:val="2"/>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参与程度</w:t>
            </w:r>
          </w:p>
        </w:tc>
        <w:tc>
          <w:tcPr>
            <w:tcW w:w="1058" w:type="dxa"/>
            <w:shd w:val="clear" w:color="auto" w:fill="auto"/>
            <w:vAlign w:val="center"/>
          </w:tcPr>
          <w:p w14:paraId="487B704B">
            <w:pPr>
              <w:pStyle w:val="2"/>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在本基金中的角色</w:t>
            </w:r>
          </w:p>
        </w:tc>
      </w:tr>
      <w:tr w14:paraId="5964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21" w:type="dxa"/>
          </w:tcPr>
          <w:p w14:paraId="7F66A36E">
            <w:pPr>
              <w:pStyle w:val="2"/>
              <w:rPr>
                <w:rFonts w:hint="eastAsia" w:ascii="Times New Roman" w:hAnsi="Times New Roman"/>
                <w:vertAlign w:val="baseline"/>
              </w:rPr>
            </w:pPr>
          </w:p>
        </w:tc>
        <w:tc>
          <w:tcPr>
            <w:tcW w:w="1156" w:type="dxa"/>
          </w:tcPr>
          <w:p w14:paraId="40BDEF09">
            <w:pPr>
              <w:pStyle w:val="2"/>
              <w:rPr>
                <w:rFonts w:hint="eastAsia" w:ascii="Times New Roman" w:hAnsi="Times New Roman"/>
                <w:vertAlign w:val="baseline"/>
              </w:rPr>
            </w:pPr>
          </w:p>
        </w:tc>
        <w:tc>
          <w:tcPr>
            <w:tcW w:w="1440" w:type="dxa"/>
          </w:tcPr>
          <w:p w14:paraId="22181CCD">
            <w:pPr>
              <w:pStyle w:val="2"/>
              <w:rPr>
                <w:rFonts w:hint="eastAsia" w:ascii="Times New Roman" w:hAnsi="Times New Roman"/>
                <w:vertAlign w:val="baseline"/>
              </w:rPr>
            </w:pPr>
          </w:p>
        </w:tc>
        <w:tc>
          <w:tcPr>
            <w:tcW w:w="1913" w:type="dxa"/>
          </w:tcPr>
          <w:p w14:paraId="360FC01D">
            <w:pPr>
              <w:pStyle w:val="2"/>
              <w:rPr>
                <w:rFonts w:hint="eastAsia" w:ascii="Times New Roman" w:hAnsi="Times New Roman"/>
                <w:vertAlign w:val="baseline"/>
              </w:rPr>
            </w:pPr>
          </w:p>
        </w:tc>
        <w:tc>
          <w:tcPr>
            <w:tcW w:w="1913" w:type="dxa"/>
          </w:tcPr>
          <w:p w14:paraId="70774398">
            <w:pPr>
              <w:pStyle w:val="2"/>
              <w:rPr>
                <w:rFonts w:hint="eastAsia" w:ascii="Times New Roman" w:hAnsi="Times New Roman"/>
                <w:vertAlign w:val="baseline"/>
              </w:rPr>
            </w:pPr>
          </w:p>
        </w:tc>
        <w:tc>
          <w:tcPr>
            <w:tcW w:w="1058" w:type="dxa"/>
          </w:tcPr>
          <w:p w14:paraId="2267635C">
            <w:pPr>
              <w:pStyle w:val="2"/>
              <w:rPr>
                <w:rFonts w:hint="eastAsia" w:ascii="Times New Roman" w:hAnsi="Times New Roman"/>
                <w:vertAlign w:val="baseline"/>
              </w:rPr>
            </w:pPr>
          </w:p>
        </w:tc>
        <w:tc>
          <w:tcPr>
            <w:tcW w:w="1058" w:type="dxa"/>
          </w:tcPr>
          <w:p w14:paraId="2A77D694">
            <w:pPr>
              <w:pStyle w:val="2"/>
              <w:rPr>
                <w:rFonts w:hint="eastAsia" w:ascii="Times New Roman" w:hAnsi="Times New Roman"/>
                <w:vertAlign w:val="baseline"/>
              </w:rPr>
            </w:pPr>
          </w:p>
        </w:tc>
      </w:tr>
      <w:tr w14:paraId="5245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21" w:type="dxa"/>
          </w:tcPr>
          <w:p w14:paraId="479F9CE9">
            <w:pPr>
              <w:pStyle w:val="2"/>
              <w:rPr>
                <w:rFonts w:hint="eastAsia" w:ascii="Times New Roman" w:hAnsi="Times New Roman"/>
                <w:vertAlign w:val="baseline"/>
              </w:rPr>
            </w:pPr>
          </w:p>
        </w:tc>
        <w:tc>
          <w:tcPr>
            <w:tcW w:w="1156" w:type="dxa"/>
          </w:tcPr>
          <w:p w14:paraId="25E78F2D">
            <w:pPr>
              <w:pStyle w:val="2"/>
              <w:rPr>
                <w:rFonts w:hint="eastAsia" w:ascii="Times New Roman" w:hAnsi="Times New Roman"/>
                <w:vertAlign w:val="baseline"/>
              </w:rPr>
            </w:pPr>
          </w:p>
        </w:tc>
        <w:tc>
          <w:tcPr>
            <w:tcW w:w="1440" w:type="dxa"/>
          </w:tcPr>
          <w:p w14:paraId="5BF21870">
            <w:pPr>
              <w:pStyle w:val="2"/>
              <w:rPr>
                <w:rFonts w:hint="eastAsia" w:ascii="Times New Roman" w:hAnsi="Times New Roman"/>
                <w:vertAlign w:val="baseline"/>
              </w:rPr>
            </w:pPr>
          </w:p>
        </w:tc>
        <w:tc>
          <w:tcPr>
            <w:tcW w:w="1913" w:type="dxa"/>
          </w:tcPr>
          <w:p w14:paraId="121F4B1B">
            <w:pPr>
              <w:pStyle w:val="2"/>
              <w:rPr>
                <w:rFonts w:hint="eastAsia" w:ascii="Times New Roman" w:hAnsi="Times New Roman"/>
                <w:vertAlign w:val="baseline"/>
              </w:rPr>
            </w:pPr>
          </w:p>
        </w:tc>
        <w:tc>
          <w:tcPr>
            <w:tcW w:w="1913" w:type="dxa"/>
          </w:tcPr>
          <w:p w14:paraId="437B8145">
            <w:pPr>
              <w:pStyle w:val="2"/>
              <w:rPr>
                <w:rFonts w:hint="eastAsia" w:ascii="Times New Roman" w:hAnsi="Times New Roman"/>
                <w:vertAlign w:val="baseline"/>
              </w:rPr>
            </w:pPr>
          </w:p>
        </w:tc>
        <w:tc>
          <w:tcPr>
            <w:tcW w:w="1058" w:type="dxa"/>
          </w:tcPr>
          <w:p w14:paraId="799779E8">
            <w:pPr>
              <w:pStyle w:val="2"/>
              <w:rPr>
                <w:rFonts w:hint="eastAsia" w:ascii="Times New Roman" w:hAnsi="Times New Roman"/>
                <w:vertAlign w:val="baseline"/>
              </w:rPr>
            </w:pPr>
          </w:p>
        </w:tc>
        <w:tc>
          <w:tcPr>
            <w:tcW w:w="1058" w:type="dxa"/>
          </w:tcPr>
          <w:p w14:paraId="0D0E6E5F">
            <w:pPr>
              <w:pStyle w:val="2"/>
              <w:rPr>
                <w:rFonts w:hint="eastAsia" w:ascii="Times New Roman" w:hAnsi="Times New Roman"/>
                <w:vertAlign w:val="baseline"/>
              </w:rPr>
            </w:pPr>
          </w:p>
        </w:tc>
      </w:tr>
      <w:tr w14:paraId="167C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21" w:type="dxa"/>
          </w:tcPr>
          <w:p w14:paraId="269CB14A">
            <w:pPr>
              <w:pStyle w:val="2"/>
              <w:rPr>
                <w:rFonts w:hint="eastAsia" w:ascii="Times New Roman" w:hAnsi="Times New Roman"/>
                <w:vertAlign w:val="baseline"/>
              </w:rPr>
            </w:pPr>
          </w:p>
        </w:tc>
        <w:tc>
          <w:tcPr>
            <w:tcW w:w="1156" w:type="dxa"/>
          </w:tcPr>
          <w:p w14:paraId="3C27F74B">
            <w:pPr>
              <w:pStyle w:val="2"/>
              <w:rPr>
                <w:rFonts w:hint="eastAsia" w:ascii="Times New Roman" w:hAnsi="Times New Roman"/>
                <w:vertAlign w:val="baseline"/>
              </w:rPr>
            </w:pPr>
          </w:p>
        </w:tc>
        <w:tc>
          <w:tcPr>
            <w:tcW w:w="1440" w:type="dxa"/>
          </w:tcPr>
          <w:p w14:paraId="2000151C">
            <w:pPr>
              <w:pStyle w:val="2"/>
              <w:rPr>
                <w:rFonts w:hint="eastAsia" w:ascii="Times New Roman" w:hAnsi="Times New Roman"/>
                <w:vertAlign w:val="baseline"/>
              </w:rPr>
            </w:pPr>
          </w:p>
        </w:tc>
        <w:tc>
          <w:tcPr>
            <w:tcW w:w="1913" w:type="dxa"/>
          </w:tcPr>
          <w:p w14:paraId="586509D3">
            <w:pPr>
              <w:pStyle w:val="2"/>
              <w:rPr>
                <w:rFonts w:hint="eastAsia" w:ascii="Times New Roman" w:hAnsi="Times New Roman"/>
                <w:vertAlign w:val="baseline"/>
              </w:rPr>
            </w:pPr>
          </w:p>
        </w:tc>
        <w:tc>
          <w:tcPr>
            <w:tcW w:w="1913" w:type="dxa"/>
          </w:tcPr>
          <w:p w14:paraId="085E098B">
            <w:pPr>
              <w:pStyle w:val="2"/>
              <w:rPr>
                <w:rFonts w:hint="eastAsia" w:ascii="Times New Roman" w:hAnsi="Times New Roman"/>
                <w:vertAlign w:val="baseline"/>
              </w:rPr>
            </w:pPr>
          </w:p>
        </w:tc>
        <w:tc>
          <w:tcPr>
            <w:tcW w:w="1058" w:type="dxa"/>
          </w:tcPr>
          <w:p w14:paraId="79306B94">
            <w:pPr>
              <w:pStyle w:val="2"/>
              <w:rPr>
                <w:rFonts w:hint="eastAsia" w:ascii="Times New Roman" w:hAnsi="Times New Roman"/>
                <w:vertAlign w:val="baseline"/>
              </w:rPr>
            </w:pPr>
          </w:p>
        </w:tc>
        <w:tc>
          <w:tcPr>
            <w:tcW w:w="1058" w:type="dxa"/>
          </w:tcPr>
          <w:p w14:paraId="7101BC64">
            <w:pPr>
              <w:pStyle w:val="2"/>
              <w:rPr>
                <w:rFonts w:hint="eastAsia" w:ascii="Times New Roman" w:hAnsi="Times New Roman"/>
                <w:vertAlign w:val="baseline"/>
              </w:rPr>
            </w:pPr>
          </w:p>
        </w:tc>
      </w:tr>
      <w:tr w14:paraId="4C1E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21" w:type="dxa"/>
          </w:tcPr>
          <w:p w14:paraId="02593F76">
            <w:pPr>
              <w:pStyle w:val="2"/>
              <w:rPr>
                <w:rFonts w:hint="eastAsia" w:ascii="Times New Roman" w:hAnsi="Times New Roman"/>
                <w:vertAlign w:val="baseline"/>
              </w:rPr>
            </w:pPr>
          </w:p>
        </w:tc>
        <w:tc>
          <w:tcPr>
            <w:tcW w:w="1156" w:type="dxa"/>
          </w:tcPr>
          <w:p w14:paraId="4F6A7123">
            <w:pPr>
              <w:pStyle w:val="2"/>
              <w:rPr>
                <w:rFonts w:hint="eastAsia" w:ascii="Times New Roman" w:hAnsi="Times New Roman"/>
                <w:vertAlign w:val="baseline"/>
              </w:rPr>
            </w:pPr>
          </w:p>
        </w:tc>
        <w:tc>
          <w:tcPr>
            <w:tcW w:w="1440" w:type="dxa"/>
          </w:tcPr>
          <w:p w14:paraId="467A744E">
            <w:pPr>
              <w:pStyle w:val="2"/>
              <w:rPr>
                <w:rFonts w:hint="eastAsia" w:ascii="Times New Roman" w:hAnsi="Times New Roman"/>
                <w:vertAlign w:val="baseline"/>
              </w:rPr>
            </w:pPr>
          </w:p>
        </w:tc>
        <w:tc>
          <w:tcPr>
            <w:tcW w:w="1913" w:type="dxa"/>
          </w:tcPr>
          <w:p w14:paraId="2F018B09">
            <w:pPr>
              <w:pStyle w:val="2"/>
              <w:rPr>
                <w:rFonts w:hint="eastAsia" w:ascii="Times New Roman" w:hAnsi="Times New Roman"/>
                <w:vertAlign w:val="baseline"/>
              </w:rPr>
            </w:pPr>
          </w:p>
        </w:tc>
        <w:tc>
          <w:tcPr>
            <w:tcW w:w="1913" w:type="dxa"/>
          </w:tcPr>
          <w:p w14:paraId="7405C961">
            <w:pPr>
              <w:pStyle w:val="2"/>
              <w:rPr>
                <w:rFonts w:hint="eastAsia" w:ascii="Times New Roman" w:hAnsi="Times New Roman"/>
                <w:vertAlign w:val="baseline"/>
              </w:rPr>
            </w:pPr>
          </w:p>
        </w:tc>
        <w:tc>
          <w:tcPr>
            <w:tcW w:w="1058" w:type="dxa"/>
          </w:tcPr>
          <w:p w14:paraId="187894AE">
            <w:pPr>
              <w:pStyle w:val="2"/>
              <w:rPr>
                <w:rFonts w:hint="eastAsia" w:ascii="Times New Roman" w:hAnsi="Times New Roman"/>
                <w:vertAlign w:val="baseline"/>
              </w:rPr>
            </w:pPr>
          </w:p>
        </w:tc>
        <w:tc>
          <w:tcPr>
            <w:tcW w:w="1058" w:type="dxa"/>
          </w:tcPr>
          <w:p w14:paraId="130430C4">
            <w:pPr>
              <w:pStyle w:val="2"/>
              <w:rPr>
                <w:rFonts w:hint="eastAsia" w:ascii="Times New Roman" w:hAnsi="Times New Roman"/>
                <w:vertAlign w:val="baseline"/>
              </w:rPr>
            </w:pPr>
          </w:p>
        </w:tc>
      </w:tr>
      <w:tr w14:paraId="0DEE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21" w:type="dxa"/>
          </w:tcPr>
          <w:p w14:paraId="224BDC53">
            <w:pPr>
              <w:pStyle w:val="2"/>
              <w:rPr>
                <w:rFonts w:hint="eastAsia" w:ascii="Times New Roman" w:hAnsi="Times New Roman"/>
                <w:vertAlign w:val="baseline"/>
              </w:rPr>
            </w:pPr>
          </w:p>
        </w:tc>
        <w:tc>
          <w:tcPr>
            <w:tcW w:w="1156" w:type="dxa"/>
          </w:tcPr>
          <w:p w14:paraId="63F84DE2">
            <w:pPr>
              <w:pStyle w:val="2"/>
              <w:rPr>
                <w:rFonts w:hint="eastAsia" w:ascii="Times New Roman" w:hAnsi="Times New Roman"/>
                <w:vertAlign w:val="baseline"/>
              </w:rPr>
            </w:pPr>
          </w:p>
        </w:tc>
        <w:tc>
          <w:tcPr>
            <w:tcW w:w="1440" w:type="dxa"/>
          </w:tcPr>
          <w:p w14:paraId="7622B444">
            <w:pPr>
              <w:pStyle w:val="2"/>
              <w:rPr>
                <w:rFonts w:hint="eastAsia" w:ascii="Times New Roman" w:hAnsi="Times New Roman"/>
                <w:vertAlign w:val="baseline"/>
              </w:rPr>
            </w:pPr>
          </w:p>
        </w:tc>
        <w:tc>
          <w:tcPr>
            <w:tcW w:w="1913" w:type="dxa"/>
          </w:tcPr>
          <w:p w14:paraId="39AE5CB4">
            <w:pPr>
              <w:pStyle w:val="2"/>
              <w:rPr>
                <w:rFonts w:hint="eastAsia" w:ascii="Times New Roman" w:hAnsi="Times New Roman"/>
                <w:vertAlign w:val="baseline"/>
              </w:rPr>
            </w:pPr>
          </w:p>
        </w:tc>
        <w:tc>
          <w:tcPr>
            <w:tcW w:w="1913" w:type="dxa"/>
          </w:tcPr>
          <w:p w14:paraId="1B18D5AE">
            <w:pPr>
              <w:pStyle w:val="2"/>
              <w:rPr>
                <w:rFonts w:hint="eastAsia" w:ascii="Times New Roman" w:hAnsi="Times New Roman"/>
                <w:vertAlign w:val="baseline"/>
              </w:rPr>
            </w:pPr>
          </w:p>
        </w:tc>
        <w:tc>
          <w:tcPr>
            <w:tcW w:w="1058" w:type="dxa"/>
          </w:tcPr>
          <w:p w14:paraId="1BD56D3D">
            <w:pPr>
              <w:pStyle w:val="2"/>
              <w:rPr>
                <w:rFonts w:hint="eastAsia" w:ascii="Times New Roman" w:hAnsi="Times New Roman"/>
                <w:vertAlign w:val="baseline"/>
              </w:rPr>
            </w:pPr>
          </w:p>
        </w:tc>
        <w:tc>
          <w:tcPr>
            <w:tcW w:w="1058" w:type="dxa"/>
          </w:tcPr>
          <w:p w14:paraId="307AA5E2">
            <w:pPr>
              <w:pStyle w:val="2"/>
              <w:rPr>
                <w:rFonts w:hint="eastAsia" w:ascii="Times New Roman" w:hAnsi="Times New Roman"/>
                <w:vertAlign w:val="baseline"/>
              </w:rPr>
            </w:pPr>
          </w:p>
        </w:tc>
      </w:tr>
    </w:tbl>
    <w:p w14:paraId="7D9FFBE4">
      <w:pPr>
        <w:spacing w:line="560" w:lineRule="exact"/>
        <w:ind w:firstLine="640" w:firstLineChars="200"/>
        <w:outlineLvl w:val="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2.提供主要管理人员之间的合作经历</w:t>
      </w:r>
      <w:r>
        <w:rPr>
          <w:rFonts w:hint="eastAsia" w:ascii="Times New Roman" w:hAnsi="Times New Roman" w:eastAsia="仿宋_GB2312" w:cs="Times New Roman"/>
          <w:sz w:val="32"/>
          <w:szCs w:val="32"/>
        </w:rPr>
        <w:t>；</w:t>
      </w:r>
    </w:p>
    <w:p w14:paraId="7D8F47E5">
      <w:pPr>
        <w:spacing w:line="560" w:lineRule="exact"/>
        <w:ind w:firstLine="640" w:firstLineChars="200"/>
        <w:outlineLvl w:val="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3.管理团队投资项目列表，应按</w:t>
      </w:r>
      <w:r>
        <w:rPr>
          <w:rFonts w:hint="eastAsia" w:ascii="Times New Roman" w:hAnsi="Times New Roman" w:eastAsia="仿宋_GB2312" w:cs="Times New Roman"/>
          <w:sz w:val="32"/>
          <w:szCs w:val="32"/>
          <w:lang w:val="en-US" w:eastAsia="zh-CN"/>
        </w:rPr>
        <w:t>极早期初创企业</w:t>
      </w:r>
      <w:r>
        <w:rPr>
          <w:rFonts w:ascii="Times New Roman" w:hAnsi="Times New Roman" w:eastAsia="仿宋_GB2312" w:cs="Times New Roman"/>
          <w:sz w:val="32"/>
          <w:szCs w:val="32"/>
        </w:rPr>
        <w:t>及其它分类，详细列出已投资项目名称、投资时间、投资金额、</w:t>
      </w:r>
      <w:r>
        <w:rPr>
          <w:rFonts w:hint="eastAsia" w:cs="Times New Roman"/>
          <w:sz w:val="32"/>
          <w:szCs w:val="32"/>
          <w:lang w:val="en-US" w:eastAsia="zh-CN"/>
        </w:rPr>
        <w:t>退出时间、退出金额、投资收益率、</w:t>
      </w:r>
      <w:r>
        <w:rPr>
          <w:rFonts w:ascii="Times New Roman" w:hAnsi="Times New Roman" w:eastAsia="仿宋_GB2312" w:cs="Times New Roman"/>
          <w:sz w:val="32"/>
          <w:szCs w:val="32"/>
        </w:rPr>
        <w:t>团队主要成员参与角色等</w:t>
      </w:r>
      <w:r>
        <w:rPr>
          <w:rFonts w:hint="eastAsia" w:ascii="Times New Roman" w:hAnsi="Times New Roman" w:eastAsia="仿宋_GB2312" w:cs="Times New Roman"/>
          <w:sz w:val="32"/>
          <w:szCs w:val="32"/>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16"/>
        <w:gridCol w:w="938"/>
        <w:gridCol w:w="1107"/>
        <w:gridCol w:w="1149"/>
        <w:gridCol w:w="1105"/>
        <w:gridCol w:w="1108"/>
        <w:gridCol w:w="1040"/>
        <w:gridCol w:w="1041"/>
      </w:tblGrid>
      <w:tr w14:paraId="6D4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00" w:type="dxa"/>
            <w:vAlign w:val="center"/>
          </w:tcPr>
          <w:p w14:paraId="195F8D20">
            <w:pPr>
              <w:pStyle w:val="2"/>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序号</w:t>
            </w:r>
          </w:p>
        </w:tc>
        <w:tc>
          <w:tcPr>
            <w:tcW w:w="1124" w:type="dxa"/>
            <w:vAlign w:val="center"/>
          </w:tcPr>
          <w:p w14:paraId="19EE8A5C">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项目名称</w:t>
            </w:r>
          </w:p>
        </w:tc>
        <w:tc>
          <w:tcPr>
            <w:tcW w:w="944" w:type="dxa"/>
            <w:vAlign w:val="center"/>
          </w:tcPr>
          <w:p w14:paraId="6A258F20">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是否</w:t>
            </w:r>
            <w:r>
              <w:rPr>
                <w:rFonts w:hint="eastAsia" w:ascii="Times New Roman" w:hAnsi="Times New Roman" w:eastAsia="仿宋_GB2312" w:cs="仿宋_GB2312"/>
                <w:b/>
                <w:bCs/>
                <w:sz w:val="24"/>
                <w:szCs w:val="24"/>
                <w:lang w:val="en-US" w:eastAsia="zh-CN"/>
              </w:rPr>
              <w:t>极早期初创企业</w:t>
            </w:r>
          </w:p>
        </w:tc>
        <w:tc>
          <w:tcPr>
            <w:tcW w:w="1115" w:type="dxa"/>
            <w:shd w:val="clear" w:color="auto" w:fill="auto"/>
            <w:vAlign w:val="center"/>
          </w:tcPr>
          <w:p w14:paraId="0BBF58CE">
            <w:pPr>
              <w:pStyle w:val="2"/>
              <w:spacing w:line="240" w:lineRule="auto"/>
              <w:ind w:left="0" w:leftChars="0" w:firstLine="0" w:firstLineChars="0"/>
              <w:jc w:val="center"/>
              <w:rPr>
                <w:rFonts w:hint="default"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投资时间</w:t>
            </w:r>
          </w:p>
        </w:tc>
        <w:tc>
          <w:tcPr>
            <w:tcW w:w="1154" w:type="dxa"/>
            <w:shd w:val="clear" w:color="auto" w:fill="auto"/>
            <w:vAlign w:val="center"/>
          </w:tcPr>
          <w:p w14:paraId="248894E1">
            <w:pPr>
              <w:pStyle w:val="2"/>
              <w:spacing w:line="240" w:lineRule="auto"/>
              <w:ind w:left="0" w:leftChars="0" w:firstLine="0" w:firstLineChars="0"/>
              <w:jc w:val="center"/>
              <w:rPr>
                <w:rFonts w:hint="default"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投资金额（万元）</w:t>
            </w:r>
          </w:p>
        </w:tc>
        <w:tc>
          <w:tcPr>
            <w:tcW w:w="1113" w:type="dxa"/>
            <w:shd w:val="clear" w:color="auto" w:fill="auto"/>
            <w:vAlign w:val="center"/>
          </w:tcPr>
          <w:p w14:paraId="18381676">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退出时间</w:t>
            </w:r>
          </w:p>
        </w:tc>
        <w:tc>
          <w:tcPr>
            <w:tcW w:w="1113" w:type="dxa"/>
            <w:shd w:val="clear" w:color="auto" w:fill="auto"/>
            <w:vAlign w:val="center"/>
          </w:tcPr>
          <w:p w14:paraId="21407693">
            <w:pPr>
              <w:pStyle w:val="2"/>
              <w:spacing w:line="240" w:lineRule="auto"/>
              <w:ind w:left="0" w:leftChars="0" w:firstLine="0" w:firstLineChars="0"/>
              <w:jc w:val="center"/>
              <w:rPr>
                <w:rFonts w:hint="eastAsia" w:ascii="Times New Roman" w:hAnsi="Times New Roman" w:eastAsia="仿宋_GB2312" w:cs="仿宋_GB2312"/>
                <w:b/>
                <w:bCs/>
                <w:kern w:val="2"/>
                <w:sz w:val="24"/>
                <w:szCs w:val="24"/>
                <w:vertAlign w:val="baseline"/>
                <w:lang w:val="en-US" w:eastAsia="zh-CN" w:bidi="ar-SA"/>
              </w:rPr>
            </w:pPr>
            <w:r>
              <w:rPr>
                <w:rFonts w:hint="eastAsia" w:ascii="Times New Roman" w:hAnsi="Times New Roman" w:eastAsia="仿宋_GB2312" w:cs="仿宋_GB2312"/>
                <w:b/>
                <w:bCs/>
                <w:sz w:val="24"/>
                <w:szCs w:val="24"/>
                <w:vertAlign w:val="baseline"/>
                <w:lang w:val="en-US" w:eastAsia="zh-CN"/>
              </w:rPr>
              <w:t>退出金额（万元）</w:t>
            </w:r>
          </w:p>
        </w:tc>
        <w:tc>
          <w:tcPr>
            <w:tcW w:w="1047" w:type="dxa"/>
            <w:shd w:val="clear" w:color="auto" w:fill="auto"/>
            <w:vAlign w:val="center"/>
          </w:tcPr>
          <w:p w14:paraId="44657F5D">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投资收益率</w:t>
            </w:r>
          </w:p>
        </w:tc>
        <w:tc>
          <w:tcPr>
            <w:tcW w:w="1047" w:type="dxa"/>
            <w:shd w:val="clear" w:color="auto" w:fill="auto"/>
            <w:vAlign w:val="center"/>
          </w:tcPr>
          <w:p w14:paraId="6B02B1BE">
            <w:pPr>
              <w:pStyle w:val="2"/>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团队主要成员参与角色</w:t>
            </w:r>
          </w:p>
        </w:tc>
      </w:tr>
      <w:tr w14:paraId="314A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00" w:type="dxa"/>
          </w:tcPr>
          <w:p w14:paraId="3468AEEF">
            <w:pPr>
              <w:rPr>
                <w:rFonts w:ascii="Times New Roman" w:hAnsi="Times New Roman" w:eastAsia="仿宋_GB2312" w:cs="Times New Roman"/>
                <w:sz w:val="32"/>
                <w:szCs w:val="32"/>
                <w:vertAlign w:val="baseline"/>
              </w:rPr>
            </w:pPr>
          </w:p>
        </w:tc>
        <w:tc>
          <w:tcPr>
            <w:tcW w:w="1124" w:type="dxa"/>
          </w:tcPr>
          <w:p w14:paraId="21508279">
            <w:pPr>
              <w:rPr>
                <w:rFonts w:ascii="Times New Roman" w:hAnsi="Times New Roman" w:eastAsia="仿宋_GB2312" w:cs="Times New Roman"/>
                <w:sz w:val="32"/>
                <w:szCs w:val="32"/>
                <w:vertAlign w:val="baseline"/>
              </w:rPr>
            </w:pPr>
          </w:p>
        </w:tc>
        <w:tc>
          <w:tcPr>
            <w:tcW w:w="944" w:type="dxa"/>
          </w:tcPr>
          <w:p w14:paraId="71118109">
            <w:pPr>
              <w:rPr>
                <w:rFonts w:ascii="Times New Roman" w:hAnsi="Times New Roman" w:eastAsia="仿宋_GB2312" w:cs="Times New Roman"/>
                <w:sz w:val="32"/>
                <w:szCs w:val="32"/>
                <w:vertAlign w:val="baseline"/>
              </w:rPr>
            </w:pPr>
          </w:p>
        </w:tc>
        <w:tc>
          <w:tcPr>
            <w:tcW w:w="1115" w:type="dxa"/>
          </w:tcPr>
          <w:p w14:paraId="16072C38">
            <w:pPr>
              <w:rPr>
                <w:rFonts w:ascii="Times New Roman" w:hAnsi="Times New Roman" w:eastAsia="仿宋_GB2312" w:cs="Times New Roman"/>
                <w:sz w:val="32"/>
                <w:szCs w:val="32"/>
                <w:vertAlign w:val="baseline"/>
              </w:rPr>
            </w:pPr>
          </w:p>
        </w:tc>
        <w:tc>
          <w:tcPr>
            <w:tcW w:w="1154" w:type="dxa"/>
          </w:tcPr>
          <w:p w14:paraId="52C93CCD">
            <w:pPr>
              <w:rPr>
                <w:rFonts w:ascii="Times New Roman" w:hAnsi="Times New Roman" w:eastAsia="仿宋_GB2312" w:cs="Times New Roman"/>
                <w:sz w:val="32"/>
                <w:szCs w:val="32"/>
                <w:vertAlign w:val="baseline"/>
              </w:rPr>
            </w:pPr>
          </w:p>
        </w:tc>
        <w:tc>
          <w:tcPr>
            <w:tcW w:w="1113" w:type="dxa"/>
          </w:tcPr>
          <w:p w14:paraId="1756BF62">
            <w:pPr>
              <w:rPr>
                <w:rFonts w:ascii="Times New Roman" w:hAnsi="Times New Roman" w:eastAsia="仿宋_GB2312" w:cs="Times New Roman"/>
                <w:sz w:val="32"/>
                <w:szCs w:val="32"/>
                <w:vertAlign w:val="baseline"/>
              </w:rPr>
            </w:pPr>
          </w:p>
        </w:tc>
        <w:tc>
          <w:tcPr>
            <w:tcW w:w="1113" w:type="dxa"/>
          </w:tcPr>
          <w:p w14:paraId="02D65F11">
            <w:pPr>
              <w:rPr>
                <w:rFonts w:ascii="Times New Roman" w:hAnsi="Times New Roman" w:eastAsia="仿宋_GB2312" w:cs="Times New Roman"/>
                <w:sz w:val="32"/>
                <w:szCs w:val="32"/>
                <w:vertAlign w:val="baseline"/>
              </w:rPr>
            </w:pPr>
          </w:p>
        </w:tc>
        <w:tc>
          <w:tcPr>
            <w:tcW w:w="1047" w:type="dxa"/>
          </w:tcPr>
          <w:p w14:paraId="123E4464">
            <w:pPr>
              <w:rPr>
                <w:rFonts w:ascii="Times New Roman" w:hAnsi="Times New Roman" w:eastAsia="仿宋_GB2312" w:cs="Times New Roman"/>
                <w:sz w:val="32"/>
                <w:szCs w:val="32"/>
                <w:vertAlign w:val="baseline"/>
              </w:rPr>
            </w:pPr>
          </w:p>
        </w:tc>
        <w:tc>
          <w:tcPr>
            <w:tcW w:w="1047" w:type="dxa"/>
          </w:tcPr>
          <w:p w14:paraId="506B4831">
            <w:pPr>
              <w:rPr>
                <w:rFonts w:ascii="Times New Roman" w:hAnsi="Times New Roman" w:eastAsia="仿宋_GB2312" w:cs="Times New Roman"/>
                <w:sz w:val="32"/>
                <w:szCs w:val="32"/>
                <w:vertAlign w:val="baseline"/>
              </w:rPr>
            </w:pPr>
          </w:p>
        </w:tc>
      </w:tr>
      <w:tr w14:paraId="11A8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00" w:type="dxa"/>
          </w:tcPr>
          <w:p w14:paraId="21042425">
            <w:pPr>
              <w:rPr>
                <w:rFonts w:ascii="Times New Roman" w:hAnsi="Times New Roman" w:eastAsia="仿宋_GB2312" w:cs="Times New Roman"/>
                <w:sz w:val="32"/>
                <w:szCs w:val="32"/>
                <w:vertAlign w:val="baseline"/>
              </w:rPr>
            </w:pPr>
          </w:p>
        </w:tc>
        <w:tc>
          <w:tcPr>
            <w:tcW w:w="1124" w:type="dxa"/>
          </w:tcPr>
          <w:p w14:paraId="4F0F5DD0">
            <w:pPr>
              <w:rPr>
                <w:rFonts w:ascii="Times New Roman" w:hAnsi="Times New Roman" w:eastAsia="仿宋_GB2312" w:cs="Times New Roman"/>
                <w:sz w:val="32"/>
                <w:szCs w:val="32"/>
                <w:vertAlign w:val="baseline"/>
              </w:rPr>
            </w:pPr>
          </w:p>
        </w:tc>
        <w:tc>
          <w:tcPr>
            <w:tcW w:w="944" w:type="dxa"/>
          </w:tcPr>
          <w:p w14:paraId="02EE4627">
            <w:pPr>
              <w:rPr>
                <w:rFonts w:ascii="Times New Roman" w:hAnsi="Times New Roman" w:eastAsia="仿宋_GB2312" w:cs="Times New Roman"/>
                <w:sz w:val="32"/>
                <w:szCs w:val="32"/>
                <w:vertAlign w:val="baseline"/>
              </w:rPr>
            </w:pPr>
          </w:p>
        </w:tc>
        <w:tc>
          <w:tcPr>
            <w:tcW w:w="1115" w:type="dxa"/>
          </w:tcPr>
          <w:p w14:paraId="2C5EF647">
            <w:pPr>
              <w:rPr>
                <w:rFonts w:ascii="Times New Roman" w:hAnsi="Times New Roman" w:eastAsia="仿宋_GB2312" w:cs="Times New Roman"/>
                <w:sz w:val="32"/>
                <w:szCs w:val="32"/>
                <w:vertAlign w:val="baseline"/>
              </w:rPr>
            </w:pPr>
          </w:p>
        </w:tc>
        <w:tc>
          <w:tcPr>
            <w:tcW w:w="1154" w:type="dxa"/>
          </w:tcPr>
          <w:p w14:paraId="1B19152C">
            <w:pPr>
              <w:rPr>
                <w:rFonts w:ascii="Times New Roman" w:hAnsi="Times New Roman" w:eastAsia="仿宋_GB2312" w:cs="Times New Roman"/>
                <w:sz w:val="32"/>
                <w:szCs w:val="32"/>
                <w:vertAlign w:val="baseline"/>
              </w:rPr>
            </w:pPr>
          </w:p>
        </w:tc>
        <w:tc>
          <w:tcPr>
            <w:tcW w:w="1113" w:type="dxa"/>
          </w:tcPr>
          <w:p w14:paraId="5417D238">
            <w:pPr>
              <w:rPr>
                <w:rFonts w:ascii="Times New Roman" w:hAnsi="Times New Roman" w:eastAsia="仿宋_GB2312" w:cs="Times New Roman"/>
                <w:sz w:val="32"/>
                <w:szCs w:val="32"/>
                <w:vertAlign w:val="baseline"/>
              </w:rPr>
            </w:pPr>
          </w:p>
        </w:tc>
        <w:tc>
          <w:tcPr>
            <w:tcW w:w="1113" w:type="dxa"/>
          </w:tcPr>
          <w:p w14:paraId="7B481EE0">
            <w:pPr>
              <w:rPr>
                <w:rFonts w:ascii="Times New Roman" w:hAnsi="Times New Roman" w:eastAsia="仿宋_GB2312" w:cs="Times New Roman"/>
                <w:sz w:val="32"/>
                <w:szCs w:val="32"/>
                <w:vertAlign w:val="baseline"/>
              </w:rPr>
            </w:pPr>
          </w:p>
        </w:tc>
        <w:tc>
          <w:tcPr>
            <w:tcW w:w="1047" w:type="dxa"/>
          </w:tcPr>
          <w:p w14:paraId="0CCFA3F3">
            <w:pPr>
              <w:rPr>
                <w:rFonts w:ascii="Times New Roman" w:hAnsi="Times New Roman" w:eastAsia="仿宋_GB2312" w:cs="Times New Roman"/>
                <w:sz w:val="32"/>
                <w:szCs w:val="32"/>
                <w:vertAlign w:val="baseline"/>
              </w:rPr>
            </w:pPr>
          </w:p>
        </w:tc>
        <w:tc>
          <w:tcPr>
            <w:tcW w:w="1047" w:type="dxa"/>
          </w:tcPr>
          <w:p w14:paraId="58F6FF49">
            <w:pPr>
              <w:rPr>
                <w:rFonts w:ascii="Times New Roman" w:hAnsi="Times New Roman" w:eastAsia="仿宋_GB2312" w:cs="Times New Roman"/>
                <w:sz w:val="32"/>
                <w:szCs w:val="32"/>
                <w:vertAlign w:val="baseline"/>
              </w:rPr>
            </w:pPr>
          </w:p>
        </w:tc>
      </w:tr>
      <w:tr w14:paraId="71EE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00" w:type="dxa"/>
          </w:tcPr>
          <w:p w14:paraId="3386A3A8">
            <w:pPr>
              <w:rPr>
                <w:rFonts w:ascii="Times New Roman" w:hAnsi="Times New Roman" w:eastAsia="仿宋_GB2312" w:cs="Times New Roman"/>
                <w:sz w:val="32"/>
                <w:szCs w:val="32"/>
                <w:vertAlign w:val="baseline"/>
              </w:rPr>
            </w:pPr>
          </w:p>
        </w:tc>
        <w:tc>
          <w:tcPr>
            <w:tcW w:w="1124" w:type="dxa"/>
          </w:tcPr>
          <w:p w14:paraId="61E067F3">
            <w:pPr>
              <w:rPr>
                <w:rFonts w:ascii="Times New Roman" w:hAnsi="Times New Roman" w:eastAsia="仿宋_GB2312" w:cs="Times New Roman"/>
                <w:sz w:val="32"/>
                <w:szCs w:val="32"/>
                <w:vertAlign w:val="baseline"/>
              </w:rPr>
            </w:pPr>
          </w:p>
        </w:tc>
        <w:tc>
          <w:tcPr>
            <w:tcW w:w="944" w:type="dxa"/>
          </w:tcPr>
          <w:p w14:paraId="2B38CC11">
            <w:pPr>
              <w:rPr>
                <w:rFonts w:ascii="Times New Roman" w:hAnsi="Times New Roman" w:eastAsia="仿宋_GB2312" w:cs="Times New Roman"/>
                <w:sz w:val="32"/>
                <w:szCs w:val="32"/>
                <w:vertAlign w:val="baseline"/>
              </w:rPr>
            </w:pPr>
          </w:p>
        </w:tc>
        <w:tc>
          <w:tcPr>
            <w:tcW w:w="1115" w:type="dxa"/>
          </w:tcPr>
          <w:p w14:paraId="6BAA16EE">
            <w:pPr>
              <w:rPr>
                <w:rFonts w:ascii="Times New Roman" w:hAnsi="Times New Roman" w:eastAsia="仿宋_GB2312" w:cs="Times New Roman"/>
                <w:sz w:val="32"/>
                <w:szCs w:val="32"/>
                <w:vertAlign w:val="baseline"/>
              </w:rPr>
            </w:pPr>
          </w:p>
        </w:tc>
        <w:tc>
          <w:tcPr>
            <w:tcW w:w="1154" w:type="dxa"/>
          </w:tcPr>
          <w:p w14:paraId="23FD02F4">
            <w:pPr>
              <w:rPr>
                <w:rFonts w:ascii="Times New Roman" w:hAnsi="Times New Roman" w:eastAsia="仿宋_GB2312" w:cs="Times New Roman"/>
                <w:sz w:val="32"/>
                <w:szCs w:val="32"/>
                <w:vertAlign w:val="baseline"/>
              </w:rPr>
            </w:pPr>
          </w:p>
        </w:tc>
        <w:tc>
          <w:tcPr>
            <w:tcW w:w="1113" w:type="dxa"/>
          </w:tcPr>
          <w:p w14:paraId="220FA751">
            <w:pPr>
              <w:rPr>
                <w:rFonts w:ascii="Times New Roman" w:hAnsi="Times New Roman" w:eastAsia="仿宋_GB2312" w:cs="Times New Roman"/>
                <w:sz w:val="32"/>
                <w:szCs w:val="32"/>
                <w:vertAlign w:val="baseline"/>
              </w:rPr>
            </w:pPr>
          </w:p>
        </w:tc>
        <w:tc>
          <w:tcPr>
            <w:tcW w:w="1113" w:type="dxa"/>
          </w:tcPr>
          <w:p w14:paraId="5CFBC45E">
            <w:pPr>
              <w:rPr>
                <w:rFonts w:ascii="Times New Roman" w:hAnsi="Times New Roman" w:eastAsia="仿宋_GB2312" w:cs="Times New Roman"/>
                <w:sz w:val="32"/>
                <w:szCs w:val="32"/>
                <w:vertAlign w:val="baseline"/>
              </w:rPr>
            </w:pPr>
          </w:p>
        </w:tc>
        <w:tc>
          <w:tcPr>
            <w:tcW w:w="1047" w:type="dxa"/>
          </w:tcPr>
          <w:p w14:paraId="7E9DA310">
            <w:pPr>
              <w:rPr>
                <w:rFonts w:ascii="Times New Roman" w:hAnsi="Times New Roman" w:eastAsia="仿宋_GB2312" w:cs="Times New Roman"/>
                <w:sz w:val="32"/>
                <w:szCs w:val="32"/>
                <w:vertAlign w:val="baseline"/>
              </w:rPr>
            </w:pPr>
          </w:p>
        </w:tc>
        <w:tc>
          <w:tcPr>
            <w:tcW w:w="1047" w:type="dxa"/>
          </w:tcPr>
          <w:p w14:paraId="69E9EBAE">
            <w:pPr>
              <w:rPr>
                <w:rFonts w:ascii="Times New Roman" w:hAnsi="Times New Roman" w:eastAsia="仿宋_GB2312" w:cs="Times New Roman"/>
                <w:sz w:val="32"/>
                <w:szCs w:val="32"/>
                <w:vertAlign w:val="baseline"/>
              </w:rPr>
            </w:pPr>
          </w:p>
        </w:tc>
      </w:tr>
      <w:tr w14:paraId="1FC8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00" w:type="dxa"/>
          </w:tcPr>
          <w:p w14:paraId="48966582">
            <w:pPr>
              <w:rPr>
                <w:rFonts w:ascii="Times New Roman" w:hAnsi="Times New Roman" w:eastAsia="仿宋_GB2312" w:cs="Times New Roman"/>
                <w:sz w:val="32"/>
                <w:szCs w:val="32"/>
                <w:vertAlign w:val="baseline"/>
              </w:rPr>
            </w:pPr>
          </w:p>
        </w:tc>
        <w:tc>
          <w:tcPr>
            <w:tcW w:w="1124" w:type="dxa"/>
          </w:tcPr>
          <w:p w14:paraId="538572B3">
            <w:pPr>
              <w:rPr>
                <w:rFonts w:ascii="Times New Roman" w:hAnsi="Times New Roman" w:eastAsia="仿宋_GB2312" w:cs="Times New Roman"/>
                <w:sz w:val="32"/>
                <w:szCs w:val="32"/>
                <w:vertAlign w:val="baseline"/>
              </w:rPr>
            </w:pPr>
          </w:p>
        </w:tc>
        <w:tc>
          <w:tcPr>
            <w:tcW w:w="944" w:type="dxa"/>
          </w:tcPr>
          <w:p w14:paraId="6A42C69A">
            <w:pPr>
              <w:rPr>
                <w:rFonts w:ascii="Times New Roman" w:hAnsi="Times New Roman" w:eastAsia="仿宋_GB2312" w:cs="Times New Roman"/>
                <w:sz w:val="32"/>
                <w:szCs w:val="32"/>
                <w:vertAlign w:val="baseline"/>
              </w:rPr>
            </w:pPr>
          </w:p>
        </w:tc>
        <w:tc>
          <w:tcPr>
            <w:tcW w:w="1115" w:type="dxa"/>
          </w:tcPr>
          <w:p w14:paraId="534DB5F7">
            <w:pPr>
              <w:rPr>
                <w:rFonts w:ascii="Times New Roman" w:hAnsi="Times New Roman" w:eastAsia="仿宋_GB2312" w:cs="Times New Roman"/>
                <w:sz w:val="32"/>
                <w:szCs w:val="32"/>
                <w:vertAlign w:val="baseline"/>
              </w:rPr>
            </w:pPr>
          </w:p>
        </w:tc>
        <w:tc>
          <w:tcPr>
            <w:tcW w:w="1154" w:type="dxa"/>
          </w:tcPr>
          <w:p w14:paraId="29915A41">
            <w:pPr>
              <w:rPr>
                <w:rFonts w:ascii="Times New Roman" w:hAnsi="Times New Roman" w:eastAsia="仿宋_GB2312" w:cs="Times New Roman"/>
                <w:sz w:val="32"/>
                <w:szCs w:val="32"/>
                <w:vertAlign w:val="baseline"/>
              </w:rPr>
            </w:pPr>
          </w:p>
        </w:tc>
        <w:tc>
          <w:tcPr>
            <w:tcW w:w="1113" w:type="dxa"/>
          </w:tcPr>
          <w:p w14:paraId="791933CA">
            <w:pPr>
              <w:rPr>
                <w:rFonts w:ascii="Times New Roman" w:hAnsi="Times New Roman" w:eastAsia="仿宋_GB2312" w:cs="Times New Roman"/>
                <w:sz w:val="32"/>
                <w:szCs w:val="32"/>
                <w:vertAlign w:val="baseline"/>
              </w:rPr>
            </w:pPr>
          </w:p>
        </w:tc>
        <w:tc>
          <w:tcPr>
            <w:tcW w:w="1113" w:type="dxa"/>
          </w:tcPr>
          <w:p w14:paraId="248FE0DE">
            <w:pPr>
              <w:rPr>
                <w:rFonts w:ascii="Times New Roman" w:hAnsi="Times New Roman" w:eastAsia="仿宋_GB2312" w:cs="Times New Roman"/>
                <w:sz w:val="32"/>
                <w:szCs w:val="32"/>
                <w:vertAlign w:val="baseline"/>
              </w:rPr>
            </w:pPr>
          </w:p>
        </w:tc>
        <w:tc>
          <w:tcPr>
            <w:tcW w:w="1047" w:type="dxa"/>
          </w:tcPr>
          <w:p w14:paraId="6CCD03AF">
            <w:pPr>
              <w:rPr>
                <w:rFonts w:ascii="Times New Roman" w:hAnsi="Times New Roman" w:eastAsia="仿宋_GB2312" w:cs="Times New Roman"/>
                <w:sz w:val="32"/>
                <w:szCs w:val="32"/>
                <w:vertAlign w:val="baseline"/>
              </w:rPr>
            </w:pPr>
          </w:p>
        </w:tc>
        <w:tc>
          <w:tcPr>
            <w:tcW w:w="1047" w:type="dxa"/>
          </w:tcPr>
          <w:p w14:paraId="329700D6">
            <w:pPr>
              <w:rPr>
                <w:rFonts w:ascii="Times New Roman" w:hAnsi="Times New Roman" w:eastAsia="仿宋_GB2312" w:cs="Times New Roman"/>
                <w:sz w:val="32"/>
                <w:szCs w:val="32"/>
                <w:vertAlign w:val="baseline"/>
              </w:rPr>
            </w:pPr>
          </w:p>
        </w:tc>
      </w:tr>
      <w:tr w14:paraId="57D0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00" w:type="dxa"/>
          </w:tcPr>
          <w:p w14:paraId="1A508770">
            <w:pPr>
              <w:rPr>
                <w:rFonts w:ascii="Times New Roman" w:hAnsi="Times New Roman" w:eastAsia="仿宋_GB2312" w:cs="Times New Roman"/>
                <w:sz w:val="32"/>
                <w:szCs w:val="32"/>
                <w:vertAlign w:val="baseline"/>
              </w:rPr>
            </w:pPr>
          </w:p>
        </w:tc>
        <w:tc>
          <w:tcPr>
            <w:tcW w:w="1124" w:type="dxa"/>
          </w:tcPr>
          <w:p w14:paraId="313580DA">
            <w:pPr>
              <w:rPr>
                <w:rFonts w:ascii="Times New Roman" w:hAnsi="Times New Roman" w:eastAsia="仿宋_GB2312" w:cs="Times New Roman"/>
                <w:sz w:val="32"/>
                <w:szCs w:val="32"/>
                <w:vertAlign w:val="baseline"/>
              </w:rPr>
            </w:pPr>
          </w:p>
        </w:tc>
        <w:tc>
          <w:tcPr>
            <w:tcW w:w="944" w:type="dxa"/>
          </w:tcPr>
          <w:p w14:paraId="064424E9">
            <w:pPr>
              <w:rPr>
                <w:rFonts w:ascii="Times New Roman" w:hAnsi="Times New Roman" w:eastAsia="仿宋_GB2312" w:cs="Times New Roman"/>
                <w:sz w:val="32"/>
                <w:szCs w:val="32"/>
                <w:vertAlign w:val="baseline"/>
              </w:rPr>
            </w:pPr>
          </w:p>
        </w:tc>
        <w:tc>
          <w:tcPr>
            <w:tcW w:w="1115" w:type="dxa"/>
          </w:tcPr>
          <w:p w14:paraId="4D7FF6B8">
            <w:pPr>
              <w:rPr>
                <w:rFonts w:ascii="Times New Roman" w:hAnsi="Times New Roman" w:eastAsia="仿宋_GB2312" w:cs="Times New Roman"/>
                <w:sz w:val="32"/>
                <w:szCs w:val="32"/>
                <w:vertAlign w:val="baseline"/>
              </w:rPr>
            </w:pPr>
          </w:p>
        </w:tc>
        <w:tc>
          <w:tcPr>
            <w:tcW w:w="1154" w:type="dxa"/>
          </w:tcPr>
          <w:p w14:paraId="011702C5">
            <w:pPr>
              <w:rPr>
                <w:rFonts w:ascii="Times New Roman" w:hAnsi="Times New Roman" w:eastAsia="仿宋_GB2312" w:cs="Times New Roman"/>
                <w:sz w:val="32"/>
                <w:szCs w:val="32"/>
                <w:vertAlign w:val="baseline"/>
              </w:rPr>
            </w:pPr>
          </w:p>
        </w:tc>
        <w:tc>
          <w:tcPr>
            <w:tcW w:w="1113" w:type="dxa"/>
          </w:tcPr>
          <w:p w14:paraId="5EA5A866">
            <w:pPr>
              <w:rPr>
                <w:rFonts w:ascii="Times New Roman" w:hAnsi="Times New Roman" w:eastAsia="仿宋_GB2312" w:cs="Times New Roman"/>
                <w:sz w:val="32"/>
                <w:szCs w:val="32"/>
                <w:vertAlign w:val="baseline"/>
              </w:rPr>
            </w:pPr>
          </w:p>
        </w:tc>
        <w:tc>
          <w:tcPr>
            <w:tcW w:w="1113" w:type="dxa"/>
          </w:tcPr>
          <w:p w14:paraId="617CF50A">
            <w:pPr>
              <w:rPr>
                <w:rFonts w:ascii="Times New Roman" w:hAnsi="Times New Roman" w:eastAsia="仿宋_GB2312" w:cs="Times New Roman"/>
                <w:sz w:val="32"/>
                <w:szCs w:val="32"/>
                <w:vertAlign w:val="baseline"/>
              </w:rPr>
            </w:pPr>
          </w:p>
        </w:tc>
        <w:tc>
          <w:tcPr>
            <w:tcW w:w="1047" w:type="dxa"/>
          </w:tcPr>
          <w:p w14:paraId="7B1D8355">
            <w:pPr>
              <w:rPr>
                <w:rFonts w:ascii="Times New Roman" w:hAnsi="Times New Roman" w:eastAsia="仿宋_GB2312" w:cs="Times New Roman"/>
                <w:sz w:val="32"/>
                <w:szCs w:val="32"/>
                <w:vertAlign w:val="baseline"/>
              </w:rPr>
            </w:pPr>
          </w:p>
        </w:tc>
        <w:tc>
          <w:tcPr>
            <w:tcW w:w="1047" w:type="dxa"/>
          </w:tcPr>
          <w:p w14:paraId="0EDA6133">
            <w:pPr>
              <w:rPr>
                <w:rFonts w:ascii="Times New Roman" w:hAnsi="Times New Roman" w:eastAsia="仿宋_GB2312" w:cs="Times New Roman"/>
                <w:sz w:val="32"/>
                <w:szCs w:val="32"/>
                <w:vertAlign w:val="baseline"/>
              </w:rPr>
            </w:pPr>
          </w:p>
        </w:tc>
      </w:tr>
    </w:tbl>
    <w:p w14:paraId="69EEF872">
      <w:pPr>
        <w:spacing w:line="560" w:lineRule="exact"/>
        <w:ind w:firstLine="640" w:firstLineChars="200"/>
        <w:outlineLvl w:val="0"/>
        <w:rPr>
          <w:rFonts w:hint="eastAsia" w:cs="Times New Roman"/>
          <w:sz w:val="32"/>
          <w:szCs w:val="32"/>
          <w:lang w:eastAsia="zh-CN"/>
        </w:rPr>
      </w:pPr>
      <w:r>
        <w:rPr>
          <w:rFonts w:ascii="Times New Roman" w:hAnsi="Times New Roman" w:eastAsia="仿宋_GB2312" w:cs="Times New Roman"/>
          <w:sz w:val="32"/>
          <w:szCs w:val="32"/>
        </w:rPr>
        <w:t>4.基金关键人安排</w:t>
      </w:r>
      <w:r>
        <w:rPr>
          <w:rFonts w:hint="eastAsia" w:cs="Times New Roman"/>
          <w:sz w:val="32"/>
          <w:szCs w:val="32"/>
          <w:lang w:eastAsia="zh-CN"/>
        </w:rPr>
        <w:t>。</w:t>
      </w:r>
    </w:p>
    <w:p w14:paraId="2D0DB686">
      <w:pPr>
        <w:spacing w:line="560" w:lineRule="exact"/>
        <w:ind w:firstLine="640" w:firstLineChars="200"/>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五、基金管理和运行</w:t>
      </w:r>
    </w:p>
    <w:p w14:paraId="022009E6">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（一）基金治理架构：</w:t>
      </w:r>
      <w:r>
        <w:rPr>
          <w:rFonts w:hint="eastAsia" w:ascii="Times New Roman" w:hAnsi="Times New Roman" w:eastAsia="仿宋_GB2312" w:cs="Times New Roman"/>
          <w:sz w:val="32"/>
          <w:szCs w:val="32"/>
        </w:rPr>
        <w:t>基金股东会与董事会、合伙人会议与投资决策委员会、咨询委员会（如有）权责划分。</w:t>
      </w:r>
    </w:p>
    <w:p w14:paraId="22288084">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（二）基金投资策略：</w:t>
      </w:r>
      <w:r>
        <w:rPr>
          <w:rFonts w:hint="eastAsia" w:ascii="Times New Roman" w:hAnsi="Times New Roman" w:eastAsia="仿宋_GB2312" w:cs="Times New Roman"/>
          <w:sz w:val="32"/>
          <w:szCs w:val="32"/>
        </w:rPr>
        <w:t>说明投资领域、阶段、地域、限制、闲置资金使用等。</w:t>
      </w:r>
    </w:p>
    <w:p w14:paraId="06D71822">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（三）项目遴选程序：</w:t>
      </w:r>
      <w:r>
        <w:rPr>
          <w:rFonts w:hint="eastAsia" w:ascii="Times New Roman" w:hAnsi="Times New Roman" w:eastAsia="仿宋_GB2312" w:cs="Times New Roman"/>
          <w:sz w:val="32"/>
          <w:szCs w:val="32"/>
        </w:rPr>
        <w:t>结合基金投资方向及团队构成特点，说明项目来源、项目遴选机制。</w:t>
      </w:r>
    </w:p>
    <w:p w14:paraId="04C5821C">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（四）投资决策机制：</w:t>
      </w:r>
      <w:r>
        <w:rPr>
          <w:rFonts w:hint="eastAsia" w:ascii="Times New Roman" w:hAnsi="Times New Roman" w:eastAsia="仿宋_GB2312" w:cs="Times New Roman"/>
          <w:sz w:val="32"/>
          <w:szCs w:val="32"/>
        </w:rPr>
        <w:t>详细说明决策机构的组成、决策方式、决策程序、表决机制、关联交易处理方式、种子基金相关权益的特别约定等。</w:t>
      </w:r>
    </w:p>
    <w:p w14:paraId="281D10AA">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（五）增值服务:</w:t>
      </w:r>
      <w:r>
        <w:rPr>
          <w:rFonts w:ascii="Times New Roman" w:hAnsi="Times New Roman" w:eastAsia="仿宋_GB2312" w:cs="Times New Roman"/>
          <w:sz w:val="32"/>
          <w:szCs w:val="32"/>
        </w:rPr>
        <w:t>结合基金投资方向及团队构成特点，详细说明所能提供的增值服务，并举例说明。</w:t>
      </w:r>
    </w:p>
    <w:p w14:paraId="7E150ED7">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（六）风险防范：</w:t>
      </w:r>
      <w:r>
        <w:rPr>
          <w:rFonts w:hint="eastAsia" w:ascii="Times New Roman" w:hAnsi="Times New Roman" w:eastAsia="仿宋_GB2312" w:cs="Times New Roman"/>
          <w:sz w:val="32"/>
          <w:szCs w:val="32"/>
        </w:rPr>
        <w:t>结合基金投资方向及团队构成特点，列出子基金可能出现的风险，并对可能出现的风险提出应对措施。</w:t>
      </w:r>
    </w:p>
    <w:p w14:paraId="08E73A15">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（七）投资退出：</w:t>
      </w:r>
      <w:r>
        <w:rPr>
          <w:rFonts w:hint="eastAsia" w:ascii="Times New Roman" w:hAnsi="Times New Roman" w:eastAsia="仿宋_GB2312" w:cs="Times New Roman"/>
          <w:sz w:val="32"/>
          <w:szCs w:val="32"/>
        </w:rPr>
        <w:t>结合基金投资方向及团队构成特点说明退出策略。</w:t>
      </w:r>
    </w:p>
    <w:p w14:paraId="29ABE15E">
      <w:pPr>
        <w:spacing w:line="560" w:lineRule="exact"/>
        <w:ind w:firstLine="640" w:firstLineChars="200"/>
        <w:outlineLvl w:val="0"/>
        <w:rPr>
          <w:rFonts w:hint="eastAsia" w:ascii="Times New Roman" w:hAnsi="Times New Roman" w:eastAsia="黑体" w:cs="Times New Roman"/>
          <w:sz w:val="32"/>
          <w:szCs w:val="32"/>
        </w:rPr>
        <w:sectPr>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黑体" w:cs="Times New Roman"/>
          <w:sz w:val="32"/>
          <w:szCs w:val="32"/>
        </w:rPr>
        <w:t>六、项目储备情况</w:t>
      </w:r>
    </w:p>
    <w:p w14:paraId="41F18D4B">
      <w:pPr>
        <w:spacing w:line="560"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应包含项目</w:t>
      </w:r>
      <w:r>
        <w:rPr>
          <w:rFonts w:hint="eastAsia" w:cs="Times New Roman"/>
          <w:sz w:val="32"/>
          <w:szCs w:val="32"/>
          <w:lang w:val="en-US" w:eastAsia="zh-CN"/>
        </w:rPr>
        <w:t>名</w:t>
      </w:r>
      <w:r>
        <w:rPr>
          <w:rFonts w:hint="eastAsia" w:ascii="Times New Roman" w:hAnsi="Times New Roman" w:eastAsia="仿宋_GB2312" w:cs="Times New Roman"/>
          <w:sz w:val="32"/>
          <w:szCs w:val="32"/>
        </w:rPr>
        <w:t>称、项目成立时间、项目领域、项目注册地、项目简介和亮点、项目创始团队情况、计划投资金额、投资轮次等信息。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385"/>
        <w:gridCol w:w="1274"/>
        <w:gridCol w:w="1282"/>
        <w:gridCol w:w="1584"/>
        <w:gridCol w:w="1419"/>
        <w:gridCol w:w="1625"/>
        <w:gridCol w:w="1318"/>
        <w:gridCol w:w="1284"/>
        <w:gridCol w:w="1284"/>
      </w:tblGrid>
      <w:tr w14:paraId="5924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1051A81">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序号</w:t>
            </w:r>
          </w:p>
        </w:tc>
        <w:tc>
          <w:tcPr>
            <w:tcW w:w="1385" w:type="dxa"/>
            <w:shd w:val="clear" w:color="auto" w:fill="auto"/>
            <w:vAlign w:val="center"/>
          </w:tcPr>
          <w:p w14:paraId="6A515267">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项目名称</w:t>
            </w:r>
          </w:p>
        </w:tc>
        <w:tc>
          <w:tcPr>
            <w:tcW w:w="1274" w:type="dxa"/>
            <w:shd w:val="clear" w:color="auto" w:fill="auto"/>
            <w:vAlign w:val="center"/>
          </w:tcPr>
          <w:p w14:paraId="0A8E225C">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成立时间</w:t>
            </w:r>
          </w:p>
        </w:tc>
        <w:tc>
          <w:tcPr>
            <w:tcW w:w="1282" w:type="dxa"/>
            <w:shd w:val="clear" w:color="auto" w:fill="auto"/>
            <w:vAlign w:val="center"/>
          </w:tcPr>
          <w:p w14:paraId="0DE2595B">
            <w:pPr>
              <w:pStyle w:val="2"/>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行业领域</w:t>
            </w:r>
          </w:p>
        </w:tc>
        <w:tc>
          <w:tcPr>
            <w:tcW w:w="1584" w:type="dxa"/>
            <w:shd w:val="clear" w:color="auto" w:fill="auto"/>
            <w:vAlign w:val="center"/>
          </w:tcPr>
          <w:p w14:paraId="2A92DEA7">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（拟）注册地</w:t>
            </w:r>
          </w:p>
        </w:tc>
        <w:tc>
          <w:tcPr>
            <w:tcW w:w="1419" w:type="dxa"/>
            <w:shd w:val="clear" w:color="auto" w:fill="auto"/>
            <w:vAlign w:val="center"/>
          </w:tcPr>
          <w:p w14:paraId="0D7DBA7D">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项目简介及亮点</w:t>
            </w:r>
          </w:p>
        </w:tc>
        <w:tc>
          <w:tcPr>
            <w:tcW w:w="1625" w:type="dxa"/>
            <w:shd w:val="clear" w:color="auto" w:fill="auto"/>
            <w:vAlign w:val="center"/>
          </w:tcPr>
          <w:p w14:paraId="5502DF28">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创始团队情况（含人才团队持股比例）</w:t>
            </w:r>
          </w:p>
        </w:tc>
        <w:tc>
          <w:tcPr>
            <w:tcW w:w="1318" w:type="dxa"/>
            <w:shd w:val="clear" w:color="auto" w:fill="auto"/>
            <w:vAlign w:val="center"/>
          </w:tcPr>
          <w:p w14:paraId="409E29E3">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拟投金额（万元）</w:t>
            </w:r>
          </w:p>
        </w:tc>
        <w:tc>
          <w:tcPr>
            <w:tcW w:w="1284" w:type="dxa"/>
            <w:shd w:val="clear" w:color="auto" w:fill="auto"/>
            <w:vAlign w:val="center"/>
          </w:tcPr>
          <w:p w14:paraId="6782EE7F">
            <w:pPr>
              <w:pStyle w:val="2"/>
              <w:spacing w:line="240" w:lineRule="auto"/>
              <w:ind w:left="0" w:leftChars="0" w:firstLine="0" w:firstLineChars="0"/>
              <w:jc w:val="center"/>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投资轮次</w:t>
            </w:r>
          </w:p>
        </w:tc>
        <w:tc>
          <w:tcPr>
            <w:tcW w:w="1284" w:type="dxa"/>
            <w:shd w:val="clear" w:color="auto" w:fill="auto"/>
            <w:vAlign w:val="center"/>
          </w:tcPr>
          <w:p w14:paraId="60FF1C6A">
            <w:pPr>
              <w:pStyle w:val="2"/>
              <w:spacing w:line="240" w:lineRule="auto"/>
              <w:ind w:left="0" w:leftChars="0" w:firstLine="0" w:firstLineChars="0"/>
              <w:jc w:val="center"/>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落地意向</w:t>
            </w:r>
          </w:p>
        </w:tc>
      </w:tr>
      <w:tr w14:paraId="68F2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2C72DDAD">
            <w:pPr>
              <w:spacing w:line="240" w:lineRule="auto"/>
              <w:rPr>
                <w:rFonts w:hint="eastAsia" w:ascii="Times New Roman" w:hAnsi="Times New Roman" w:eastAsia="仿宋_GB2312" w:cs="Times New Roman"/>
                <w:sz w:val="32"/>
                <w:szCs w:val="32"/>
                <w:vertAlign w:val="baseline"/>
              </w:rPr>
            </w:pPr>
          </w:p>
        </w:tc>
        <w:tc>
          <w:tcPr>
            <w:tcW w:w="1385" w:type="dxa"/>
          </w:tcPr>
          <w:p w14:paraId="3F3F105F">
            <w:pPr>
              <w:spacing w:line="240" w:lineRule="auto"/>
              <w:rPr>
                <w:rFonts w:hint="eastAsia" w:ascii="Times New Roman" w:hAnsi="Times New Roman" w:eastAsia="仿宋_GB2312" w:cs="Times New Roman"/>
                <w:sz w:val="32"/>
                <w:szCs w:val="32"/>
                <w:vertAlign w:val="baseline"/>
              </w:rPr>
            </w:pPr>
          </w:p>
        </w:tc>
        <w:tc>
          <w:tcPr>
            <w:tcW w:w="1274" w:type="dxa"/>
          </w:tcPr>
          <w:p w14:paraId="74A984D5">
            <w:pPr>
              <w:spacing w:line="240" w:lineRule="auto"/>
              <w:rPr>
                <w:rFonts w:hint="eastAsia" w:ascii="Times New Roman" w:hAnsi="Times New Roman" w:eastAsia="仿宋_GB2312" w:cs="Times New Roman"/>
                <w:sz w:val="32"/>
                <w:szCs w:val="32"/>
                <w:vertAlign w:val="baseline"/>
              </w:rPr>
            </w:pPr>
          </w:p>
        </w:tc>
        <w:tc>
          <w:tcPr>
            <w:tcW w:w="1282" w:type="dxa"/>
          </w:tcPr>
          <w:p w14:paraId="2F4F2379">
            <w:pPr>
              <w:spacing w:line="240" w:lineRule="auto"/>
              <w:rPr>
                <w:rFonts w:hint="eastAsia" w:ascii="Times New Roman" w:hAnsi="Times New Roman" w:eastAsia="仿宋_GB2312" w:cs="Times New Roman"/>
                <w:sz w:val="32"/>
                <w:szCs w:val="32"/>
                <w:vertAlign w:val="baseline"/>
              </w:rPr>
            </w:pPr>
          </w:p>
        </w:tc>
        <w:tc>
          <w:tcPr>
            <w:tcW w:w="1584" w:type="dxa"/>
          </w:tcPr>
          <w:p w14:paraId="2CE0EEEB">
            <w:pPr>
              <w:spacing w:line="240" w:lineRule="auto"/>
              <w:rPr>
                <w:rFonts w:hint="eastAsia" w:ascii="Times New Roman" w:hAnsi="Times New Roman" w:eastAsia="仿宋_GB2312" w:cs="Times New Roman"/>
                <w:sz w:val="32"/>
                <w:szCs w:val="32"/>
                <w:vertAlign w:val="baseline"/>
              </w:rPr>
            </w:pPr>
          </w:p>
        </w:tc>
        <w:tc>
          <w:tcPr>
            <w:tcW w:w="1419" w:type="dxa"/>
          </w:tcPr>
          <w:p w14:paraId="4A902A69">
            <w:pPr>
              <w:spacing w:line="240" w:lineRule="auto"/>
              <w:rPr>
                <w:rFonts w:hint="eastAsia" w:ascii="Times New Roman" w:hAnsi="Times New Roman" w:eastAsia="仿宋_GB2312" w:cs="Times New Roman"/>
                <w:sz w:val="32"/>
                <w:szCs w:val="32"/>
                <w:vertAlign w:val="baseline"/>
              </w:rPr>
            </w:pPr>
          </w:p>
        </w:tc>
        <w:tc>
          <w:tcPr>
            <w:tcW w:w="1625" w:type="dxa"/>
          </w:tcPr>
          <w:p w14:paraId="3ECEE936">
            <w:pPr>
              <w:spacing w:line="240" w:lineRule="auto"/>
              <w:rPr>
                <w:rFonts w:hint="eastAsia" w:ascii="Times New Roman" w:hAnsi="Times New Roman" w:eastAsia="仿宋_GB2312" w:cs="Times New Roman"/>
                <w:sz w:val="32"/>
                <w:szCs w:val="32"/>
                <w:vertAlign w:val="baseline"/>
              </w:rPr>
            </w:pPr>
          </w:p>
        </w:tc>
        <w:tc>
          <w:tcPr>
            <w:tcW w:w="1318" w:type="dxa"/>
          </w:tcPr>
          <w:p w14:paraId="7E1C6717">
            <w:pPr>
              <w:spacing w:line="240" w:lineRule="auto"/>
              <w:rPr>
                <w:rFonts w:hint="eastAsia" w:ascii="Times New Roman" w:hAnsi="Times New Roman" w:eastAsia="仿宋_GB2312" w:cs="Times New Roman"/>
                <w:sz w:val="32"/>
                <w:szCs w:val="32"/>
                <w:vertAlign w:val="baseline"/>
              </w:rPr>
            </w:pPr>
          </w:p>
        </w:tc>
        <w:tc>
          <w:tcPr>
            <w:tcW w:w="1284" w:type="dxa"/>
          </w:tcPr>
          <w:p w14:paraId="369D4632">
            <w:pPr>
              <w:spacing w:line="240" w:lineRule="auto"/>
              <w:rPr>
                <w:rFonts w:hint="eastAsia" w:ascii="Times New Roman" w:hAnsi="Times New Roman" w:eastAsia="仿宋_GB2312" w:cs="Times New Roman"/>
                <w:sz w:val="32"/>
                <w:szCs w:val="32"/>
                <w:vertAlign w:val="baseline"/>
              </w:rPr>
            </w:pPr>
          </w:p>
        </w:tc>
        <w:tc>
          <w:tcPr>
            <w:tcW w:w="1284" w:type="dxa"/>
          </w:tcPr>
          <w:p w14:paraId="5A7BD2CF">
            <w:pPr>
              <w:spacing w:line="240" w:lineRule="auto"/>
              <w:rPr>
                <w:rFonts w:hint="eastAsia" w:ascii="Times New Roman" w:hAnsi="Times New Roman" w:eastAsia="仿宋_GB2312" w:cs="Times New Roman"/>
                <w:sz w:val="32"/>
                <w:szCs w:val="32"/>
                <w:vertAlign w:val="baseline"/>
              </w:rPr>
            </w:pPr>
          </w:p>
        </w:tc>
      </w:tr>
      <w:tr w14:paraId="5221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44978E7C">
            <w:pPr>
              <w:spacing w:line="240" w:lineRule="auto"/>
              <w:rPr>
                <w:rFonts w:hint="eastAsia" w:ascii="Times New Roman" w:hAnsi="Times New Roman" w:eastAsia="仿宋_GB2312" w:cs="Times New Roman"/>
                <w:sz w:val="32"/>
                <w:szCs w:val="32"/>
                <w:vertAlign w:val="baseline"/>
              </w:rPr>
            </w:pPr>
          </w:p>
        </w:tc>
        <w:tc>
          <w:tcPr>
            <w:tcW w:w="1385" w:type="dxa"/>
          </w:tcPr>
          <w:p w14:paraId="7817C72D">
            <w:pPr>
              <w:spacing w:line="240" w:lineRule="auto"/>
              <w:rPr>
                <w:rFonts w:hint="eastAsia" w:ascii="Times New Roman" w:hAnsi="Times New Roman" w:eastAsia="仿宋_GB2312" w:cs="Times New Roman"/>
                <w:sz w:val="32"/>
                <w:szCs w:val="32"/>
                <w:vertAlign w:val="baseline"/>
              </w:rPr>
            </w:pPr>
          </w:p>
        </w:tc>
        <w:tc>
          <w:tcPr>
            <w:tcW w:w="1274" w:type="dxa"/>
          </w:tcPr>
          <w:p w14:paraId="4B44D506">
            <w:pPr>
              <w:spacing w:line="240" w:lineRule="auto"/>
              <w:rPr>
                <w:rFonts w:hint="eastAsia" w:ascii="Times New Roman" w:hAnsi="Times New Roman" w:eastAsia="仿宋_GB2312" w:cs="Times New Roman"/>
                <w:sz w:val="32"/>
                <w:szCs w:val="32"/>
                <w:vertAlign w:val="baseline"/>
              </w:rPr>
            </w:pPr>
          </w:p>
        </w:tc>
        <w:tc>
          <w:tcPr>
            <w:tcW w:w="1282" w:type="dxa"/>
          </w:tcPr>
          <w:p w14:paraId="1F41A781">
            <w:pPr>
              <w:spacing w:line="240" w:lineRule="auto"/>
              <w:rPr>
                <w:rFonts w:hint="eastAsia" w:ascii="Times New Roman" w:hAnsi="Times New Roman" w:eastAsia="仿宋_GB2312" w:cs="Times New Roman"/>
                <w:sz w:val="32"/>
                <w:szCs w:val="32"/>
                <w:vertAlign w:val="baseline"/>
              </w:rPr>
            </w:pPr>
          </w:p>
        </w:tc>
        <w:tc>
          <w:tcPr>
            <w:tcW w:w="1584" w:type="dxa"/>
          </w:tcPr>
          <w:p w14:paraId="14ECA6FF">
            <w:pPr>
              <w:spacing w:line="240" w:lineRule="auto"/>
              <w:rPr>
                <w:rFonts w:hint="eastAsia" w:ascii="Times New Roman" w:hAnsi="Times New Roman" w:eastAsia="仿宋_GB2312" w:cs="Times New Roman"/>
                <w:sz w:val="32"/>
                <w:szCs w:val="32"/>
                <w:vertAlign w:val="baseline"/>
              </w:rPr>
            </w:pPr>
          </w:p>
        </w:tc>
        <w:tc>
          <w:tcPr>
            <w:tcW w:w="1419" w:type="dxa"/>
          </w:tcPr>
          <w:p w14:paraId="66CBF53D">
            <w:pPr>
              <w:spacing w:line="240" w:lineRule="auto"/>
              <w:rPr>
                <w:rFonts w:hint="eastAsia" w:ascii="Times New Roman" w:hAnsi="Times New Roman" w:eastAsia="仿宋_GB2312" w:cs="Times New Roman"/>
                <w:sz w:val="32"/>
                <w:szCs w:val="32"/>
                <w:vertAlign w:val="baseline"/>
              </w:rPr>
            </w:pPr>
          </w:p>
        </w:tc>
        <w:tc>
          <w:tcPr>
            <w:tcW w:w="1625" w:type="dxa"/>
          </w:tcPr>
          <w:p w14:paraId="3CC4C0DB">
            <w:pPr>
              <w:spacing w:line="240" w:lineRule="auto"/>
              <w:rPr>
                <w:rFonts w:hint="eastAsia" w:ascii="Times New Roman" w:hAnsi="Times New Roman" w:eastAsia="仿宋_GB2312" w:cs="Times New Roman"/>
                <w:sz w:val="32"/>
                <w:szCs w:val="32"/>
                <w:vertAlign w:val="baseline"/>
              </w:rPr>
            </w:pPr>
          </w:p>
        </w:tc>
        <w:tc>
          <w:tcPr>
            <w:tcW w:w="1318" w:type="dxa"/>
          </w:tcPr>
          <w:p w14:paraId="748F6DEF">
            <w:pPr>
              <w:spacing w:line="240" w:lineRule="auto"/>
              <w:rPr>
                <w:rFonts w:hint="eastAsia" w:ascii="Times New Roman" w:hAnsi="Times New Roman" w:eastAsia="仿宋_GB2312" w:cs="Times New Roman"/>
                <w:sz w:val="32"/>
                <w:szCs w:val="32"/>
                <w:vertAlign w:val="baseline"/>
              </w:rPr>
            </w:pPr>
          </w:p>
        </w:tc>
        <w:tc>
          <w:tcPr>
            <w:tcW w:w="1284" w:type="dxa"/>
          </w:tcPr>
          <w:p w14:paraId="018F1408">
            <w:pPr>
              <w:spacing w:line="240" w:lineRule="auto"/>
              <w:rPr>
                <w:rFonts w:hint="eastAsia" w:ascii="Times New Roman" w:hAnsi="Times New Roman" w:eastAsia="仿宋_GB2312" w:cs="Times New Roman"/>
                <w:sz w:val="32"/>
                <w:szCs w:val="32"/>
                <w:vertAlign w:val="baseline"/>
              </w:rPr>
            </w:pPr>
          </w:p>
        </w:tc>
        <w:tc>
          <w:tcPr>
            <w:tcW w:w="1284" w:type="dxa"/>
          </w:tcPr>
          <w:p w14:paraId="4905F039">
            <w:pPr>
              <w:spacing w:line="240" w:lineRule="auto"/>
              <w:rPr>
                <w:rFonts w:hint="eastAsia" w:ascii="Times New Roman" w:hAnsi="Times New Roman" w:eastAsia="仿宋_GB2312" w:cs="Times New Roman"/>
                <w:sz w:val="32"/>
                <w:szCs w:val="32"/>
                <w:vertAlign w:val="baseline"/>
              </w:rPr>
            </w:pPr>
          </w:p>
        </w:tc>
      </w:tr>
      <w:tr w14:paraId="5510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3FE806B3">
            <w:pPr>
              <w:spacing w:line="240" w:lineRule="auto"/>
              <w:rPr>
                <w:rFonts w:hint="eastAsia" w:ascii="Times New Roman" w:hAnsi="Times New Roman" w:eastAsia="仿宋_GB2312" w:cs="Times New Roman"/>
                <w:sz w:val="32"/>
                <w:szCs w:val="32"/>
                <w:vertAlign w:val="baseline"/>
              </w:rPr>
            </w:pPr>
          </w:p>
        </w:tc>
        <w:tc>
          <w:tcPr>
            <w:tcW w:w="1385" w:type="dxa"/>
          </w:tcPr>
          <w:p w14:paraId="67AF8936">
            <w:pPr>
              <w:spacing w:line="240" w:lineRule="auto"/>
              <w:rPr>
                <w:rFonts w:hint="eastAsia" w:ascii="Times New Roman" w:hAnsi="Times New Roman" w:eastAsia="仿宋_GB2312" w:cs="Times New Roman"/>
                <w:sz w:val="32"/>
                <w:szCs w:val="32"/>
                <w:vertAlign w:val="baseline"/>
              </w:rPr>
            </w:pPr>
          </w:p>
        </w:tc>
        <w:tc>
          <w:tcPr>
            <w:tcW w:w="1274" w:type="dxa"/>
          </w:tcPr>
          <w:p w14:paraId="71008568">
            <w:pPr>
              <w:spacing w:line="240" w:lineRule="auto"/>
              <w:rPr>
                <w:rFonts w:hint="eastAsia" w:ascii="Times New Roman" w:hAnsi="Times New Roman" w:eastAsia="仿宋_GB2312" w:cs="Times New Roman"/>
                <w:sz w:val="32"/>
                <w:szCs w:val="32"/>
                <w:vertAlign w:val="baseline"/>
              </w:rPr>
            </w:pPr>
          </w:p>
        </w:tc>
        <w:tc>
          <w:tcPr>
            <w:tcW w:w="1282" w:type="dxa"/>
          </w:tcPr>
          <w:p w14:paraId="644AE864">
            <w:pPr>
              <w:spacing w:line="240" w:lineRule="auto"/>
              <w:rPr>
                <w:rFonts w:hint="eastAsia" w:ascii="Times New Roman" w:hAnsi="Times New Roman" w:eastAsia="仿宋_GB2312" w:cs="Times New Roman"/>
                <w:sz w:val="32"/>
                <w:szCs w:val="32"/>
                <w:vertAlign w:val="baseline"/>
              </w:rPr>
            </w:pPr>
          </w:p>
        </w:tc>
        <w:tc>
          <w:tcPr>
            <w:tcW w:w="1584" w:type="dxa"/>
          </w:tcPr>
          <w:p w14:paraId="20F6FDA2">
            <w:pPr>
              <w:spacing w:line="240" w:lineRule="auto"/>
              <w:rPr>
                <w:rFonts w:hint="eastAsia" w:ascii="Times New Roman" w:hAnsi="Times New Roman" w:eastAsia="仿宋_GB2312" w:cs="Times New Roman"/>
                <w:sz w:val="32"/>
                <w:szCs w:val="32"/>
                <w:vertAlign w:val="baseline"/>
              </w:rPr>
            </w:pPr>
          </w:p>
        </w:tc>
        <w:tc>
          <w:tcPr>
            <w:tcW w:w="1419" w:type="dxa"/>
          </w:tcPr>
          <w:p w14:paraId="660C473A">
            <w:pPr>
              <w:spacing w:line="240" w:lineRule="auto"/>
              <w:rPr>
                <w:rFonts w:hint="eastAsia" w:ascii="Times New Roman" w:hAnsi="Times New Roman" w:eastAsia="仿宋_GB2312" w:cs="Times New Roman"/>
                <w:sz w:val="32"/>
                <w:szCs w:val="32"/>
                <w:vertAlign w:val="baseline"/>
              </w:rPr>
            </w:pPr>
          </w:p>
        </w:tc>
        <w:tc>
          <w:tcPr>
            <w:tcW w:w="1625" w:type="dxa"/>
          </w:tcPr>
          <w:p w14:paraId="2DC9D98C">
            <w:pPr>
              <w:spacing w:line="240" w:lineRule="auto"/>
              <w:rPr>
                <w:rFonts w:hint="eastAsia" w:ascii="Times New Roman" w:hAnsi="Times New Roman" w:eastAsia="仿宋_GB2312" w:cs="Times New Roman"/>
                <w:sz w:val="32"/>
                <w:szCs w:val="32"/>
                <w:vertAlign w:val="baseline"/>
              </w:rPr>
            </w:pPr>
          </w:p>
        </w:tc>
        <w:tc>
          <w:tcPr>
            <w:tcW w:w="1318" w:type="dxa"/>
          </w:tcPr>
          <w:p w14:paraId="3B3E674D">
            <w:pPr>
              <w:spacing w:line="240" w:lineRule="auto"/>
              <w:rPr>
                <w:rFonts w:hint="eastAsia" w:ascii="Times New Roman" w:hAnsi="Times New Roman" w:eastAsia="仿宋_GB2312" w:cs="Times New Roman"/>
                <w:sz w:val="32"/>
                <w:szCs w:val="32"/>
                <w:vertAlign w:val="baseline"/>
              </w:rPr>
            </w:pPr>
          </w:p>
        </w:tc>
        <w:tc>
          <w:tcPr>
            <w:tcW w:w="1284" w:type="dxa"/>
          </w:tcPr>
          <w:p w14:paraId="227A056D">
            <w:pPr>
              <w:spacing w:line="240" w:lineRule="auto"/>
              <w:rPr>
                <w:rFonts w:hint="eastAsia" w:ascii="Times New Roman" w:hAnsi="Times New Roman" w:eastAsia="仿宋_GB2312" w:cs="Times New Roman"/>
                <w:sz w:val="32"/>
                <w:szCs w:val="32"/>
                <w:vertAlign w:val="baseline"/>
              </w:rPr>
            </w:pPr>
          </w:p>
        </w:tc>
        <w:tc>
          <w:tcPr>
            <w:tcW w:w="1284" w:type="dxa"/>
          </w:tcPr>
          <w:p w14:paraId="16B914C8">
            <w:pPr>
              <w:spacing w:line="240" w:lineRule="auto"/>
              <w:rPr>
                <w:rFonts w:hint="eastAsia" w:ascii="Times New Roman" w:hAnsi="Times New Roman" w:eastAsia="仿宋_GB2312" w:cs="Times New Roman"/>
                <w:sz w:val="32"/>
                <w:szCs w:val="32"/>
                <w:vertAlign w:val="baseline"/>
              </w:rPr>
            </w:pPr>
          </w:p>
        </w:tc>
      </w:tr>
      <w:tr w14:paraId="25F0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3A41D0F1">
            <w:pPr>
              <w:spacing w:line="240" w:lineRule="auto"/>
              <w:rPr>
                <w:rFonts w:hint="eastAsia" w:ascii="Times New Roman" w:hAnsi="Times New Roman" w:eastAsia="仿宋_GB2312" w:cs="Times New Roman"/>
                <w:sz w:val="32"/>
                <w:szCs w:val="32"/>
                <w:vertAlign w:val="baseline"/>
              </w:rPr>
            </w:pPr>
          </w:p>
        </w:tc>
        <w:tc>
          <w:tcPr>
            <w:tcW w:w="1385" w:type="dxa"/>
          </w:tcPr>
          <w:p w14:paraId="055814B6">
            <w:pPr>
              <w:spacing w:line="240" w:lineRule="auto"/>
              <w:rPr>
                <w:rFonts w:hint="eastAsia" w:ascii="Times New Roman" w:hAnsi="Times New Roman" w:eastAsia="仿宋_GB2312" w:cs="Times New Roman"/>
                <w:sz w:val="32"/>
                <w:szCs w:val="32"/>
                <w:vertAlign w:val="baseline"/>
              </w:rPr>
            </w:pPr>
          </w:p>
        </w:tc>
        <w:tc>
          <w:tcPr>
            <w:tcW w:w="1274" w:type="dxa"/>
          </w:tcPr>
          <w:p w14:paraId="0BEC777A">
            <w:pPr>
              <w:spacing w:line="240" w:lineRule="auto"/>
              <w:rPr>
                <w:rFonts w:hint="eastAsia" w:ascii="Times New Roman" w:hAnsi="Times New Roman" w:eastAsia="仿宋_GB2312" w:cs="Times New Roman"/>
                <w:sz w:val="32"/>
                <w:szCs w:val="32"/>
                <w:vertAlign w:val="baseline"/>
              </w:rPr>
            </w:pPr>
          </w:p>
        </w:tc>
        <w:tc>
          <w:tcPr>
            <w:tcW w:w="1282" w:type="dxa"/>
          </w:tcPr>
          <w:p w14:paraId="67D0D1B3">
            <w:pPr>
              <w:spacing w:line="240" w:lineRule="auto"/>
              <w:rPr>
                <w:rFonts w:hint="eastAsia" w:ascii="Times New Roman" w:hAnsi="Times New Roman" w:eastAsia="仿宋_GB2312" w:cs="Times New Roman"/>
                <w:sz w:val="32"/>
                <w:szCs w:val="32"/>
                <w:vertAlign w:val="baseline"/>
              </w:rPr>
            </w:pPr>
          </w:p>
        </w:tc>
        <w:tc>
          <w:tcPr>
            <w:tcW w:w="1584" w:type="dxa"/>
          </w:tcPr>
          <w:p w14:paraId="3423558E">
            <w:pPr>
              <w:spacing w:line="240" w:lineRule="auto"/>
              <w:rPr>
                <w:rFonts w:hint="eastAsia" w:ascii="Times New Roman" w:hAnsi="Times New Roman" w:eastAsia="仿宋_GB2312" w:cs="Times New Roman"/>
                <w:sz w:val="32"/>
                <w:szCs w:val="32"/>
                <w:vertAlign w:val="baseline"/>
              </w:rPr>
            </w:pPr>
          </w:p>
        </w:tc>
        <w:tc>
          <w:tcPr>
            <w:tcW w:w="1419" w:type="dxa"/>
          </w:tcPr>
          <w:p w14:paraId="610FBE3B">
            <w:pPr>
              <w:spacing w:line="240" w:lineRule="auto"/>
              <w:rPr>
                <w:rFonts w:hint="eastAsia" w:ascii="Times New Roman" w:hAnsi="Times New Roman" w:eastAsia="仿宋_GB2312" w:cs="Times New Roman"/>
                <w:sz w:val="32"/>
                <w:szCs w:val="32"/>
                <w:vertAlign w:val="baseline"/>
              </w:rPr>
            </w:pPr>
          </w:p>
        </w:tc>
        <w:tc>
          <w:tcPr>
            <w:tcW w:w="1625" w:type="dxa"/>
          </w:tcPr>
          <w:p w14:paraId="7F8F568F">
            <w:pPr>
              <w:spacing w:line="240" w:lineRule="auto"/>
              <w:rPr>
                <w:rFonts w:hint="eastAsia" w:ascii="Times New Roman" w:hAnsi="Times New Roman" w:eastAsia="仿宋_GB2312" w:cs="Times New Roman"/>
                <w:sz w:val="32"/>
                <w:szCs w:val="32"/>
                <w:vertAlign w:val="baseline"/>
              </w:rPr>
            </w:pPr>
          </w:p>
        </w:tc>
        <w:tc>
          <w:tcPr>
            <w:tcW w:w="1318" w:type="dxa"/>
          </w:tcPr>
          <w:p w14:paraId="1BEC3837">
            <w:pPr>
              <w:spacing w:line="240" w:lineRule="auto"/>
              <w:rPr>
                <w:rFonts w:hint="eastAsia" w:ascii="Times New Roman" w:hAnsi="Times New Roman" w:eastAsia="仿宋_GB2312" w:cs="Times New Roman"/>
                <w:sz w:val="32"/>
                <w:szCs w:val="32"/>
                <w:vertAlign w:val="baseline"/>
              </w:rPr>
            </w:pPr>
          </w:p>
        </w:tc>
        <w:tc>
          <w:tcPr>
            <w:tcW w:w="1284" w:type="dxa"/>
          </w:tcPr>
          <w:p w14:paraId="36922632">
            <w:pPr>
              <w:spacing w:line="240" w:lineRule="auto"/>
              <w:rPr>
                <w:rFonts w:hint="eastAsia" w:ascii="Times New Roman" w:hAnsi="Times New Roman" w:eastAsia="仿宋_GB2312" w:cs="Times New Roman"/>
                <w:sz w:val="32"/>
                <w:szCs w:val="32"/>
                <w:vertAlign w:val="baseline"/>
              </w:rPr>
            </w:pPr>
          </w:p>
        </w:tc>
        <w:tc>
          <w:tcPr>
            <w:tcW w:w="1284" w:type="dxa"/>
          </w:tcPr>
          <w:p w14:paraId="58767399">
            <w:pPr>
              <w:spacing w:line="240" w:lineRule="auto"/>
              <w:rPr>
                <w:rFonts w:hint="eastAsia" w:ascii="Times New Roman" w:hAnsi="Times New Roman" w:eastAsia="仿宋_GB2312" w:cs="Times New Roman"/>
                <w:sz w:val="32"/>
                <w:szCs w:val="32"/>
                <w:vertAlign w:val="baseline"/>
              </w:rPr>
            </w:pPr>
          </w:p>
        </w:tc>
      </w:tr>
      <w:tr w14:paraId="1B82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1B0005F3">
            <w:pPr>
              <w:spacing w:line="240" w:lineRule="auto"/>
              <w:rPr>
                <w:rFonts w:hint="eastAsia" w:ascii="Times New Roman" w:hAnsi="Times New Roman" w:eastAsia="仿宋_GB2312" w:cs="Times New Roman"/>
                <w:sz w:val="32"/>
                <w:szCs w:val="32"/>
                <w:vertAlign w:val="baseline"/>
              </w:rPr>
            </w:pPr>
          </w:p>
        </w:tc>
        <w:tc>
          <w:tcPr>
            <w:tcW w:w="1385" w:type="dxa"/>
          </w:tcPr>
          <w:p w14:paraId="4DFA3CB0">
            <w:pPr>
              <w:spacing w:line="240" w:lineRule="auto"/>
              <w:rPr>
                <w:rFonts w:hint="eastAsia" w:ascii="Times New Roman" w:hAnsi="Times New Roman" w:eastAsia="仿宋_GB2312" w:cs="Times New Roman"/>
                <w:sz w:val="32"/>
                <w:szCs w:val="32"/>
                <w:vertAlign w:val="baseline"/>
              </w:rPr>
            </w:pPr>
          </w:p>
        </w:tc>
        <w:tc>
          <w:tcPr>
            <w:tcW w:w="1274" w:type="dxa"/>
          </w:tcPr>
          <w:p w14:paraId="62649117">
            <w:pPr>
              <w:spacing w:line="240" w:lineRule="auto"/>
              <w:rPr>
                <w:rFonts w:hint="eastAsia" w:ascii="Times New Roman" w:hAnsi="Times New Roman" w:eastAsia="仿宋_GB2312" w:cs="Times New Roman"/>
                <w:sz w:val="32"/>
                <w:szCs w:val="32"/>
                <w:vertAlign w:val="baseline"/>
              </w:rPr>
            </w:pPr>
          </w:p>
        </w:tc>
        <w:tc>
          <w:tcPr>
            <w:tcW w:w="1282" w:type="dxa"/>
          </w:tcPr>
          <w:p w14:paraId="6A6D0E00">
            <w:pPr>
              <w:spacing w:line="240" w:lineRule="auto"/>
              <w:rPr>
                <w:rFonts w:hint="eastAsia" w:ascii="Times New Roman" w:hAnsi="Times New Roman" w:eastAsia="仿宋_GB2312" w:cs="Times New Roman"/>
                <w:sz w:val="32"/>
                <w:szCs w:val="32"/>
                <w:vertAlign w:val="baseline"/>
              </w:rPr>
            </w:pPr>
          </w:p>
        </w:tc>
        <w:tc>
          <w:tcPr>
            <w:tcW w:w="1584" w:type="dxa"/>
          </w:tcPr>
          <w:p w14:paraId="6C615B41">
            <w:pPr>
              <w:spacing w:line="240" w:lineRule="auto"/>
              <w:rPr>
                <w:rFonts w:hint="eastAsia" w:ascii="Times New Roman" w:hAnsi="Times New Roman" w:eastAsia="仿宋_GB2312" w:cs="Times New Roman"/>
                <w:sz w:val="32"/>
                <w:szCs w:val="32"/>
                <w:vertAlign w:val="baseline"/>
              </w:rPr>
            </w:pPr>
          </w:p>
        </w:tc>
        <w:tc>
          <w:tcPr>
            <w:tcW w:w="1419" w:type="dxa"/>
          </w:tcPr>
          <w:p w14:paraId="2342316D">
            <w:pPr>
              <w:spacing w:line="240" w:lineRule="auto"/>
              <w:rPr>
                <w:rFonts w:hint="eastAsia" w:ascii="Times New Roman" w:hAnsi="Times New Roman" w:eastAsia="仿宋_GB2312" w:cs="Times New Roman"/>
                <w:sz w:val="32"/>
                <w:szCs w:val="32"/>
                <w:vertAlign w:val="baseline"/>
              </w:rPr>
            </w:pPr>
          </w:p>
        </w:tc>
        <w:tc>
          <w:tcPr>
            <w:tcW w:w="1625" w:type="dxa"/>
          </w:tcPr>
          <w:p w14:paraId="2C4EA389">
            <w:pPr>
              <w:spacing w:line="240" w:lineRule="auto"/>
              <w:rPr>
                <w:rFonts w:hint="eastAsia" w:ascii="Times New Roman" w:hAnsi="Times New Roman" w:eastAsia="仿宋_GB2312" w:cs="Times New Roman"/>
                <w:sz w:val="32"/>
                <w:szCs w:val="32"/>
                <w:vertAlign w:val="baseline"/>
              </w:rPr>
            </w:pPr>
          </w:p>
        </w:tc>
        <w:tc>
          <w:tcPr>
            <w:tcW w:w="1318" w:type="dxa"/>
          </w:tcPr>
          <w:p w14:paraId="08D4141B">
            <w:pPr>
              <w:spacing w:line="240" w:lineRule="auto"/>
              <w:rPr>
                <w:rFonts w:hint="eastAsia" w:ascii="Times New Roman" w:hAnsi="Times New Roman" w:eastAsia="仿宋_GB2312" w:cs="Times New Roman"/>
                <w:sz w:val="32"/>
                <w:szCs w:val="32"/>
                <w:vertAlign w:val="baseline"/>
              </w:rPr>
            </w:pPr>
          </w:p>
        </w:tc>
        <w:tc>
          <w:tcPr>
            <w:tcW w:w="1284" w:type="dxa"/>
          </w:tcPr>
          <w:p w14:paraId="6CA51AEB">
            <w:pPr>
              <w:spacing w:line="240" w:lineRule="auto"/>
              <w:rPr>
                <w:rFonts w:hint="eastAsia" w:ascii="Times New Roman" w:hAnsi="Times New Roman" w:eastAsia="仿宋_GB2312" w:cs="Times New Roman"/>
                <w:sz w:val="32"/>
                <w:szCs w:val="32"/>
                <w:vertAlign w:val="baseline"/>
              </w:rPr>
            </w:pPr>
          </w:p>
        </w:tc>
        <w:tc>
          <w:tcPr>
            <w:tcW w:w="1284" w:type="dxa"/>
          </w:tcPr>
          <w:p w14:paraId="3550D16B">
            <w:pPr>
              <w:spacing w:line="240" w:lineRule="auto"/>
              <w:rPr>
                <w:rFonts w:hint="eastAsia" w:ascii="Times New Roman" w:hAnsi="Times New Roman" w:eastAsia="仿宋_GB2312" w:cs="Times New Roman"/>
                <w:sz w:val="32"/>
                <w:szCs w:val="32"/>
                <w:vertAlign w:val="baseline"/>
              </w:rPr>
            </w:pPr>
          </w:p>
        </w:tc>
      </w:tr>
    </w:tbl>
    <w:p w14:paraId="5F688208">
      <w:pPr>
        <w:spacing w:line="560" w:lineRule="exact"/>
        <w:ind w:left="0" w:leftChars="0" w:firstLine="0" w:firstLineChars="0"/>
        <w:outlineLvl w:val="0"/>
        <w:rPr>
          <w:rFonts w:hint="eastAsia" w:ascii="Times New Roman" w:hAnsi="Times New Roman" w:eastAsia="仿宋_GB2312" w:cs="Times New Roman"/>
          <w:sz w:val="32"/>
          <w:szCs w:val="32"/>
        </w:rPr>
      </w:pPr>
    </w:p>
    <w:p w14:paraId="027378A3">
      <w:pPr>
        <w:spacing w:line="560" w:lineRule="exact"/>
        <w:ind w:left="0" w:leftChars="0" w:firstLine="0" w:firstLineChars="0"/>
        <w:outlineLvl w:val="0"/>
        <w:rPr>
          <w:rFonts w:hint="eastAsia" w:ascii="Times New Roman" w:hAnsi="Times New Roman" w:eastAsia="仿宋_GB2312" w:cs="Times New Roman"/>
          <w:sz w:val="32"/>
          <w:szCs w:val="32"/>
        </w:rPr>
      </w:pPr>
    </w:p>
    <w:p w14:paraId="4610AF25">
      <w:pPr>
        <w:spacing w:line="560" w:lineRule="exact"/>
        <w:ind w:left="0" w:leftChars="0" w:firstLine="0" w:firstLineChars="0"/>
        <w:outlineLvl w:val="0"/>
        <w:rPr>
          <w:rFonts w:hint="eastAsia" w:ascii="Times New Roman" w:hAnsi="Times New Roman" w:eastAsia="仿宋_GB2312" w:cs="Times New Roman"/>
          <w:sz w:val="32"/>
          <w:szCs w:val="32"/>
        </w:rPr>
      </w:pPr>
    </w:p>
    <w:p w14:paraId="0D260CBF">
      <w:pPr>
        <w:spacing w:line="560" w:lineRule="exact"/>
        <w:ind w:firstLine="640" w:firstLineChars="200"/>
        <w:outlineLvl w:val="0"/>
        <w:rPr>
          <w:rFonts w:hint="eastAsia" w:ascii="Times New Roman" w:hAnsi="Times New Roman" w:eastAsia="仿宋_GB2312" w:cs="Times New Roman"/>
          <w:sz w:val="32"/>
          <w:szCs w:val="32"/>
        </w:rPr>
        <w:sectPr>
          <w:pgSz w:w="16838" w:h="11906" w:orient="landscape"/>
          <w:pgMar w:top="1587" w:right="2098" w:bottom="1474" w:left="1984" w:header="851" w:footer="992" w:gutter="0"/>
          <w:pgNumType w:fmt="numberInDash"/>
          <w:cols w:space="425" w:num="1"/>
          <w:docGrid w:type="lines" w:linePitch="312" w:charSpace="0"/>
        </w:sectPr>
      </w:pPr>
    </w:p>
    <w:p w14:paraId="16878A07">
      <w:pPr>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b w:val="0"/>
          <w:bCs w:val="0"/>
          <w:sz w:val="32"/>
          <w:szCs w:val="32"/>
        </w:rPr>
        <w:t>附件</w:t>
      </w:r>
      <w:r>
        <w:rPr>
          <w:rFonts w:hint="eastAsia" w:ascii="Times New Roman" w:hAnsi="Times New Roman" w:eastAsia="黑体" w:cs="Times New Roman"/>
          <w:b w:val="0"/>
          <w:bCs w:val="0"/>
          <w:sz w:val="32"/>
          <w:szCs w:val="32"/>
          <w:lang w:val="en-US" w:eastAsia="zh-CN"/>
        </w:rPr>
        <w:t>3</w:t>
      </w:r>
    </w:p>
    <w:p w14:paraId="68C6E397">
      <w:pPr>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子基金管理机构证明材料：</w:t>
      </w:r>
    </w:p>
    <w:p w14:paraId="311608C6">
      <w:pPr>
        <w:keepNext w:val="0"/>
        <w:keepLines w:val="0"/>
        <w:pageBreakBefore w:val="0"/>
        <w:widowControl w:val="0"/>
        <w:numPr>
          <w:ilvl w:val="0"/>
          <w:numId w:val="0"/>
        </w:numPr>
        <w:kinsoku/>
        <w:wordWrap/>
        <w:overflowPunct/>
        <w:topLinePunct w:val="0"/>
        <w:autoSpaceDE/>
        <w:autoSpaceDN/>
        <w:bidi w:val="0"/>
        <w:adjustRightInd/>
        <w:spacing w:line="560" w:lineRule="exact"/>
        <w:ind w:left="440" w:hanging="440" w:firstLineChars="0"/>
        <w:jc w:val="both"/>
        <w:textAlignment w:val="auto"/>
        <w:outlineLvl w:val="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1.营业执照；</w:t>
      </w:r>
    </w:p>
    <w:p w14:paraId="355B6381">
      <w:pPr>
        <w:keepNext w:val="0"/>
        <w:keepLines w:val="0"/>
        <w:pageBreakBefore w:val="0"/>
        <w:widowControl w:val="0"/>
        <w:numPr>
          <w:ilvl w:val="0"/>
          <w:numId w:val="0"/>
        </w:numPr>
        <w:kinsoku/>
        <w:wordWrap/>
        <w:overflowPunct/>
        <w:topLinePunct w:val="0"/>
        <w:autoSpaceDE/>
        <w:autoSpaceDN/>
        <w:bidi w:val="0"/>
        <w:adjustRightInd/>
        <w:spacing w:line="560" w:lineRule="exact"/>
        <w:ind w:left="440" w:hanging="440" w:firstLineChars="0"/>
        <w:jc w:val="both"/>
        <w:textAlignment w:val="auto"/>
        <w:outlineLvl w:val="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2.公司章程或合伙协议；</w:t>
      </w:r>
    </w:p>
    <w:p w14:paraId="0E0521F6">
      <w:pPr>
        <w:keepNext w:val="0"/>
        <w:keepLines w:val="0"/>
        <w:pageBreakBefore w:val="0"/>
        <w:widowControl w:val="0"/>
        <w:numPr>
          <w:ilvl w:val="0"/>
          <w:numId w:val="0"/>
        </w:numPr>
        <w:kinsoku/>
        <w:wordWrap/>
        <w:overflowPunct/>
        <w:topLinePunct w:val="0"/>
        <w:autoSpaceDE/>
        <w:autoSpaceDN/>
        <w:bidi w:val="0"/>
        <w:adjustRightInd/>
        <w:spacing w:line="560" w:lineRule="exact"/>
        <w:ind w:left="440" w:hanging="440" w:firstLineChars="0"/>
        <w:jc w:val="both"/>
        <w:textAlignment w:val="auto"/>
        <w:outlineLvl w:val="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3.登记备案证明（未被中国证券投资基金业协会列为异常机构且不存在不良诚信记录等情形）；</w:t>
      </w:r>
    </w:p>
    <w:p w14:paraId="75F482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40" w:hanging="440" w:firstLineChars="0"/>
        <w:jc w:val="both"/>
        <w:textAlignment w:val="auto"/>
        <w:outlineLvl w:val="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4.实缴出资证明材料；</w:t>
      </w:r>
    </w:p>
    <w:p w14:paraId="49CC5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40" w:hanging="440" w:firstLineChars="0"/>
        <w:jc w:val="both"/>
        <w:textAlignment w:val="auto"/>
        <w:outlineLvl w:val="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sz w:val="32"/>
          <w:szCs w:val="32"/>
          <w:highlight w:val="none"/>
        </w:rPr>
        <w:t>核心团队及高级管理人员</w:t>
      </w:r>
      <w:r>
        <w:rPr>
          <w:rFonts w:hint="eastAsia" w:ascii="Times New Roman" w:hAnsi="Times New Roman" w:cs="Times New Roman"/>
          <w:sz w:val="32"/>
          <w:szCs w:val="32"/>
          <w:highlight w:val="none"/>
          <w:lang w:eastAsia="zh-CN"/>
        </w:rPr>
        <w:t>、</w:t>
      </w:r>
      <w:r>
        <w:rPr>
          <w:rFonts w:hint="eastAsia" w:ascii="Times New Roman" w:hAnsi="Times New Roman"/>
        </w:rPr>
        <w:t>基金关键人</w:t>
      </w:r>
      <w:r>
        <w:rPr>
          <w:rFonts w:hint="eastAsia" w:ascii="Times New Roman" w:hAnsi="Times New Roman" w:eastAsia="仿宋_GB2312" w:cs="Times New Roman"/>
          <w:sz w:val="32"/>
          <w:szCs w:val="32"/>
          <w:highlight w:val="none"/>
        </w:rPr>
        <w:t>无犯罪记录证明</w:t>
      </w:r>
      <w:r>
        <w:rPr>
          <w:rFonts w:hint="eastAsia" w:ascii="Times New Roman" w:hAnsi="Times New Roman" w:eastAsia="仿宋_GB2312" w:cs="Times New Roman"/>
          <w:sz w:val="32"/>
          <w:szCs w:val="32"/>
          <w:highlight w:val="none"/>
          <w:lang w:eastAsia="zh-CN"/>
        </w:rPr>
        <w:t>；</w:t>
      </w:r>
    </w:p>
    <w:p w14:paraId="3E756537">
      <w:pPr>
        <w:keepNext w:val="0"/>
        <w:keepLines w:val="0"/>
        <w:pageBreakBefore w:val="0"/>
        <w:widowControl w:val="0"/>
        <w:numPr>
          <w:ilvl w:val="0"/>
          <w:numId w:val="0"/>
        </w:numPr>
        <w:kinsoku/>
        <w:wordWrap/>
        <w:overflowPunct/>
        <w:topLinePunct w:val="0"/>
        <w:autoSpaceDE/>
        <w:autoSpaceDN/>
        <w:bidi w:val="0"/>
        <w:adjustRightInd/>
        <w:spacing w:line="560" w:lineRule="exact"/>
        <w:ind w:left="420" w:hanging="420" w:firstLineChars="0"/>
        <w:jc w:val="both"/>
        <w:textAlignment w:val="auto"/>
        <w:outlineLvl w:val="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sz w:val="32"/>
          <w:szCs w:val="32"/>
          <w:highlight w:val="none"/>
        </w:rPr>
        <w:t>管理机构或其主要股东、普通合伙人和在管基金最近三个会计年度经审计的财务报告或财务报表；</w:t>
      </w:r>
    </w:p>
    <w:p w14:paraId="7003323C">
      <w:pPr>
        <w:pStyle w:val="14"/>
        <w:keepNext w:val="0"/>
        <w:keepLines w:val="0"/>
        <w:pageBreakBefore w:val="0"/>
        <w:numPr>
          <w:ilvl w:val="0"/>
          <w:numId w:val="0"/>
        </w:numPr>
        <w:kinsoku/>
        <w:wordWrap/>
        <w:overflowPunct/>
        <w:topLinePunct w:val="0"/>
        <w:autoSpaceDE/>
        <w:autoSpaceDN/>
        <w:bidi w:val="0"/>
        <w:adjustRightInd/>
        <w:spacing w:line="560" w:lineRule="exact"/>
        <w:ind w:left="320" w:hanging="320" w:hangingChars="100"/>
        <w:textAlignment w:val="auto"/>
        <w:outlineLvl w:val="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bidi="ar-SA"/>
        </w:rPr>
        <w:t>7.</w:t>
      </w:r>
      <w:r>
        <w:rPr>
          <w:rFonts w:hint="eastAsia" w:ascii="Times New Roman" w:hAnsi="Times New Roman" w:cs="Times New Roman"/>
          <w:highlight w:val="none"/>
        </w:rPr>
        <w:t>管理机构或管理团队主要成员以骨干身份管理基金和符合《</w:t>
      </w:r>
      <w:r>
        <w:rPr>
          <w:rFonts w:hint="eastAsia" w:ascii="Times New Roman" w:hAnsi="Times New Roman" w:cs="Times New Roman"/>
          <w:highlight w:val="none"/>
          <w:lang w:val="en-US" w:eastAsia="zh-CN"/>
        </w:rPr>
        <w:t>中原科技城种子基金子基金申报指南</w:t>
      </w:r>
      <w:r>
        <w:rPr>
          <w:rFonts w:hint="eastAsia" w:ascii="Times New Roman" w:hAnsi="Times New Roman" w:cs="Times New Roman"/>
          <w:highlight w:val="none"/>
        </w:rPr>
        <w:t>》要求的</w:t>
      </w:r>
      <w:r>
        <w:rPr>
          <w:rFonts w:hint="eastAsia" w:ascii="Times New Roman" w:hAnsi="Times New Roman" w:cs="Times New Roman"/>
          <w:highlight w:val="none"/>
          <w:lang w:val="en-US" w:eastAsia="zh-CN"/>
        </w:rPr>
        <w:t>对应</w:t>
      </w:r>
      <w:r>
        <w:rPr>
          <w:rFonts w:hint="eastAsia" w:ascii="Times New Roman" w:hAnsi="Times New Roman" w:cs="Times New Roman"/>
          <w:sz w:val="32"/>
          <w:szCs w:val="32"/>
          <w:highlight w:val="none"/>
          <w:lang w:val="en-US" w:eastAsia="zh-CN"/>
        </w:rPr>
        <w:t>成功案例</w:t>
      </w:r>
      <w:r>
        <w:rPr>
          <w:rFonts w:hint="eastAsia" w:ascii="Times New Roman" w:hAnsi="Times New Roman" w:cs="Times New Roman"/>
          <w:kern w:val="2"/>
          <w:sz w:val="32"/>
          <w:szCs w:val="32"/>
          <w:highlight w:val="none"/>
          <w:shd w:val="clear" w:color="auto" w:fill="auto"/>
          <w:lang w:val="en-US" w:eastAsia="zh-CN" w:bidi="ar-SA"/>
        </w:rPr>
        <w:t>证明材料；</w:t>
      </w:r>
    </w:p>
    <w:p w14:paraId="370609A9">
      <w:pPr>
        <w:pStyle w:val="14"/>
        <w:keepNext w:val="0"/>
        <w:keepLines w:val="0"/>
        <w:pageBreakBefore w:val="0"/>
        <w:numPr>
          <w:ilvl w:val="0"/>
          <w:numId w:val="0"/>
        </w:numPr>
        <w:kinsoku/>
        <w:wordWrap/>
        <w:overflowPunct/>
        <w:topLinePunct w:val="0"/>
        <w:autoSpaceDE/>
        <w:autoSpaceDN/>
        <w:bidi w:val="0"/>
        <w:adjustRightInd/>
        <w:spacing w:line="560" w:lineRule="exact"/>
        <w:ind w:left="320" w:hanging="320" w:hangingChars="100"/>
        <w:textAlignment w:val="auto"/>
        <w:outlineLvl w:val="0"/>
        <w:rPr>
          <w:rFonts w:hint="eastAsia" w:ascii="Times New Roman" w:hAnsi="Times New Roman"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内部治理架构：管理和投资运作规范，具有健全的风险控制、财务管理、投资管理等各项内部控制制度。围绕种子基金孵化目标建立相匹配的项目遴选、立项和投决机制，包括广泛邀请相关领域的学术界和产业界的专家为项目立项或者投资决策提供建议。子基金管理机构应当在申请资料中提供相关的制度说明</w:t>
      </w:r>
      <w:r>
        <w:rPr>
          <w:rFonts w:hint="eastAsia" w:ascii="Times New Roman" w:hAnsi="Times New Roman" w:cs="Times New Roman"/>
          <w:kern w:val="2"/>
          <w:sz w:val="32"/>
          <w:szCs w:val="32"/>
          <w:lang w:val="en-US" w:eastAsia="zh-CN" w:bidi="ar-SA"/>
        </w:rPr>
        <w:t>；</w:t>
      </w:r>
    </w:p>
    <w:p w14:paraId="3A195683">
      <w:pPr>
        <w:pStyle w:val="14"/>
        <w:keepNext w:val="0"/>
        <w:keepLines w:val="0"/>
        <w:pageBreakBefore w:val="0"/>
        <w:numPr>
          <w:ilvl w:val="0"/>
          <w:numId w:val="0"/>
        </w:numPr>
        <w:kinsoku/>
        <w:wordWrap/>
        <w:overflowPunct/>
        <w:topLinePunct w:val="0"/>
        <w:autoSpaceDE/>
        <w:autoSpaceDN/>
        <w:bidi w:val="0"/>
        <w:adjustRightInd/>
        <w:spacing w:line="560" w:lineRule="exact"/>
        <w:ind w:left="320" w:hanging="320" w:hangingChars="100"/>
        <w:textAlignment w:val="auto"/>
        <w:outlineLvl w:val="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9.增值服务：子基金管理团队应当具备较强的</w:t>
      </w:r>
      <w:r>
        <w:rPr>
          <w:rFonts w:hint="eastAsia" w:ascii="Times New Roman" w:hAnsi="Times New Roman" w:cs="Times New Roman"/>
          <w:kern w:val="2"/>
          <w:sz w:val="32"/>
          <w:szCs w:val="32"/>
          <w:lang w:val="en-US" w:eastAsia="zh-CN" w:bidi="ar-SA"/>
        </w:rPr>
        <w:t>投资</w:t>
      </w:r>
      <w:r>
        <w:rPr>
          <w:rFonts w:hint="eastAsia" w:ascii="Times New Roman" w:hAnsi="Times New Roman" w:eastAsia="仿宋_GB2312" w:cs="Times New Roman"/>
          <w:kern w:val="2"/>
          <w:sz w:val="32"/>
          <w:szCs w:val="32"/>
          <w:lang w:val="en-US" w:eastAsia="zh-CN" w:bidi="ar-SA"/>
        </w:rPr>
        <w:t>赋能能力，包括但不限于为已投项目提供创业辅导、管理咨询、市场开拓</w:t>
      </w:r>
      <w:r>
        <w:rPr>
          <w:rFonts w:hint="eastAsia" w:ascii="Times New Roman" w:hAnsi="Times New Roman" w:cs="Times New Roman"/>
          <w:kern w:val="2"/>
          <w:sz w:val="32"/>
          <w:szCs w:val="32"/>
          <w:lang w:val="en-US" w:eastAsia="zh-CN" w:bidi="ar-SA"/>
        </w:rPr>
        <w:t>、产业资源对接</w:t>
      </w:r>
      <w:r>
        <w:rPr>
          <w:rFonts w:hint="eastAsia" w:ascii="Times New Roman" w:hAnsi="Times New Roman" w:eastAsia="仿宋_GB2312" w:cs="Times New Roman"/>
          <w:kern w:val="2"/>
          <w:sz w:val="32"/>
          <w:szCs w:val="32"/>
          <w:lang w:val="en-US" w:eastAsia="zh-CN" w:bidi="ar-SA"/>
        </w:rPr>
        <w:t>等增值服务，与产业</w:t>
      </w:r>
      <w:r>
        <w:rPr>
          <w:rFonts w:hint="eastAsia" w:ascii="Times New Roman" w:hAnsi="Times New Roman" w:cs="Times New Roman"/>
          <w:kern w:val="2"/>
          <w:sz w:val="32"/>
          <w:szCs w:val="32"/>
          <w:lang w:val="en-US" w:eastAsia="zh-CN" w:bidi="ar-SA"/>
        </w:rPr>
        <w:t>链</w:t>
      </w:r>
      <w:r>
        <w:rPr>
          <w:rFonts w:hint="eastAsia" w:ascii="Times New Roman" w:hAnsi="Times New Roman" w:eastAsia="仿宋_GB2312" w:cs="Times New Roman"/>
          <w:kern w:val="2"/>
          <w:sz w:val="32"/>
          <w:szCs w:val="32"/>
          <w:lang w:val="en-US" w:eastAsia="zh-CN" w:bidi="ar-SA"/>
        </w:rPr>
        <w:t>上下游密切合作推动已投项目完成小</w:t>
      </w:r>
      <w:r>
        <w:rPr>
          <w:rFonts w:hint="eastAsia" w:ascii="Times New Roman" w:hAnsi="Times New Roman" w:cs="Times New Roman"/>
          <w:kern w:val="2"/>
          <w:sz w:val="32"/>
          <w:szCs w:val="32"/>
          <w:lang w:val="en-US" w:eastAsia="zh-CN" w:bidi="ar-SA"/>
        </w:rPr>
        <w:t>试、中</w:t>
      </w:r>
      <w:r>
        <w:rPr>
          <w:rFonts w:hint="eastAsia" w:ascii="Times New Roman" w:hAnsi="Times New Roman" w:eastAsia="仿宋_GB2312" w:cs="Times New Roman"/>
          <w:kern w:val="2"/>
          <w:sz w:val="32"/>
          <w:szCs w:val="32"/>
          <w:lang w:val="en-US" w:eastAsia="zh-CN" w:bidi="ar-SA"/>
        </w:rPr>
        <w:t>试，为已投项目招聘具有丰富企业运营经验的全职高级管理人员，为已投项目组建一支有经验的外部科学顾问或产业顾问团队，必要时可以派出人员兼任已投项目的高级管理人员</w:t>
      </w:r>
      <w:r>
        <w:rPr>
          <w:rFonts w:hint="eastAsia" w:ascii="Times New Roman" w:hAnsi="Times New Roman" w:cs="Times New Roman"/>
          <w:kern w:val="2"/>
          <w:sz w:val="32"/>
          <w:szCs w:val="32"/>
          <w:lang w:val="en-US" w:eastAsia="zh-CN" w:bidi="ar-SA"/>
        </w:rPr>
        <w:t>；</w:t>
      </w:r>
    </w:p>
    <w:p w14:paraId="77FAC049">
      <w:pPr>
        <w:pStyle w:val="14"/>
        <w:keepNext w:val="0"/>
        <w:keepLines w:val="0"/>
        <w:pageBreakBefore w:val="0"/>
        <w:numPr>
          <w:ilvl w:val="0"/>
          <w:numId w:val="0"/>
        </w:numPr>
        <w:kinsoku/>
        <w:wordWrap/>
        <w:overflowPunct/>
        <w:topLinePunct w:val="0"/>
        <w:autoSpaceDE/>
        <w:autoSpaceDN/>
        <w:bidi w:val="0"/>
        <w:adjustRightInd/>
        <w:spacing w:line="560" w:lineRule="exact"/>
        <w:ind w:left="320" w:hanging="320" w:hangingChars="100"/>
        <w:textAlignment w:val="auto"/>
        <w:outlineLvl w:val="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10.其他综合能力说明材料：包括但不限于曾经助力过已投项目孵化、成功对外融资、市场推广、客户对接或团队组建支持等内容。</w:t>
      </w:r>
    </w:p>
    <w:p w14:paraId="068645D4">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20C2A3AD">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7F88F645">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2097AC0D">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2EBB7236">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3497DB06">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358223F2">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05866C7A">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47E1009E">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591D6854">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0EB55B7A">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4DD207E0">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530B3DF5">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268734F3">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5C5F91A7">
      <w:pPr>
        <w:keepNext w:val="0"/>
        <w:keepLines w:val="0"/>
        <w:pageBreakBefore w:val="0"/>
        <w:kinsoku/>
        <w:wordWrap/>
        <w:overflowPunct/>
        <w:topLinePunct w:val="0"/>
        <w:autoSpaceDE/>
        <w:autoSpaceDN/>
        <w:bidi w:val="0"/>
        <w:adjustRightInd/>
        <w:spacing w:line="560" w:lineRule="exact"/>
        <w:ind w:firstLine="560" w:firstLineChars="200"/>
        <w:textAlignment w:val="auto"/>
        <w:outlineLvl w:val="0"/>
        <w:rPr>
          <w:rFonts w:ascii="Times New Roman" w:hAnsi="Times New Roman" w:eastAsia="宋体" w:cs="Times New Roman"/>
          <w:sz w:val="28"/>
          <w:szCs w:val="28"/>
        </w:rPr>
      </w:pPr>
    </w:p>
    <w:p w14:paraId="5636BC71">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outlineLvl w:val="0"/>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rPr>
        <w:t>附件</w:t>
      </w:r>
      <w:r>
        <w:rPr>
          <w:rFonts w:hint="eastAsia" w:ascii="Times New Roman" w:hAnsi="Times New Roman" w:eastAsia="黑体" w:cs="Times New Roman"/>
          <w:b w:val="0"/>
          <w:bCs w:val="0"/>
          <w:sz w:val="32"/>
          <w:szCs w:val="32"/>
          <w:highlight w:val="none"/>
          <w:lang w:val="en-US" w:eastAsia="zh-CN"/>
        </w:rPr>
        <w:t>4</w:t>
      </w:r>
    </w:p>
    <w:p w14:paraId="460B878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出资承诺函：</w:t>
      </w:r>
    </w:p>
    <w:p w14:paraId="511BB6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hanging="420" w:firstLineChars="0"/>
        <w:textAlignment w:val="auto"/>
        <w:outlineLvl w:val="0"/>
        <w:rPr>
          <w:rFonts w:ascii="Times New Roman" w:hAnsi="Times New Roman" w:eastAsia="仿宋_GB2312" w:cs="Times New Roman"/>
          <w:szCs w:val="32"/>
          <w:highlight w:val="none"/>
        </w:rPr>
      </w:pPr>
      <w:r>
        <w:rPr>
          <w:rFonts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szCs w:val="32"/>
          <w:highlight w:val="none"/>
        </w:rPr>
        <w:t>管理机构或其关联方出资承诺函、出资能力证明材料；</w:t>
      </w:r>
    </w:p>
    <w:p w14:paraId="2B08CA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hanging="420" w:firstLineChars="0"/>
        <w:textAlignment w:val="auto"/>
        <w:outlineLvl w:val="0"/>
        <w:rPr>
          <w:rFonts w:ascii="Times New Roman" w:hAnsi="Times New Roman" w:eastAsia="仿宋_GB2312" w:cs="Times New Roman"/>
          <w:szCs w:val="32"/>
          <w:highlight w:val="none"/>
        </w:rPr>
      </w:pPr>
      <w:r>
        <w:rPr>
          <w:rFonts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szCs w:val="32"/>
          <w:highlight w:val="none"/>
        </w:rPr>
        <w:t>社会出资人出资承诺函、出资能力证明材料。</w:t>
      </w:r>
    </w:p>
    <w:p w14:paraId="3CE3653A">
      <w:pPr>
        <w:keepNext w:val="0"/>
        <w:keepLines w:val="0"/>
        <w:pageBreakBefore w:val="0"/>
        <w:kinsoku/>
        <w:wordWrap/>
        <w:overflowPunct/>
        <w:topLinePunct w:val="0"/>
        <w:autoSpaceDE/>
        <w:autoSpaceDN/>
        <w:bidi w:val="0"/>
        <w:adjustRightInd/>
        <w:spacing w:line="560" w:lineRule="exact"/>
        <w:ind w:left="0" w:leftChars="0" w:firstLine="0" w:firstLineChars="0"/>
        <w:textAlignment w:val="auto"/>
        <w:outlineLvl w:val="0"/>
        <w:rPr>
          <w:rFonts w:hint="eastAsia" w:ascii="Times New Roman" w:hAnsi="Times New Roman" w:eastAsia="宋体" w:cs="Times New Roman"/>
          <w:sz w:val="28"/>
          <w:szCs w:val="28"/>
        </w:rPr>
      </w:pPr>
    </w:p>
    <w:p w14:paraId="3D8D395B">
      <w:pPr>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eastAsia" w:ascii="Times New Roman" w:hAnsi="Times New Roman" w:eastAsia="仿宋_GB2312" w:cs="Times New Roman"/>
          <w:b/>
          <w:bCs/>
          <w:sz w:val="32"/>
          <w:szCs w:val="32"/>
        </w:rPr>
      </w:pPr>
    </w:p>
    <w:p w14:paraId="6DDE3903">
      <w:pPr>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eastAsia" w:ascii="Times New Roman" w:hAnsi="Times New Roman" w:eastAsia="仿宋_GB2312" w:cs="Times New Roman"/>
          <w:b/>
          <w:bCs/>
          <w:sz w:val="32"/>
          <w:szCs w:val="32"/>
        </w:rPr>
      </w:pPr>
    </w:p>
    <w:p w14:paraId="013E29F2">
      <w:pPr>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eastAsia" w:ascii="Times New Roman" w:hAnsi="Times New Roman" w:eastAsia="仿宋_GB2312" w:cs="Times New Roman"/>
          <w:b/>
          <w:bCs/>
          <w:sz w:val="32"/>
          <w:szCs w:val="32"/>
        </w:rPr>
      </w:pPr>
    </w:p>
    <w:p w14:paraId="48DBD426">
      <w:pPr>
        <w:keepNext w:val="0"/>
        <w:keepLines w:val="0"/>
        <w:pageBreakBefore w:val="0"/>
        <w:widowControl/>
        <w:kinsoku/>
        <w:wordWrap/>
        <w:overflowPunct/>
        <w:topLinePunct w:val="0"/>
        <w:autoSpaceDE/>
        <w:autoSpaceDN/>
        <w:bidi w:val="0"/>
        <w:adjustRightInd/>
        <w:spacing w:line="560" w:lineRule="exact"/>
        <w:ind w:firstLine="0" w:firstLineChars="0"/>
        <w:jc w:val="left"/>
        <w:textAlignment w:val="auto"/>
        <w:rPr>
          <w:rFonts w:hint="eastAsia" w:ascii="Times New Roman" w:hAnsi="Times New Roman" w:eastAsia="仿宋_GB2312" w:cs="Times New Roman"/>
          <w:b/>
          <w:bCs/>
          <w:sz w:val="32"/>
          <w:szCs w:val="32"/>
        </w:rPr>
      </w:pPr>
      <w:r>
        <w:rPr>
          <w:rFonts w:ascii="Times New Roman" w:hAnsi="Times New Roman" w:eastAsia="仿宋_GB2312" w:cs="Times New Roman"/>
          <w:b/>
          <w:bCs/>
          <w:sz w:val="32"/>
          <w:szCs w:val="32"/>
        </w:rPr>
        <w:br w:type="page"/>
      </w:r>
    </w:p>
    <w:p w14:paraId="7F5A2D8B">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outlineLvl w:val="0"/>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rPr>
        <w:t>附件</w:t>
      </w:r>
      <w:r>
        <w:rPr>
          <w:rFonts w:hint="eastAsia" w:ascii="Times New Roman" w:hAnsi="Times New Roman" w:eastAsia="黑体" w:cs="Times New Roman"/>
          <w:b w:val="0"/>
          <w:bCs w:val="0"/>
          <w:sz w:val="32"/>
          <w:szCs w:val="32"/>
          <w:highlight w:val="none"/>
          <w:lang w:val="en-US" w:eastAsia="zh-CN"/>
        </w:rPr>
        <w:t>5</w:t>
      </w:r>
    </w:p>
    <w:p w14:paraId="701E1DDC">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rPr>
        <w:t>承诺函</w:t>
      </w:r>
    </w:p>
    <w:p w14:paraId="5DB95835">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ascii="Times New Roman" w:hAnsi="Times New Roman" w:eastAsia="仿宋_GB2312" w:cs="Times New Roman"/>
          <w:szCs w:val="32"/>
          <w:highlight w:val="none"/>
        </w:rPr>
      </w:pPr>
    </w:p>
    <w:p w14:paraId="27E5AD4E">
      <w:pPr>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郑州中原科技城产业引导基金有限责任公司：</w:t>
      </w:r>
    </w:p>
    <w:p w14:paraId="0441EDC3">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本机构目前正在向贵司申报中原科技城</w:t>
      </w:r>
      <w:r>
        <w:rPr>
          <w:rFonts w:hint="eastAsia" w:ascii="Times New Roman" w:hAnsi="Times New Roman" w:eastAsia="仿宋_GB2312" w:cs="Times New Roman"/>
          <w:sz w:val="32"/>
          <w:szCs w:val="32"/>
          <w:highlight w:val="none"/>
          <w:lang w:val="en-US" w:eastAsia="zh-CN"/>
        </w:rPr>
        <w:t>种子基金</w:t>
      </w:r>
      <w:r>
        <w:rPr>
          <w:rFonts w:hint="eastAsia" w:ascii="Times New Roman" w:hAnsi="Times New Roman" w:eastAsia="仿宋_GB2312" w:cs="Times New Roman"/>
          <w:sz w:val="32"/>
          <w:szCs w:val="32"/>
          <w:highlight w:val="none"/>
        </w:rPr>
        <w:t>（以下简称“</w:t>
      </w:r>
      <w:r>
        <w:rPr>
          <w:rFonts w:hint="eastAsia" w:ascii="Times New Roman" w:hAnsi="Times New Roman" w:eastAsia="仿宋_GB2312" w:cs="Times New Roman"/>
          <w:sz w:val="32"/>
          <w:szCs w:val="32"/>
          <w:highlight w:val="none"/>
          <w:lang w:val="en-US" w:eastAsia="zh-CN"/>
        </w:rPr>
        <w:t>种子基金</w:t>
      </w:r>
      <w:r>
        <w:rPr>
          <w:rFonts w:hint="eastAsia" w:ascii="Times New Roman" w:hAnsi="Times New Roman" w:eastAsia="仿宋_GB2312" w:cs="Times New Roman"/>
          <w:sz w:val="32"/>
          <w:szCs w:val="32"/>
          <w:highlight w:val="none"/>
        </w:rPr>
        <w:t>”）参与设立XXX子基金（以下简称“子基金”），现就子基金申请设立相关事宜，作出以下说明和承诺：</w:t>
      </w:r>
    </w:p>
    <w:p w14:paraId="43255573">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本机构理解《中原科技城种子基金实施方案》（郑东文〔2025〕84号）及基金相关的法律、法规、规章、指引、办法和运行规则等文件的规定，承诺本机构和基金申请方案符合前述文件规定的要求；本机构将继续遵守前述文件的规定，并承诺</w:t>
      </w:r>
      <w:r>
        <w:rPr>
          <w:rFonts w:hint="eastAsia" w:ascii="Times New Roman" w:hAnsi="Times New Roman" w:eastAsia="仿宋_GB2312" w:cs="Times New Roman"/>
          <w:sz w:val="32"/>
          <w:szCs w:val="32"/>
          <w:highlight w:val="none"/>
          <w:lang w:val="en-US" w:eastAsia="zh-CN"/>
        </w:rPr>
        <w:t>自</w:t>
      </w:r>
      <w:r>
        <w:rPr>
          <w:rFonts w:hint="eastAsia" w:ascii="Times New Roman" w:hAnsi="Times New Roman" w:eastAsia="仿宋_GB2312" w:cs="Times New Roman"/>
          <w:sz w:val="32"/>
          <w:szCs w:val="32"/>
          <w:highlight w:val="none"/>
        </w:rPr>
        <w:t>子基金设立之日起，完全按照文件的规定管理子基金事务。</w:t>
      </w:r>
    </w:p>
    <w:p w14:paraId="01DFDF78">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二、本机构为在（X</w:t>
      </w:r>
      <w:r>
        <w:rPr>
          <w:rFonts w:ascii="Times New Roman" w:hAnsi="Times New Roman" w:eastAsia="仿宋_GB2312" w:cs="Times New Roman"/>
          <w:sz w:val="32"/>
          <w:szCs w:val="32"/>
          <w:highlight w:val="none"/>
        </w:rPr>
        <w:t>XXX</w:t>
      </w:r>
      <w:r>
        <w:rPr>
          <w:rFonts w:hint="eastAsia" w:ascii="Times New Roman" w:hAnsi="Times New Roman" w:eastAsia="仿宋_GB2312" w:cs="Times New Roman"/>
          <w:sz w:val="32"/>
          <w:szCs w:val="32"/>
          <w:highlight w:val="none"/>
        </w:rPr>
        <w:t>国家或地区）依法设立并有效存续的（有限责任公司、股份有限公司、合伙企业、事业单位或</w:t>
      </w:r>
      <w:r>
        <w:rPr>
          <w:rFonts w:ascii="Times New Roman" w:hAnsi="Times New Roman" w:eastAsia="仿宋_GB2312" w:cs="Times New Roman"/>
          <w:sz w:val="32"/>
          <w:szCs w:val="32"/>
          <w:highlight w:val="none"/>
        </w:rPr>
        <w:t>XXXX</w:t>
      </w:r>
      <w:r>
        <w:rPr>
          <w:rFonts w:hint="eastAsia" w:ascii="Times New Roman" w:hAnsi="Times New Roman" w:eastAsia="仿宋_GB2312" w:cs="Times New Roman"/>
          <w:sz w:val="32"/>
          <w:szCs w:val="32"/>
          <w:highlight w:val="none"/>
        </w:rPr>
        <w:t>其他法律主体）。</w:t>
      </w:r>
    </w:p>
    <w:p w14:paraId="74661EE1">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三、本机构承担子基金的部分募资工作，承诺自贵司对子基金设立方案公示期结束且无异议之日起【 】（【】大写）个月完成基金合伙协议（或公司章程）的签署工作；如子基金未在前述期限内完成合伙协议（或公司章程）的签署工作，本机构自愿放弃使用引导基金</w:t>
      </w:r>
      <w:r>
        <w:rPr>
          <w:rFonts w:hint="eastAsia" w:ascii="Times New Roman" w:hAnsi="Times New Roman" w:eastAsia="仿宋_GB2312" w:cs="Times New Roman"/>
          <w:sz w:val="32"/>
          <w:szCs w:val="32"/>
          <w:highlight w:val="none"/>
          <w:lang w:val="en-US" w:eastAsia="zh-CN"/>
        </w:rPr>
        <w:t>公司</w:t>
      </w:r>
      <w:r>
        <w:rPr>
          <w:rFonts w:hint="eastAsia" w:ascii="Times New Roman" w:hAnsi="Times New Roman" w:eastAsia="仿宋_GB2312" w:cs="Times New Roman"/>
          <w:sz w:val="32"/>
          <w:szCs w:val="32"/>
          <w:highlight w:val="none"/>
        </w:rPr>
        <w:t>承诺出资并承担相应的法律责任。</w:t>
      </w:r>
    </w:p>
    <w:p w14:paraId="1768B90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14:paraId="4FB52BC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五、因子基金及其管理机构违反《中原科技城种子基金实施方案》（郑东文〔2025〕84号）的相关规定导致</w:t>
      </w:r>
      <w:r>
        <w:rPr>
          <w:rFonts w:hint="eastAsia" w:ascii="Times New Roman" w:hAnsi="Times New Roman" w:eastAsia="仿宋_GB2312" w:cs="Times New Roman"/>
          <w:sz w:val="32"/>
          <w:szCs w:val="32"/>
          <w:highlight w:val="none"/>
          <w:lang w:val="en-US" w:eastAsia="zh-CN"/>
        </w:rPr>
        <w:t>种子基金出资主体</w:t>
      </w:r>
      <w:r>
        <w:rPr>
          <w:rFonts w:hint="eastAsia" w:ascii="Times New Roman" w:hAnsi="Times New Roman" w:eastAsia="仿宋_GB2312" w:cs="Times New Roman"/>
          <w:sz w:val="32"/>
          <w:szCs w:val="32"/>
          <w:highlight w:val="none"/>
        </w:rPr>
        <w:t>强制退出而产生的风险和损失，本机构自愿承担。</w:t>
      </w:r>
    </w:p>
    <w:p w14:paraId="219DE05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六、如上述说明和承诺情况存在任何虚假或隐瞒，本机构愿承担由此而产生的一切法律责任。同时，如贵司在子基金设立后发现上述说明和承诺情况存在任何虚假或隐瞒，本机构愿承担由此而产生的包括但不限于以下法律责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）向</w:t>
      </w:r>
      <w:r>
        <w:rPr>
          <w:rFonts w:hint="eastAsia" w:ascii="Times New Roman" w:hAnsi="Times New Roman" w:cs="Times New Roman"/>
          <w:sz w:val="32"/>
          <w:szCs w:val="32"/>
          <w:highlight w:val="none"/>
          <w:lang w:val="en-US" w:eastAsia="zh-CN"/>
        </w:rPr>
        <w:t>种子基金出资主体</w:t>
      </w:r>
      <w:r>
        <w:rPr>
          <w:rFonts w:hint="eastAsia" w:ascii="Times New Roman" w:hAnsi="Times New Roman" w:eastAsia="仿宋_GB2312" w:cs="Times New Roman"/>
          <w:sz w:val="32"/>
          <w:szCs w:val="32"/>
          <w:highlight w:val="none"/>
          <w:lang w:eastAsia="zh-CN"/>
        </w:rPr>
        <w:t>承担相应责任并赔偿由此对</w:t>
      </w:r>
      <w:r>
        <w:rPr>
          <w:rFonts w:hint="eastAsia" w:ascii="Times New Roman" w:hAnsi="Times New Roman" w:eastAsia="仿宋_GB2312" w:cs="Times New Roman"/>
          <w:sz w:val="32"/>
          <w:szCs w:val="32"/>
          <w:highlight w:val="none"/>
          <w:lang w:val="en-US" w:eastAsia="zh-CN"/>
        </w:rPr>
        <w:t>种子</w:t>
      </w:r>
      <w:r>
        <w:rPr>
          <w:rFonts w:hint="eastAsia" w:ascii="Times New Roman" w:hAnsi="Times New Roman" w:eastAsia="仿宋_GB2312" w:cs="Times New Roman"/>
          <w:sz w:val="32"/>
          <w:szCs w:val="32"/>
          <w:highlight w:val="none"/>
          <w:lang w:eastAsia="zh-CN"/>
        </w:rPr>
        <w:t>基金造成的全部损失；（</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依据子基金《合伙协议》/《公司章程》/《委托管理协议》等规定承担相应的法律责任；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承担其他与此相关的法律责任。</w:t>
      </w:r>
    </w:p>
    <w:p w14:paraId="0852954D">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特此！</w:t>
      </w:r>
    </w:p>
    <w:p w14:paraId="2C466245">
      <w:pPr>
        <w:keepNext w:val="0"/>
        <w:keepLines w:val="0"/>
        <w:pageBreakBefore w:val="0"/>
        <w:widowControl/>
        <w:kinsoku/>
        <w:wordWrap/>
        <w:overflowPunct/>
        <w:topLinePunct w:val="0"/>
        <w:autoSpaceDE/>
        <w:autoSpaceDN/>
        <w:bidi w:val="0"/>
        <w:adjustRightInd/>
        <w:spacing w:line="560" w:lineRule="exact"/>
        <w:ind w:right="480" w:firstLine="3200" w:firstLineChars="1000"/>
        <w:textAlignment w:val="auto"/>
        <w:rPr>
          <w:rFonts w:hint="eastAsia" w:ascii="Times New Roman" w:hAnsi="Times New Roman" w:eastAsia="仿宋_GB2312" w:cs="Times New Roman"/>
          <w:sz w:val="32"/>
          <w:szCs w:val="32"/>
          <w:highlight w:val="none"/>
        </w:rPr>
      </w:pPr>
    </w:p>
    <w:p w14:paraId="4A665AEC">
      <w:pPr>
        <w:keepNext w:val="0"/>
        <w:keepLines w:val="0"/>
        <w:pageBreakBefore w:val="0"/>
        <w:widowControl/>
        <w:kinsoku/>
        <w:wordWrap/>
        <w:overflowPunct/>
        <w:topLinePunct w:val="0"/>
        <w:autoSpaceDE/>
        <w:autoSpaceDN/>
        <w:bidi w:val="0"/>
        <w:adjustRightInd/>
        <w:spacing w:line="560" w:lineRule="exact"/>
        <w:ind w:right="480" w:firstLine="3200" w:firstLineChars="1000"/>
        <w:textAlignment w:val="auto"/>
        <w:rPr>
          <w:rFonts w:hint="eastAsia" w:ascii="Times New Roman" w:hAnsi="Times New Roman" w:eastAsia="仿宋_GB2312" w:cs="Times New Roman"/>
          <w:sz w:val="32"/>
          <w:szCs w:val="32"/>
          <w:highlight w:val="none"/>
        </w:rPr>
      </w:pPr>
    </w:p>
    <w:p w14:paraId="5B754554">
      <w:pPr>
        <w:keepNext w:val="0"/>
        <w:keepLines w:val="0"/>
        <w:pageBreakBefore w:val="0"/>
        <w:widowControl/>
        <w:kinsoku/>
        <w:wordWrap/>
        <w:overflowPunct/>
        <w:topLinePunct w:val="0"/>
        <w:autoSpaceDE/>
        <w:autoSpaceDN/>
        <w:bidi w:val="0"/>
        <w:adjustRightInd/>
        <w:spacing w:line="560" w:lineRule="exact"/>
        <w:ind w:right="480" w:firstLine="3200" w:firstLineChars="10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承诺人：（公章、骑缝章）</w:t>
      </w:r>
    </w:p>
    <w:p w14:paraId="00D39F4C">
      <w:pPr>
        <w:keepNext w:val="0"/>
        <w:keepLines w:val="0"/>
        <w:pageBreakBefore w:val="0"/>
        <w:widowControl/>
        <w:kinsoku/>
        <w:wordWrap/>
        <w:overflowPunct/>
        <w:topLinePunct w:val="0"/>
        <w:autoSpaceDE/>
        <w:autoSpaceDN/>
        <w:bidi w:val="0"/>
        <w:adjustRightInd/>
        <w:spacing w:line="560" w:lineRule="exact"/>
        <w:ind w:right="480" w:firstLine="1920" w:firstLineChars="6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法定代表人/执行事务合伙人（签字）：</w:t>
      </w:r>
    </w:p>
    <w:p w14:paraId="6AACDFB3">
      <w:pPr>
        <w:keepNext w:val="0"/>
        <w:keepLines w:val="0"/>
        <w:pageBreakBefore w:val="0"/>
        <w:widowControl/>
        <w:kinsoku/>
        <w:wordWrap/>
        <w:overflowPunct/>
        <w:topLinePunct w:val="0"/>
        <w:autoSpaceDE/>
        <w:autoSpaceDN/>
        <w:bidi w:val="0"/>
        <w:adjustRightInd/>
        <w:spacing w:line="560" w:lineRule="exact"/>
        <w:ind w:right="480" w:firstLine="8160" w:firstLineChars="2550"/>
        <w:textAlignment w:val="auto"/>
        <w:rPr>
          <w:rFonts w:ascii="Times New Roman" w:hAnsi="Times New Roman" w:eastAsia="仿宋_GB2312" w:cs="Times New Roman"/>
          <w:sz w:val="32"/>
          <w:szCs w:val="32"/>
          <w:highlight w:val="none"/>
        </w:rPr>
      </w:pPr>
    </w:p>
    <w:p w14:paraId="1AC96BA5">
      <w:pPr>
        <w:keepNext w:val="0"/>
        <w:keepLines w:val="0"/>
        <w:pageBreakBefore w:val="0"/>
        <w:widowControl/>
        <w:kinsoku/>
        <w:wordWrap/>
        <w:overflowPunct/>
        <w:topLinePunct w:val="0"/>
        <w:autoSpaceDE/>
        <w:autoSpaceDN/>
        <w:bidi w:val="0"/>
        <w:adjustRightInd/>
        <w:spacing w:line="560" w:lineRule="exact"/>
        <w:ind w:right="480"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                        日期：    年   月  </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日</w:t>
      </w:r>
    </w:p>
    <w:p w14:paraId="3FEF6BF2">
      <w:pPr>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Times New Roman" w:hAnsi="Times New Roman" w:eastAsia="仿宋_GB2312" w:cs="Times New Roman"/>
          <w:kern w:val="2"/>
          <w:sz w:val="32"/>
          <w:szCs w:val="32"/>
          <w:highlight w:val="none"/>
          <w:lang w:val="en-US" w:eastAsia="zh-CN" w:bidi="ar-SA"/>
        </w:rPr>
      </w:pPr>
    </w:p>
    <w:p w14:paraId="327A7932">
      <w:pPr>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Times New Roman" w:hAnsi="Times New Roman" w:eastAsia="仿宋_GB2312" w:cs="Times New Roman"/>
          <w:kern w:val="2"/>
          <w:sz w:val="32"/>
          <w:szCs w:val="32"/>
          <w:highlight w:val="none"/>
          <w:lang w:val="en-US" w:eastAsia="zh-CN" w:bidi="ar-SA"/>
        </w:rPr>
      </w:pPr>
    </w:p>
    <w:p w14:paraId="746D929A">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outlineLvl w:val="0"/>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rPr>
        <w:t>附件</w:t>
      </w:r>
      <w:r>
        <w:rPr>
          <w:rFonts w:hint="eastAsia" w:eastAsia="黑体" w:cs="Times New Roman"/>
          <w:b w:val="0"/>
          <w:bCs w:val="0"/>
          <w:sz w:val="32"/>
          <w:szCs w:val="32"/>
          <w:highlight w:val="none"/>
          <w:lang w:val="en-US" w:eastAsia="zh-CN"/>
        </w:rPr>
        <w:t>6</w:t>
      </w:r>
    </w:p>
    <w:p w14:paraId="374D5FA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等线" w:eastAsia="方正小标宋简体"/>
          <w:sz w:val="44"/>
          <w:szCs w:val="44"/>
        </w:rPr>
      </w:pPr>
      <w:r>
        <w:rPr>
          <w:rFonts w:hint="eastAsia" w:ascii="方正小标宋简体" w:hAnsi="等线" w:eastAsia="方正小标宋简体"/>
          <w:sz w:val="44"/>
          <w:szCs w:val="44"/>
        </w:rPr>
        <w:t>廉洁承诺书</w:t>
      </w:r>
    </w:p>
    <w:p w14:paraId="2518B772">
      <w:pPr>
        <w:keepNext w:val="0"/>
        <w:keepLines w:val="0"/>
        <w:pageBreakBefore w:val="0"/>
        <w:widowControl/>
        <w:kinsoku/>
        <w:wordWrap/>
        <w:overflowPunct/>
        <w:topLinePunct w:val="0"/>
        <w:autoSpaceDE/>
        <w:autoSpaceDN/>
        <w:bidi w:val="0"/>
        <w:adjustRightInd/>
        <w:spacing w:line="560" w:lineRule="exact"/>
        <w:textAlignment w:val="auto"/>
        <w:rPr>
          <w:rFonts w:eastAsia="仿宋_GB2312"/>
          <w:sz w:val="32"/>
          <w:szCs w:val="32"/>
        </w:rPr>
      </w:pPr>
      <w:r>
        <w:rPr>
          <w:rFonts w:eastAsia="仿宋_GB2312"/>
          <w:sz w:val="32"/>
          <w:szCs w:val="32"/>
        </w:rPr>
        <w:t xml:space="preserve"> </w:t>
      </w:r>
    </w:p>
    <w:p w14:paraId="237EB918">
      <w:pPr>
        <w:keepNext w:val="0"/>
        <w:keepLines w:val="0"/>
        <w:pageBreakBefore w:val="0"/>
        <w:widowControl/>
        <w:kinsoku/>
        <w:wordWrap/>
        <w:overflowPunct/>
        <w:topLinePunct w:val="0"/>
        <w:autoSpaceDE/>
        <w:autoSpaceDN/>
        <w:bidi w:val="0"/>
        <w:adjustRightInd/>
        <w:spacing w:line="560" w:lineRule="exact"/>
        <w:ind w:firstLine="0" w:firstLineChars="0"/>
        <w:textAlignment w:val="auto"/>
        <w:rPr>
          <w:rFonts w:hint="eastAsia" w:ascii="仿宋_GB2312" w:hAnsi="等线" w:eastAsia="仿宋_GB2312"/>
          <w:sz w:val="32"/>
          <w:szCs w:val="32"/>
        </w:rPr>
      </w:pPr>
      <w:r>
        <w:rPr>
          <w:rFonts w:hint="eastAsia" w:ascii="Times New Roman" w:hAnsi="Times New Roman" w:eastAsia="仿宋_GB2312" w:cs="Times New Roman"/>
          <w:sz w:val="32"/>
          <w:szCs w:val="32"/>
          <w:highlight w:val="none"/>
        </w:rPr>
        <w:t>郑州中原科技城产业引导基金有限责任公司</w:t>
      </w:r>
      <w:r>
        <w:rPr>
          <w:rFonts w:hint="eastAsia" w:ascii="仿宋_GB2312" w:hAnsi="等线" w:eastAsia="仿宋_GB2312"/>
          <w:sz w:val="32"/>
          <w:szCs w:val="32"/>
        </w:rPr>
        <w:t>：</w:t>
      </w:r>
    </w:p>
    <w:p w14:paraId="618D4991">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鉴于本机构（含该申请机构及其实际控制人/大股东，以下合称“承诺人”）有意申请</w:t>
      </w:r>
      <w:r>
        <w:rPr>
          <w:rFonts w:hint="eastAsia" w:ascii="仿宋_GB2312" w:hAnsi="等线"/>
          <w:sz w:val="32"/>
          <w:szCs w:val="32"/>
          <w:lang w:val="en-US" w:eastAsia="zh-CN"/>
        </w:rPr>
        <w:t>中原科技城种子基金子基金</w:t>
      </w:r>
      <w:r>
        <w:rPr>
          <w:rFonts w:hint="eastAsia" w:ascii="仿宋_GB2312" w:hAnsi="等线" w:eastAsia="仿宋_GB2312"/>
          <w:sz w:val="32"/>
          <w:szCs w:val="32"/>
        </w:rPr>
        <w:t>，承诺人作为子基金的管理人，同意诚信经营，严格遵守法律法规有关廉洁从业、禁止贿赂的有关规定，特向贵方承诺如下:</w:t>
      </w:r>
    </w:p>
    <w:p w14:paraId="47229EA9">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一、承诺人承诺严格遵守《刑法》《关于禁止商业贿赂行为的暂行规定》等关于廉洁从业、反对贿赂的有关法律法规和政策，知悉任何形式的贿赂都将触犯法律，违反该等法律法规和政策，都将受到相应法律制裁。</w:t>
      </w:r>
    </w:p>
    <w:p w14:paraId="629A0711">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二、在贵方及贵方委托的其他相关机构对承诺人、子基金及子基金相关方进行投资尽职调查、投资决策、投资合同的洽谈、签订与履行以及投资款的支付、投后对子基金的管理与退出等各个环节中，承诺人承诺不直接或间接向贵方员工行贿，包括但不限于:</w:t>
      </w:r>
    </w:p>
    <w:p w14:paraId="49EB993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1.不向贵方员工提供回扣、礼金、有价证券、支付凭证、贵重物品、旅游券等。</w:t>
      </w:r>
    </w:p>
    <w:p w14:paraId="1C1FC3DB">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2.不为贵方员工报销应由贵方或贵方员工个人支付的费用。</w:t>
      </w:r>
    </w:p>
    <w:p w14:paraId="6A129AB8">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3.不为贵方员工投资入股、个人借款或买卖股票、债券等提供优惠或其他方便。</w:t>
      </w:r>
    </w:p>
    <w:p w14:paraId="797B146F">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4.不为贵方员工购置或提供通讯工具、交通工具和高档办公用品。</w:t>
      </w:r>
    </w:p>
    <w:p w14:paraId="16DA062D">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5.不为贵方员工的配偶、子女及其他亲属谋取不正当利益提供方便。</w:t>
      </w:r>
    </w:p>
    <w:p w14:paraId="68969C7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6.不违反规定安排贵方员工在承诺人或承诺人所投资的其他企业兼职并领取兼职报酬。</w:t>
      </w:r>
    </w:p>
    <w:p w14:paraId="68DB5B0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7.违反法律法规和政策规定的其他不廉洁行为。</w:t>
      </w:r>
    </w:p>
    <w:p w14:paraId="538F3E04">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 xml:space="preserve"> </w:t>
      </w:r>
    </w:p>
    <w:p w14:paraId="011C2319">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 xml:space="preserve"> </w:t>
      </w:r>
    </w:p>
    <w:p w14:paraId="41589B54">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 xml:space="preserve"> </w:t>
      </w:r>
    </w:p>
    <w:p w14:paraId="1D5DA46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等线" w:eastAsia="仿宋_GB2312"/>
          <w:sz w:val="32"/>
          <w:szCs w:val="32"/>
        </w:rPr>
      </w:pPr>
      <w:r>
        <w:rPr>
          <w:rFonts w:hint="eastAsia" w:ascii="仿宋_GB2312" w:hAnsi="等线" w:eastAsia="仿宋_GB2312"/>
          <w:sz w:val="32"/>
          <w:szCs w:val="32"/>
        </w:rPr>
        <w:t xml:space="preserve"> </w:t>
      </w:r>
    </w:p>
    <w:p w14:paraId="4A1552A6">
      <w:pPr>
        <w:keepNext w:val="0"/>
        <w:keepLines w:val="0"/>
        <w:pageBreakBefore w:val="0"/>
        <w:widowControl/>
        <w:kinsoku/>
        <w:wordWrap/>
        <w:overflowPunct/>
        <w:topLinePunct w:val="0"/>
        <w:autoSpaceDE/>
        <w:autoSpaceDN/>
        <w:bidi w:val="0"/>
        <w:adjustRightInd/>
        <w:spacing w:line="560" w:lineRule="exact"/>
        <w:ind w:firstLine="640" w:firstLineChars="200"/>
        <w:jc w:val="center"/>
        <w:textAlignment w:val="auto"/>
        <w:rPr>
          <w:rFonts w:hint="eastAsia" w:ascii="仿宋_GB2312" w:hAnsi="等线" w:eastAsia="仿宋_GB2312"/>
          <w:sz w:val="32"/>
          <w:szCs w:val="32"/>
        </w:rPr>
      </w:pPr>
      <w:r>
        <w:rPr>
          <w:rFonts w:hint="eastAsia" w:ascii="仿宋_GB2312" w:hAnsi="等线" w:eastAsia="仿宋_GB2312"/>
          <w:sz w:val="32"/>
          <w:szCs w:val="32"/>
        </w:rPr>
        <w:t>承诺人:（公章、骑缝章）</w:t>
      </w:r>
    </w:p>
    <w:p w14:paraId="63CE59D6">
      <w:pPr>
        <w:keepNext w:val="0"/>
        <w:keepLines w:val="0"/>
        <w:pageBreakBefore w:val="0"/>
        <w:widowControl/>
        <w:kinsoku/>
        <w:wordWrap/>
        <w:overflowPunct/>
        <w:topLinePunct w:val="0"/>
        <w:autoSpaceDE/>
        <w:autoSpaceDN/>
        <w:bidi w:val="0"/>
        <w:adjustRightInd/>
        <w:spacing w:line="560" w:lineRule="exact"/>
        <w:ind w:firstLine="640" w:firstLineChars="200"/>
        <w:jc w:val="right"/>
        <w:textAlignment w:val="auto"/>
        <w:rPr>
          <w:rFonts w:hint="eastAsia" w:ascii="仿宋_GB2312" w:hAnsi="等线" w:eastAsia="仿宋_GB2312"/>
          <w:sz w:val="32"/>
          <w:szCs w:val="32"/>
        </w:rPr>
      </w:pPr>
      <w:r>
        <w:rPr>
          <w:rFonts w:hint="eastAsia" w:ascii="仿宋_GB2312" w:hAnsi="等线" w:eastAsia="仿宋_GB2312"/>
          <w:sz w:val="32"/>
          <w:szCs w:val="32"/>
        </w:rPr>
        <w:t xml:space="preserve"> </w:t>
      </w:r>
    </w:p>
    <w:p w14:paraId="061F5921">
      <w:pPr>
        <w:keepNext w:val="0"/>
        <w:keepLines w:val="0"/>
        <w:pageBreakBefore w:val="0"/>
        <w:widowControl/>
        <w:kinsoku/>
        <w:wordWrap/>
        <w:overflowPunct/>
        <w:topLinePunct w:val="0"/>
        <w:autoSpaceDE/>
        <w:autoSpaceDN/>
        <w:bidi w:val="0"/>
        <w:adjustRightInd/>
        <w:spacing w:line="560" w:lineRule="exact"/>
        <w:ind w:firstLine="1280" w:firstLineChars="400"/>
        <w:jc w:val="both"/>
        <w:textAlignment w:val="auto"/>
        <w:rPr>
          <w:rFonts w:hint="eastAsia" w:ascii="仿宋_GB2312" w:hAnsi="等线" w:eastAsia="仿宋_GB2312"/>
          <w:sz w:val="32"/>
          <w:szCs w:val="32"/>
        </w:rPr>
      </w:pPr>
      <w:r>
        <w:rPr>
          <w:rFonts w:hint="eastAsia" w:ascii="仿宋_GB2312" w:hAnsi="等线" w:eastAsia="仿宋_GB2312"/>
          <w:sz w:val="32"/>
          <w:szCs w:val="32"/>
        </w:rPr>
        <w:t>法定代表人/执行事务合伙人:（签字）</w:t>
      </w:r>
    </w:p>
    <w:p w14:paraId="6DCE8A43">
      <w:pPr>
        <w:keepNext w:val="0"/>
        <w:keepLines w:val="0"/>
        <w:pageBreakBefore w:val="0"/>
        <w:widowControl/>
        <w:kinsoku/>
        <w:wordWrap/>
        <w:overflowPunct/>
        <w:topLinePunct w:val="0"/>
        <w:autoSpaceDE/>
        <w:autoSpaceDN/>
        <w:bidi w:val="0"/>
        <w:adjustRightInd/>
        <w:spacing w:line="560" w:lineRule="exact"/>
        <w:ind w:firstLine="640" w:firstLineChars="200"/>
        <w:jc w:val="right"/>
        <w:textAlignment w:val="auto"/>
        <w:rPr>
          <w:rFonts w:hint="eastAsia" w:ascii="仿宋_GB2312" w:hAnsi="等线" w:eastAsia="仿宋_GB2312"/>
          <w:sz w:val="32"/>
          <w:szCs w:val="32"/>
        </w:rPr>
      </w:pPr>
      <w:r>
        <w:rPr>
          <w:rFonts w:hint="eastAsia" w:ascii="仿宋_GB2312" w:hAnsi="等线" w:eastAsia="仿宋_GB2312"/>
          <w:sz w:val="32"/>
          <w:szCs w:val="32"/>
        </w:rPr>
        <w:t xml:space="preserve"> </w:t>
      </w:r>
    </w:p>
    <w:p w14:paraId="62BED1C5">
      <w:pPr>
        <w:keepNext w:val="0"/>
        <w:keepLines w:val="0"/>
        <w:pageBreakBefore w:val="0"/>
        <w:widowControl/>
        <w:kinsoku/>
        <w:wordWrap/>
        <w:overflowPunct/>
        <w:topLinePunct w:val="0"/>
        <w:autoSpaceDE/>
        <w:autoSpaceDN/>
        <w:bidi w:val="0"/>
        <w:adjustRightInd/>
        <w:spacing w:line="560" w:lineRule="exact"/>
        <w:ind w:firstLine="640" w:firstLineChars="200"/>
        <w:jc w:val="right"/>
        <w:textAlignment w:val="auto"/>
        <w:rPr>
          <w:rFonts w:hint="eastAsia" w:ascii="仿宋_GB2312" w:hAnsi="等线" w:eastAsia="仿宋_GB2312"/>
          <w:sz w:val="32"/>
          <w:szCs w:val="32"/>
        </w:rPr>
      </w:pPr>
    </w:p>
    <w:p w14:paraId="60A8DCE8">
      <w:pPr>
        <w:keepNext w:val="0"/>
        <w:keepLines w:val="0"/>
        <w:pageBreakBefore w:val="0"/>
        <w:widowControl/>
        <w:kinsoku/>
        <w:wordWrap/>
        <w:overflowPunct/>
        <w:topLinePunct w:val="0"/>
        <w:autoSpaceDE/>
        <w:autoSpaceDN/>
        <w:bidi w:val="0"/>
        <w:adjustRightInd/>
        <w:spacing w:line="560" w:lineRule="exact"/>
        <w:ind w:firstLine="640" w:firstLineChars="200"/>
        <w:jc w:val="righ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仿宋_GB2312" w:hAnsi="等线" w:eastAsia="仿宋_GB2312"/>
          <w:sz w:val="32"/>
          <w:szCs w:val="32"/>
        </w:rPr>
        <w:t xml:space="preserve">日期:     年  </w:t>
      </w:r>
      <w:r>
        <w:rPr>
          <w:rFonts w:hint="eastAsia" w:ascii="仿宋_GB2312" w:hAnsi="等线"/>
          <w:sz w:val="32"/>
          <w:szCs w:val="32"/>
          <w:lang w:val="en-US" w:eastAsia="zh-CN"/>
        </w:rPr>
        <w:t xml:space="preserve"> </w:t>
      </w:r>
      <w:r>
        <w:rPr>
          <w:rFonts w:hint="eastAsia" w:ascii="仿宋_GB2312" w:hAnsi="等线" w:eastAsia="仿宋_GB2312"/>
          <w:sz w:val="32"/>
          <w:szCs w:val="32"/>
        </w:rPr>
        <w:t xml:space="preserve">月  </w:t>
      </w:r>
      <w:r>
        <w:rPr>
          <w:rFonts w:hint="eastAsia" w:ascii="仿宋_GB2312" w:hAnsi="等线"/>
          <w:sz w:val="32"/>
          <w:szCs w:val="32"/>
          <w:lang w:val="en-US" w:eastAsia="zh-CN"/>
        </w:rPr>
        <w:t xml:space="preserve"> </w:t>
      </w:r>
      <w:r>
        <w:rPr>
          <w:rFonts w:hint="eastAsia" w:ascii="仿宋_GB2312" w:hAnsi="等线" w:eastAsia="仿宋_GB2312"/>
          <w:sz w:val="32"/>
          <w:szCs w:val="32"/>
        </w:rPr>
        <w:t>日</w:t>
      </w:r>
    </w:p>
    <w:p w14:paraId="6BB3C624">
      <w:pPr>
        <w:spacing w:line="56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p>
    <w:p w14:paraId="02CF240E">
      <w:pPr>
        <w:widowControl w:val="0"/>
        <w:spacing w:line="560" w:lineRule="exact"/>
        <w:ind w:firstLine="0" w:firstLineChars="0"/>
        <w:outlineLvl w:val="0"/>
        <w:rPr>
          <w:rFonts w:hint="eastAsia" w:ascii="Times New Roman" w:hAnsi="Times New Roman" w:eastAsia="黑体" w:cs="Times New Roman"/>
          <w:b w:val="0"/>
          <w:bCs w:val="0"/>
          <w:sz w:val="32"/>
          <w:szCs w:val="32"/>
          <w:highlight w:val="none"/>
        </w:rPr>
      </w:pPr>
    </w:p>
    <w:p w14:paraId="75D564F4">
      <w:pPr>
        <w:widowControl w:val="0"/>
        <w:spacing w:line="560" w:lineRule="exact"/>
        <w:ind w:firstLine="0" w:firstLineChars="0"/>
        <w:outlineLvl w:val="0"/>
        <w:rPr>
          <w:rFonts w:hint="eastAsia" w:ascii="Times New Roman" w:hAnsi="Times New Roman" w:eastAsia="黑体" w:cs="Times New Roman"/>
          <w:b w:val="0"/>
          <w:bCs w:val="0"/>
          <w:sz w:val="32"/>
          <w:szCs w:val="32"/>
          <w:highlight w:val="none"/>
        </w:rPr>
      </w:pPr>
    </w:p>
    <w:p w14:paraId="26103131">
      <w:pPr>
        <w:widowControl w:val="0"/>
        <w:spacing w:line="560" w:lineRule="exact"/>
        <w:ind w:firstLine="0" w:firstLineChars="0"/>
        <w:outlineLvl w:val="0"/>
        <w:rPr>
          <w:rFonts w:hint="eastAsia" w:ascii="Times New Roman" w:hAnsi="Times New Roman" w:eastAsia="黑体" w:cs="Times New Roman"/>
          <w:b w:val="0"/>
          <w:bCs w:val="0"/>
          <w:sz w:val="32"/>
          <w:szCs w:val="32"/>
          <w:highlight w:val="none"/>
        </w:rPr>
      </w:pPr>
    </w:p>
    <w:p w14:paraId="4CF5F521">
      <w:pPr>
        <w:widowControl w:val="0"/>
        <w:spacing w:line="560" w:lineRule="exact"/>
        <w:ind w:firstLine="0" w:firstLineChars="0"/>
        <w:outlineLvl w:val="0"/>
        <w:rPr>
          <w:rFonts w:hint="eastAsia" w:ascii="Times New Roman" w:hAnsi="Times New Roman" w:eastAsia="黑体" w:cs="Times New Roman"/>
          <w:b w:val="0"/>
          <w:bCs w:val="0"/>
          <w:sz w:val="32"/>
          <w:szCs w:val="32"/>
          <w:highlight w:val="none"/>
        </w:rPr>
      </w:pPr>
    </w:p>
    <w:p w14:paraId="7D151EAD">
      <w:pPr>
        <w:widowControl w:val="0"/>
        <w:spacing w:line="560" w:lineRule="exact"/>
        <w:ind w:firstLine="0" w:firstLineChars="0"/>
        <w:outlineLvl w:val="0"/>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rPr>
        <w:t>附件</w:t>
      </w:r>
      <w:r>
        <w:rPr>
          <w:rFonts w:hint="eastAsia" w:eastAsia="黑体" w:cs="Times New Roman"/>
          <w:b w:val="0"/>
          <w:bCs w:val="0"/>
          <w:sz w:val="32"/>
          <w:szCs w:val="32"/>
          <w:highlight w:val="none"/>
          <w:lang w:val="en-US" w:eastAsia="zh-CN"/>
        </w:rPr>
        <w:t>7</w:t>
      </w:r>
    </w:p>
    <w:p w14:paraId="0B2A0830">
      <w:pPr>
        <w:spacing w:line="560" w:lineRule="exact"/>
        <w:ind w:firstLine="0" w:firstLineChars="0"/>
        <w:jc w:val="center"/>
        <w:rPr>
          <w:rFonts w:ascii="Times New Roman" w:hAnsi="Times New Roman" w:eastAsia="方正小标宋简体" w:cs="Times New Roman"/>
          <w:sz w:val="32"/>
          <w:szCs w:val="22"/>
        </w:rPr>
      </w:pPr>
      <w:r>
        <w:rPr>
          <w:rFonts w:hint="eastAsia" w:ascii="Times New Roman" w:hAnsi="Times New Roman" w:eastAsia="方正小标宋简体" w:cs="Times New Roman"/>
          <w:sz w:val="32"/>
          <w:szCs w:val="22"/>
        </w:rPr>
        <w:t>子基金合规性自查表</w:t>
      </w:r>
    </w:p>
    <w:p w14:paraId="6688BF80">
      <w:pPr>
        <w:spacing w:line="560" w:lineRule="exact"/>
        <w:ind w:firstLine="0" w:firstLineChars="0"/>
        <w:rPr>
          <w:rFonts w:hint="default" w:ascii="Times New Roman" w:hAnsi="Times New Roman" w:eastAsia="宋体" w:cs="Times New Roman"/>
          <w:sz w:val="24"/>
          <w:szCs w:val="22"/>
          <w:u w:val="single"/>
          <w:lang w:val="en-US" w:eastAsia="zh-CN"/>
        </w:rPr>
      </w:pPr>
      <w:r>
        <w:rPr>
          <w:rFonts w:hint="eastAsia" w:ascii="Times New Roman" w:hAnsi="Times New Roman" w:eastAsia="宋体" w:cs="Times New Roman"/>
          <w:sz w:val="24"/>
          <w:szCs w:val="22"/>
          <w:u w:val="none"/>
        </w:rPr>
        <w:t>拟申报子基金名称：</w:t>
      </w:r>
      <w:r>
        <w:rPr>
          <w:rFonts w:hint="eastAsia" w:eastAsia="宋体" w:cs="Times New Roman"/>
          <w:sz w:val="24"/>
          <w:szCs w:val="22"/>
          <w:u w:val="single"/>
          <w:lang w:val="en-US" w:eastAsia="zh-CN"/>
        </w:rPr>
        <w:t xml:space="preserve">                                   </w:t>
      </w:r>
    </w:p>
    <w:tbl>
      <w:tblPr>
        <w:tblStyle w:val="9"/>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6398"/>
        <w:gridCol w:w="1134"/>
        <w:gridCol w:w="970"/>
      </w:tblGrid>
      <w:tr w14:paraId="5208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650" w:type="dxa"/>
            <w:gridSpan w:val="2"/>
            <w:vAlign w:val="center"/>
          </w:tcPr>
          <w:p w14:paraId="2FE0282C">
            <w:pPr>
              <w:snapToGrid w:val="0"/>
              <w:spacing w:line="400" w:lineRule="exact"/>
              <w:ind w:firstLine="0" w:firstLineChars="0"/>
              <w:contextualSpacing/>
              <w:jc w:val="center"/>
              <w:rPr>
                <w:rFonts w:ascii="Times New Roman" w:hAnsi="Times New Roman" w:eastAsia="宋体" w:cs="Times New Roman"/>
                <w:sz w:val="21"/>
                <w:szCs w:val="22"/>
              </w:rPr>
            </w:pPr>
            <w:r>
              <w:rPr>
                <w:rFonts w:hint="eastAsia" w:ascii="Times New Roman" w:hAnsi="Times New Roman" w:eastAsia="宋体" w:cs="Times New Roman"/>
                <w:sz w:val="21"/>
                <w:szCs w:val="22"/>
              </w:rPr>
              <w:t>项目</w:t>
            </w:r>
          </w:p>
        </w:tc>
        <w:tc>
          <w:tcPr>
            <w:tcW w:w="1134" w:type="dxa"/>
            <w:vAlign w:val="center"/>
          </w:tcPr>
          <w:p w14:paraId="4571F7E0">
            <w:pPr>
              <w:snapToGrid w:val="0"/>
              <w:spacing w:line="400" w:lineRule="exact"/>
              <w:ind w:firstLine="0" w:firstLineChars="0"/>
              <w:contextualSpacing/>
              <w:jc w:val="center"/>
              <w:rPr>
                <w:rFonts w:ascii="Times New Roman" w:hAnsi="Times New Roman" w:eastAsia="宋体" w:cs="Times New Roman"/>
                <w:sz w:val="21"/>
                <w:szCs w:val="22"/>
              </w:rPr>
            </w:pPr>
            <w:r>
              <w:rPr>
                <w:rFonts w:hint="eastAsia" w:ascii="Times New Roman" w:hAnsi="Times New Roman" w:eastAsia="宋体" w:cs="Times New Roman"/>
                <w:sz w:val="21"/>
                <w:szCs w:val="22"/>
              </w:rPr>
              <w:t>是否符合</w:t>
            </w:r>
          </w:p>
        </w:tc>
        <w:tc>
          <w:tcPr>
            <w:tcW w:w="970" w:type="dxa"/>
            <w:vAlign w:val="center"/>
          </w:tcPr>
          <w:p w14:paraId="403F28B0">
            <w:pPr>
              <w:snapToGrid w:val="0"/>
              <w:spacing w:line="400" w:lineRule="exact"/>
              <w:ind w:firstLine="0" w:firstLineChars="0"/>
              <w:contextualSpacing/>
              <w:jc w:val="center"/>
              <w:rPr>
                <w:rFonts w:ascii="Times New Roman" w:hAnsi="Times New Roman" w:eastAsia="宋体" w:cs="Times New Roman"/>
                <w:sz w:val="21"/>
                <w:szCs w:val="22"/>
              </w:rPr>
            </w:pPr>
            <w:r>
              <w:rPr>
                <w:rFonts w:hint="eastAsia" w:ascii="Times New Roman" w:hAnsi="Times New Roman" w:eastAsia="宋体" w:cs="Times New Roman"/>
                <w:sz w:val="21"/>
                <w:szCs w:val="22"/>
              </w:rPr>
              <w:t>备注</w:t>
            </w:r>
          </w:p>
        </w:tc>
      </w:tr>
      <w:tr w14:paraId="6D6F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4" w:type="dxa"/>
            <w:gridSpan w:val="4"/>
            <w:vAlign w:val="center"/>
          </w:tcPr>
          <w:p w14:paraId="33BCCF73">
            <w:pPr>
              <w:snapToGrid w:val="0"/>
              <w:spacing w:line="400" w:lineRule="exact"/>
              <w:ind w:firstLine="0" w:firstLineChars="0"/>
              <w:contextualSpacing/>
              <w:rPr>
                <w:rFonts w:ascii="Times New Roman" w:hAnsi="Times New Roman" w:eastAsia="宋体" w:cs="Arial"/>
                <w:sz w:val="21"/>
                <w:szCs w:val="21"/>
              </w:rPr>
            </w:pPr>
            <w:r>
              <w:rPr>
                <w:rFonts w:hint="eastAsia" w:ascii="Times New Roman" w:hAnsi="Times New Roman" w:eastAsia="宋体" w:cs="Arial"/>
                <w:sz w:val="21"/>
                <w:szCs w:val="21"/>
              </w:rPr>
              <w:t>一、子基金应符合以下条件：</w:t>
            </w:r>
          </w:p>
        </w:tc>
      </w:tr>
      <w:tr w14:paraId="341E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52" w:type="dxa"/>
            <w:vAlign w:val="center"/>
          </w:tcPr>
          <w:p w14:paraId="615E65C6">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基金类型</w:t>
            </w:r>
          </w:p>
        </w:tc>
        <w:tc>
          <w:tcPr>
            <w:tcW w:w="6398" w:type="dxa"/>
            <w:vAlign w:val="center"/>
          </w:tcPr>
          <w:p w14:paraId="7D7359D5">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直接股权投资方式投资于</w:t>
            </w:r>
            <w:r>
              <w:rPr>
                <w:rFonts w:hint="eastAsia" w:ascii="Times New Roman" w:hAnsi="Times New Roman" w:eastAsia="宋体" w:cs="Times New Roman"/>
                <w:sz w:val="21"/>
                <w:szCs w:val="22"/>
                <w:lang w:val="en-US" w:eastAsia="zh-CN"/>
              </w:rPr>
              <w:t>极早期初创</w:t>
            </w:r>
            <w:r>
              <w:rPr>
                <w:rFonts w:hint="eastAsia" w:ascii="Times New Roman" w:hAnsi="Times New Roman" w:eastAsia="宋体" w:cs="Times New Roman"/>
                <w:sz w:val="21"/>
                <w:szCs w:val="22"/>
              </w:rPr>
              <w:t>项目的种子</w:t>
            </w:r>
            <w:r>
              <w:rPr>
                <w:rFonts w:hint="eastAsia" w:ascii="Times New Roman" w:hAnsi="Times New Roman" w:cs="Times New Roman"/>
                <w:sz w:val="21"/>
                <w:szCs w:val="22"/>
                <w:lang w:val="en-US" w:eastAsia="zh-CN"/>
              </w:rPr>
              <w:t>基金子</w:t>
            </w:r>
            <w:r>
              <w:rPr>
                <w:rFonts w:hint="eastAsia" w:ascii="Times New Roman" w:hAnsi="Times New Roman" w:eastAsia="宋体" w:cs="Times New Roman"/>
                <w:sz w:val="21"/>
                <w:szCs w:val="22"/>
              </w:rPr>
              <w:t>基金。</w:t>
            </w:r>
          </w:p>
        </w:tc>
        <w:tc>
          <w:tcPr>
            <w:tcW w:w="1134" w:type="dxa"/>
            <w:vAlign w:val="center"/>
          </w:tcPr>
          <w:p w14:paraId="4D4A38B7">
            <w:pPr>
              <w:keepNext/>
              <w:keepLines/>
              <w:snapToGrid w:val="0"/>
              <w:spacing w:before="260" w:after="260" w:line="400" w:lineRule="exact"/>
              <w:ind w:firstLine="0" w:firstLineChars="0"/>
              <w:contextualSpacing/>
              <w:rPr>
                <w:rFonts w:ascii="Times New Roman" w:hAnsi="Times New Roman" w:eastAsia="宋体" w:cs="Arial"/>
                <w:sz w:val="21"/>
                <w:szCs w:val="21"/>
              </w:rPr>
            </w:pPr>
          </w:p>
        </w:tc>
        <w:tc>
          <w:tcPr>
            <w:tcW w:w="970" w:type="dxa"/>
            <w:vAlign w:val="center"/>
          </w:tcPr>
          <w:p w14:paraId="336E9388">
            <w:pPr>
              <w:keepNext/>
              <w:keepLines/>
              <w:snapToGrid w:val="0"/>
              <w:spacing w:before="260" w:after="260" w:line="400" w:lineRule="exact"/>
              <w:ind w:firstLine="0" w:firstLineChars="0"/>
              <w:contextualSpacing/>
              <w:rPr>
                <w:rFonts w:ascii="Times New Roman" w:hAnsi="Times New Roman" w:eastAsia="宋体" w:cs="Arial"/>
                <w:sz w:val="21"/>
                <w:szCs w:val="21"/>
              </w:rPr>
            </w:pPr>
          </w:p>
        </w:tc>
      </w:tr>
      <w:tr w14:paraId="6F31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Align w:val="center"/>
          </w:tcPr>
          <w:p w14:paraId="1423D501">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注册地</w:t>
            </w:r>
          </w:p>
        </w:tc>
        <w:tc>
          <w:tcPr>
            <w:tcW w:w="6398" w:type="dxa"/>
            <w:vAlign w:val="center"/>
          </w:tcPr>
          <w:p w14:paraId="3DAF4601">
            <w:pPr>
              <w:snapToGrid w:val="0"/>
              <w:spacing w:line="400" w:lineRule="exact"/>
              <w:ind w:firstLine="0" w:firstLineChars="0"/>
              <w:contextualSpacing/>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郑东新区</w:t>
            </w:r>
          </w:p>
        </w:tc>
        <w:tc>
          <w:tcPr>
            <w:tcW w:w="1134" w:type="dxa"/>
            <w:vAlign w:val="center"/>
          </w:tcPr>
          <w:p w14:paraId="081D6883">
            <w:pPr>
              <w:keepNext/>
              <w:keepLines/>
              <w:snapToGrid w:val="0"/>
              <w:spacing w:before="260" w:after="260" w:line="400" w:lineRule="exact"/>
              <w:ind w:firstLine="0" w:firstLineChars="0"/>
              <w:contextualSpacing/>
              <w:rPr>
                <w:rFonts w:ascii="Times New Roman" w:hAnsi="Times New Roman" w:eastAsia="宋体" w:cs="Arial"/>
                <w:sz w:val="21"/>
                <w:szCs w:val="21"/>
              </w:rPr>
            </w:pPr>
          </w:p>
        </w:tc>
        <w:tc>
          <w:tcPr>
            <w:tcW w:w="970" w:type="dxa"/>
            <w:vAlign w:val="center"/>
          </w:tcPr>
          <w:p w14:paraId="6B3F1C64">
            <w:pPr>
              <w:keepNext/>
              <w:keepLines/>
              <w:snapToGrid w:val="0"/>
              <w:spacing w:before="260" w:after="260" w:line="400" w:lineRule="exact"/>
              <w:ind w:firstLine="0" w:firstLineChars="0"/>
              <w:contextualSpacing/>
              <w:rPr>
                <w:rFonts w:ascii="Times New Roman" w:hAnsi="Times New Roman" w:eastAsia="宋体" w:cs="Arial"/>
                <w:sz w:val="21"/>
                <w:szCs w:val="21"/>
              </w:rPr>
            </w:pPr>
          </w:p>
        </w:tc>
      </w:tr>
      <w:tr w14:paraId="48A2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1252" w:type="dxa"/>
            <w:vAlign w:val="center"/>
          </w:tcPr>
          <w:p w14:paraId="470D3348">
            <w:pPr>
              <w:snapToGrid w:val="0"/>
              <w:spacing w:line="400" w:lineRule="exact"/>
              <w:ind w:firstLine="0" w:firstLineChars="0"/>
              <w:contextualSpacing/>
              <w:jc w:val="both"/>
              <w:rPr>
                <w:rFonts w:ascii="Times New Roman" w:hAnsi="Times New Roman" w:eastAsia="宋体" w:cs="Times New Roman"/>
                <w:sz w:val="18"/>
                <w:szCs w:val="22"/>
              </w:rPr>
            </w:pPr>
            <w:r>
              <w:rPr>
                <w:rFonts w:hint="eastAsia" w:ascii="Times New Roman" w:hAnsi="Times New Roman" w:eastAsia="宋体" w:cs="Times New Roman"/>
                <w:sz w:val="21"/>
                <w:szCs w:val="22"/>
                <w:lang w:val="en-US" w:eastAsia="zh-CN"/>
              </w:rPr>
              <w:t>出资金额</w:t>
            </w:r>
          </w:p>
        </w:tc>
        <w:tc>
          <w:tcPr>
            <w:tcW w:w="6398" w:type="dxa"/>
            <w:vAlign w:val="center"/>
          </w:tcPr>
          <w:p w14:paraId="6075230D">
            <w:pPr>
              <w:snapToGrid w:val="0"/>
              <w:spacing w:line="400" w:lineRule="exact"/>
              <w:ind w:firstLine="0" w:firstLineChars="0"/>
              <w:contextualSpacing/>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引导基金公司在单个子基金中的出资金额不超过5000万元，按照投资进度分期实缴。</w:t>
            </w:r>
          </w:p>
        </w:tc>
        <w:tc>
          <w:tcPr>
            <w:tcW w:w="1134" w:type="dxa"/>
            <w:vAlign w:val="center"/>
          </w:tcPr>
          <w:p w14:paraId="08CE9805">
            <w:pPr>
              <w:snapToGrid w:val="0"/>
              <w:spacing w:line="400" w:lineRule="exact"/>
              <w:ind w:firstLine="0" w:firstLineChars="0"/>
              <w:contextualSpacing/>
              <w:rPr>
                <w:rFonts w:ascii="Times New Roman" w:hAnsi="Times New Roman" w:eastAsia="宋体" w:cs="Arial"/>
                <w:sz w:val="21"/>
                <w:szCs w:val="21"/>
              </w:rPr>
            </w:pPr>
          </w:p>
        </w:tc>
        <w:tc>
          <w:tcPr>
            <w:tcW w:w="970" w:type="dxa"/>
            <w:vAlign w:val="center"/>
          </w:tcPr>
          <w:p w14:paraId="78AAB9AD">
            <w:pPr>
              <w:snapToGrid w:val="0"/>
              <w:spacing w:line="400" w:lineRule="exact"/>
              <w:ind w:firstLine="0" w:firstLineChars="0"/>
              <w:contextualSpacing/>
              <w:rPr>
                <w:rFonts w:ascii="Times New Roman" w:hAnsi="Times New Roman" w:eastAsia="宋体" w:cs="Arial"/>
                <w:sz w:val="21"/>
                <w:szCs w:val="21"/>
              </w:rPr>
            </w:pPr>
          </w:p>
        </w:tc>
      </w:tr>
      <w:tr w14:paraId="3E73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2" w:type="dxa"/>
            <w:vAlign w:val="center"/>
          </w:tcPr>
          <w:p w14:paraId="0D0FD4EC">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存续期限</w:t>
            </w:r>
          </w:p>
        </w:tc>
        <w:tc>
          <w:tcPr>
            <w:tcW w:w="6398" w:type="dxa"/>
            <w:vAlign w:val="center"/>
          </w:tcPr>
          <w:p w14:paraId="336812BD">
            <w:pPr>
              <w:snapToGrid w:val="0"/>
              <w:spacing w:line="400" w:lineRule="exact"/>
              <w:ind w:firstLine="0" w:firstLineChars="0"/>
              <w:contextualSpacing/>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不超过</w:t>
            </w:r>
            <w:r>
              <w:rPr>
                <w:rFonts w:ascii="Times New Roman" w:hAnsi="Times New Roman" w:eastAsia="宋体" w:cs="Times New Roman"/>
                <w:sz w:val="21"/>
                <w:szCs w:val="21"/>
              </w:rPr>
              <w:t>15年。</w:t>
            </w:r>
          </w:p>
        </w:tc>
        <w:tc>
          <w:tcPr>
            <w:tcW w:w="1134" w:type="dxa"/>
            <w:vAlign w:val="center"/>
          </w:tcPr>
          <w:p w14:paraId="3AA3AE8F">
            <w:pPr>
              <w:keepNext/>
              <w:keepLines/>
              <w:snapToGrid w:val="0"/>
              <w:spacing w:before="260" w:after="260" w:line="400" w:lineRule="exact"/>
              <w:ind w:firstLine="0" w:firstLineChars="0"/>
              <w:contextualSpacing/>
              <w:rPr>
                <w:rFonts w:ascii="Times New Roman" w:hAnsi="Times New Roman" w:eastAsia="宋体" w:cs="Arial"/>
                <w:sz w:val="21"/>
                <w:szCs w:val="21"/>
              </w:rPr>
            </w:pPr>
          </w:p>
        </w:tc>
        <w:tc>
          <w:tcPr>
            <w:tcW w:w="970" w:type="dxa"/>
            <w:vAlign w:val="center"/>
          </w:tcPr>
          <w:p w14:paraId="346C6BE2">
            <w:pPr>
              <w:keepNext/>
              <w:keepLines/>
              <w:snapToGrid w:val="0"/>
              <w:spacing w:before="260" w:after="260" w:line="400" w:lineRule="exact"/>
              <w:ind w:firstLine="0" w:firstLineChars="0"/>
              <w:contextualSpacing/>
              <w:rPr>
                <w:rFonts w:ascii="Times New Roman" w:hAnsi="Times New Roman" w:eastAsia="宋体" w:cs="Arial"/>
                <w:sz w:val="21"/>
                <w:szCs w:val="21"/>
              </w:rPr>
            </w:pPr>
          </w:p>
        </w:tc>
      </w:tr>
      <w:tr w14:paraId="1104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Align w:val="center"/>
          </w:tcPr>
          <w:p w14:paraId="6FDA969B">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投资标的</w:t>
            </w:r>
          </w:p>
        </w:tc>
        <w:tc>
          <w:tcPr>
            <w:tcW w:w="6398" w:type="dxa"/>
            <w:vAlign w:val="center"/>
          </w:tcPr>
          <w:p w14:paraId="745B66BB">
            <w:pPr>
              <w:snapToGrid w:val="0"/>
              <w:spacing w:line="400" w:lineRule="exact"/>
              <w:ind w:firstLine="0" w:firstLineChars="0"/>
              <w:contextualSpacing/>
              <w:jc w:val="both"/>
              <w:rPr>
                <w:rFonts w:hint="eastAsia" w:ascii="Times New Roman" w:hAnsi="Times New Roman" w:eastAsia="宋体" w:cs="宋体"/>
                <w:sz w:val="21"/>
                <w:szCs w:val="21"/>
                <w:lang w:val="en-US" w:eastAsia="zh-CN"/>
              </w:rPr>
            </w:pPr>
            <w:r>
              <w:rPr>
                <w:rFonts w:hint="eastAsia" w:ascii="Times New Roman" w:hAnsi="Times New Roman" w:eastAsia="宋体" w:cs="Times New Roman"/>
                <w:sz w:val="21"/>
                <w:szCs w:val="22"/>
              </w:rPr>
              <w:t>子基金须全部投向</w:t>
            </w:r>
            <w:r>
              <w:rPr>
                <w:rFonts w:hint="eastAsia" w:ascii="Times New Roman" w:hAnsi="Times New Roman" w:eastAsia="宋体" w:cs="Times New Roman"/>
                <w:sz w:val="21"/>
                <w:szCs w:val="22"/>
                <w:lang w:val="en-US" w:eastAsia="zh-CN"/>
              </w:rPr>
              <w:t>极早期初创企业</w:t>
            </w:r>
            <w:r>
              <w:rPr>
                <w:rFonts w:hint="eastAsia" w:ascii="Times New Roman" w:hAnsi="Times New Roman" w:eastAsia="宋体" w:cs="宋体"/>
                <w:sz w:val="21"/>
                <w:szCs w:val="21"/>
                <w:lang w:val="en-US" w:eastAsia="zh-CN"/>
              </w:rPr>
              <w:t>。极早期初创企业，需满足以下条件：</w:t>
            </w:r>
          </w:p>
          <w:p w14:paraId="4E478936">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jc w:val="both"/>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1.基金投资须为其首轮外部机构投资。</w:t>
            </w:r>
          </w:p>
          <w:p w14:paraId="45F49B7C">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jc w:val="both"/>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首轮外部机构投资是指企业首次接受外部机构投资的行为，其中外部机构不包括企业创始人、高管和员工以及上述人员的亲属和朋友等个人，或上述人员出资形成的投资平台，个人天使或个人天使设立的投资平台；投资时间（以子基金对拟投企业投资决策时间为准）距离第一笔外部机构投资时间（以工商登记时间为准）相距不超过一年时间，且价格相近的，可视为同一轮投资；以上一家外部机构的投后估值作为下个外部机构的投前价格，或</w:t>
            </w:r>
            <w:r>
              <w:rPr>
                <w:rFonts w:hint="eastAsia" w:eastAsia="宋体" w:cs="宋体"/>
                <w:sz w:val="21"/>
                <w:szCs w:val="21"/>
                <w:lang w:val="en-US" w:eastAsia="zh-CN"/>
              </w:rPr>
              <w:t>因</w:t>
            </w:r>
            <w:r>
              <w:rPr>
                <w:rFonts w:hint="eastAsia" w:ascii="Times New Roman" w:hAnsi="Times New Roman" w:eastAsia="宋体" w:cs="宋体"/>
                <w:sz w:val="21"/>
                <w:szCs w:val="21"/>
                <w:lang w:val="en-US" w:eastAsia="zh-CN"/>
              </w:rPr>
              <w:t>不同机构资金投入的时间</w:t>
            </w:r>
            <w:r>
              <w:rPr>
                <w:rFonts w:hint="eastAsia" w:eastAsia="宋体" w:cs="宋体"/>
                <w:sz w:val="21"/>
                <w:szCs w:val="21"/>
                <w:lang w:val="en-US" w:eastAsia="zh-CN"/>
              </w:rPr>
              <w:t>、</w:t>
            </w:r>
            <w:r>
              <w:rPr>
                <w:rFonts w:hint="eastAsia" w:ascii="Times New Roman" w:hAnsi="Times New Roman" w:eastAsia="宋体" w:cs="宋体"/>
                <w:sz w:val="21"/>
                <w:szCs w:val="21"/>
                <w:lang w:val="en-US" w:eastAsia="zh-CN"/>
              </w:rPr>
              <w:t>投资条件差异而导致的投前较上个机构投后估值水平差异不超过20%的，可以视为价格相近的投资。</w:t>
            </w:r>
          </w:p>
          <w:p w14:paraId="468187C7">
            <w:pPr>
              <w:snapToGrid w:val="0"/>
              <w:spacing w:line="400" w:lineRule="exact"/>
              <w:ind w:firstLine="0" w:firstLineChars="0"/>
              <w:contextualSpacing/>
              <w:jc w:val="both"/>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2.基金投资决策时企业估值不超过1亿元人民币，以投前估值为准。</w:t>
            </w:r>
          </w:p>
          <w:p w14:paraId="08BE196D">
            <w:pPr>
              <w:snapToGrid w:val="0"/>
              <w:spacing w:line="400" w:lineRule="exact"/>
              <w:ind w:firstLine="0" w:firstLineChars="0"/>
              <w:contextualSpacing/>
              <w:jc w:val="both"/>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3.科技成果产权明晰。</w:t>
            </w:r>
          </w:p>
          <w:p w14:paraId="78291978">
            <w:pPr>
              <w:snapToGrid w:val="0"/>
              <w:spacing w:line="400" w:lineRule="exact"/>
              <w:ind w:firstLine="0" w:firstLineChars="0"/>
              <w:contextualSpacing/>
              <w:jc w:val="both"/>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4.人才团队在项目中持股不低于30%并有一定现金出资，团队携带的科技成果拥有自主知识产权。</w:t>
            </w:r>
          </w:p>
        </w:tc>
        <w:tc>
          <w:tcPr>
            <w:tcW w:w="1134" w:type="dxa"/>
            <w:vAlign w:val="center"/>
          </w:tcPr>
          <w:p w14:paraId="03A3C60B">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c>
          <w:tcPr>
            <w:tcW w:w="970" w:type="dxa"/>
            <w:vAlign w:val="center"/>
          </w:tcPr>
          <w:p w14:paraId="3CF152DD">
            <w:pPr>
              <w:keepNext/>
              <w:keepLines/>
              <w:widowControl w:val="0"/>
              <w:snapToGrid w:val="0"/>
              <w:spacing w:before="260" w:after="260" w:line="400" w:lineRule="exact"/>
              <w:ind w:left="360" w:firstLine="0" w:firstLineChars="0"/>
              <w:contextualSpacing/>
              <w:jc w:val="both"/>
              <w:rPr>
                <w:rFonts w:ascii="Times New Roman" w:hAnsi="Times New Roman" w:eastAsia="宋体" w:cs="Times New Roman"/>
                <w:kern w:val="2"/>
                <w:sz w:val="21"/>
                <w:szCs w:val="21"/>
                <w:lang w:val="en-US" w:eastAsia="zh-CN" w:bidi="ar-SA"/>
              </w:rPr>
            </w:pPr>
          </w:p>
        </w:tc>
      </w:tr>
      <w:tr w14:paraId="1AD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1252" w:type="dxa"/>
            <w:vAlign w:val="center"/>
          </w:tcPr>
          <w:p w14:paraId="7B1FDF41">
            <w:pPr>
              <w:keepNext/>
              <w:keepLines/>
              <w:snapToGrid w:val="0"/>
              <w:spacing w:before="260" w:after="260" w:line="400" w:lineRule="exact"/>
              <w:ind w:firstLine="0" w:firstLineChars="0"/>
              <w:contextualSpacing/>
              <w:rPr>
                <w:rFonts w:hint="default" w:ascii="Times New Roman" w:hAnsi="Times New Roman" w:eastAsia="宋体" w:cs="Times New Roman"/>
                <w:sz w:val="21"/>
                <w:szCs w:val="22"/>
                <w:lang w:val="en-US" w:eastAsia="zh-CN"/>
              </w:rPr>
            </w:pPr>
            <w:r>
              <w:rPr>
                <w:rFonts w:hint="eastAsia" w:eastAsia="宋体" w:cs="Times New Roman"/>
                <w:sz w:val="21"/>
                <w:szCs w:val="22"/>
                <w:lang w:val="en-US" w:eastAsia="zh-CN"/>
              </w:rPr>
              <w:t>支持对象</w:t>
            </w:r>
          </w:p>
        </w:tc>
        <w:tc>
          <w:tcPr>
            <w:tcW w:w="6398" w:type="dxa"/>
            <w:vAlign w:val="center"/>
          </w:tcPr>
          <w:p w14:paraId="4BA46A8A">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子基金应当投资于（拟）注册地位于郑东新区，或协议约定一定期限内被投企业或其总部落地郑东新区的企业。重点关注科研院所及其首席科学家团队、高层次人才、创新赛事获奖项目等</w:t>
            </w:r>
            <w:r>
              <w:rPr>
                <w:rFonts w:hint="eastAsia" w:eastAsia="宋体" w:cs="Times New Roman"/>
                <w:sz w:val="21"/>
                <w:szCs w:val="22"/>
                <w:lang w:val="en-US" w:eastAsia="zh-CN"/>
              </w:rPr>
              <w:t>转化或孵化的</w:t>
            </w:r>
            <w:r>
              <w:rPr>
                <w:rFonts w:hint="eastAsia" w:ascii="Times New Roman" w:hAnsi="Times New Roman" w:eastAsia="宋体" w:cs="Times New Roman"/>
                <w:sz w:val="21"/>
                <w:szCs w:val="22"/>
                <w:lang w:val="en-US" w:eastAsia="zh-CN"/>
              </w:rPr>
              <w:t>极早期初创企业。</w:t>
            </w:r>
          </w:p>
        </w:tc>
        <w:tc>
          <w:tcPr>
            <w:tcW w:w="1134" w:type="dxa"/>
            <w:vAlign w:val="center"/>
          </w:tcPr>
          <w:p w14:paraId="7D980DA4">
            <w:pPr>
              <w:snapToGrid w:val="0"/>
              <w:spacing w:line="400" w:lineRule="exact"/>
              <w:ind w:firstLine="0" w:firstLineChars="0"/>
              <w:contextualSpacing/>
              <w:rPr>
                <w:rFonts w:ascii="Times New Roman" w:hAnsi="Times New Roman" w:eastAsia="宋体" w:cs="Times New Roman"/>
                <w:sz w:val="21"/>
                <w:szCs w:val="21"/>
              </w:rPr>
            </w:pPr>
          </w:p>
        </w:tc>
        <w:tc>
          <w:tcPr>
            <w:tcW w:w="970" w:type="dxa"/>
            <w:vAlign w:val="center"/>
          </w:tcPr>
          <w:p w14:paraId="4D5040CB">
            <w:pPr>
              <w:snapToGrid w:val="0"/>
              <w:spacing w:line="400" w:lineRule="exact"/>
              <w:ind w:firstLine="0" w:firstLineChars="0"/>
              <w:contextualSpacing/>
              <w:rPr>
                <w:rFonts w:ascii="Times New Roman" w:hAnsi="Times New Roman" w:eastAsia="宋体" w:cs="Times New Roman"/>
                <w:sz w:val="21"/>
                <w:szCs w:val="21"/>
              </w:rPr>
            </w:pPr>
          </w:p>
        </w:tc>
      </w:tr>
      <w:tr w14:paraId="1663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252" w:type="dxa"/>
            <w:vAlign w:val="center"/>
          </w:tcPr>
          <w:p w14:paraId="17C92F46">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投资限额</w:t>
            </w:r>
          </w:p>
        </w:tc>
        <w:tc>
          <w:tcPr>
            <w:tcW w:w="6398" w:type="dxa"/>
            <w:vAlign w:val="center"/>
          </w:tcPr>
          <w:p w14:paraId="3E48F4D3">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子基金对单个项目单次投资金额不超过200万元，对单个项目的累计投资不超过基金认缴规模的10%，且在项目中不作为第一大股东（被动情形除外）。</w:t>
            </w:r>
          </w:p>
        </w:tc>
        <w:tc>
          <w:tcPr>
            <w:tcW w:w="1134" w:type="dxa"/>
            <w:vAlign w:val="center"/>
          </w:tcPr>
          <w:p w14:paraId="298D2B25">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c>
          <w:tcPr>
            <w:tcW w:w="970" w:type="dxa"/>
            <w:vAlign w:val="center"/>
          </w:tcPr>
          <w:p w14:paraId="27BCF080">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r>
      <w:tr w14:paraId="4CC4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1252" w:type="dxa"/>
            <w:vAlign w:val="center"/>
          </w:tcPr>
          <w:p w14:paraId="7680DE44">
            <w:pPr>
              <w:snapToGrid w:val="0"/>
              <w:spacing w:line="400" w:lineRule="exact"/>
              <w:ind w:firstLine="0" w:firstLineChars="0"/>
              <w:contextualSpacing/>
              <w:rPr>
                <w:rFonts w:hint="eastAsia" w:ascii="Times New Roman" w:hAnsi="Times New Roman" w:eastAsia="宋体" w:cs="Times New Roman"/>
                <w:sz w:val="21"/>
                <w:szCs w:val="22"/>
                <w:lang w:eastAsia="zh-CN"/>
              </w:rPr>
            </w:pPr>
            <w:r>
              <w:rPr>
                <w:rFonts w:hint="eastAsia" w:ascii="Times New Roman" w:hAnsi="Times New Roman" w:eastAsia="宋体" w:cs="Times New Roman"/>
                <w:sz w:val="21"/>
                <w:szCs w:val="22"/>
                <w:highlight w:val="none"/>
              </w:rPr>
              <w:t>投资</w:t>
            </w:r>
            <w:r>
              <w:rPr>
                <w:rFonts w:hint="eastAsia" w:eastAsia="宋体" w:cs="Times New Roman"/>
                <w:sz w:val="21"/>
                <w:szCs w:val="22"/>
                <w:highlight w:val="none"/>
                <w:lang w:val="en-US" w:eastAsia="zh-CN"/>
              </w:rPr>
              <w:t>策略</w:t>
            </w:r>
          </w:p>
        </w:tc>
        <w:tc>
          <w:tcPr>
            <w:tcW w:w="6398" w:type="dxa"/>
            <w:vAlign w:val="center"/>
          </w:tcPr>
          <w:p w14:paraId="716F2C3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子基金按照市场化原则及早期项目投资逻辑，围绕符合省、市、区产业发展规划的战略性新兴产业领域，聚焦于具有创新理念和巨大发展潜力的初创企业，着重考察科研创业团队的技术水平、市场应用前景，分析验证商业模式的可行性和创新性以及可持续发展的潜力。</w:t>
            </w:r>
          </w:p>
        </w:tc>
        <w:tc>
          <w:tcPr>
            <w:tcW w:w="1134" w:type="dxa"/>
            <w:vAlign w:val="center"/>
          </w:tcPr>
          <w:p w14:paraId="357FAC11">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c>
          <w:tcPr>
            <w:tcW w:w="970" w:type="dxa"/>
            <w:vAlign w:val="center"/>
          </w:tcPr>
          <w:p w14:paraId="7DF8CC5B">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r>
      <w:tr w14:paraId="610F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252" w:type="dxa"/>
            <w:vAlign w:val="center"/>
          </w:tcPr>
          <w:p w14:paraId="34996BB0">
            <w:pPr>
              <w:keepNext/>
              <w:keepLines/>
              <w:snapToGrid w:val="0"/>
              <w:spacing w:before="260" w:after="260" w:line="400" w:lineRule="exact"/>
              <w:ind w:firstLine="0" w:firstLineChars="0"/>
              <w:contextualSpacing/>
              <w:jc w:val="both"/>
              <w:rPr>
                <w:rFonts w:hint="default"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子基金管理机构或其关联方认缴情况</w:t>
            </w:r>
          </w:p>
        </w:tc>
        <w:tc>
          <w:tcPr>
            <w:tcW w:w="6398" w:type="dxa"/>
            <w:vAlign w:val="center"/>
          </w:tcPr>
          <w:p w14:paraId="3E584A9F">
            <w:pPr>
              <w:snapToGrid w:val="0"/>
              <w:spacing w:line="400" w:lineRule="exact"/>
              <w:ind w:firstLine="0" w:firstLineChars="0"/>
              <w:contextualSpacing/>
              <w:rPr>
                <w:rFonts w:hint="eastAsia" w:ascii="Times New Roman" w:hAnsi="Times New Roman" w:eastAsia="宋体" w:cs="Times New Roman"/>
                <w:sz w:val="21"/>
                <w:szCs w:val="21"/>
              </w:rPr>
            </w:pPr>
            <w:r>
              <w:rPr>
                <w:rFonts w:hint="eastAsia" w:ascii="Times New Roman" w:hAnsi="Times New Roman" w:eastAsia="宋体" w:cs="Times New Roman"/>
                <w:sz w:val="21"/>
                <w:szCs w:val="22"/>
                <w:lang w:val="zh-TW" w:eastAsia="zh-CN" w:bidi="zh-TW"/>
              </w:rPr>
              <w:t>子基金管理机构或其关联方在基金中认缴出资比例应当不低于</w:t>
            </w:r>
            <w:r>
              <w:rPr>
                <w:rFonts w:hint="eastAsia" w:eastAsia="宋体" w:cs="Times New Roman"/>
                <w:sz w:val="21"/>
                <w:szCs w:val="22"/>
                <w:lang w:val="en-US" w:eastAsia="zh-CN" w:bidi="zh-TW"/>
              </w:rPr>
              <w:t>基金规模的</w:t>
            </w:r>
            <w:r>
              <w:rPr>
                <w:rFonts w:hint="eastAsia" w:ascii="Times New Roman" w:hAnsi="Times New Roman" w:eastAsia="宋体" w:cs="Times New Roman"/>
                <w:sz w:val="21"/>
                <w:szCs w:val="22"/>
                <w:lang w:val="zh-TW" w:eastAsia="zh-CN" w:bidi="zh-TW"/>
              </w:rPr>
              <w:t>1%。</w:t>
            </w:r>
          </w:p>
        </w:tc>
        <w:tc>
          <w:tcPr>
            <w:tcW w:w="1134" w:type="dxa"/>
            <w:vAlign w:val="center"/>
          </w:tcPr>
          <w:p w14:paraId="30A7B837">
            <w:pPr>
              <w:snapToGrid w:val="0"/>
              <w:spacing w:line="400" w:lineRule="exact"/>
              <w:ind w:firstLine="0" w:firstLineChars="0"/>
              <w:contextualSpacing/>
              <w:rPr>
                <w:rFonts w:hint="eastAsia" w:ascii="Times New Roman" w:hAnsi="Times New Roman" w:eastAsia="宋体" w:cs="Times New Roman"/>
                <w:sz w:val="21"/>
                <w:szCs w:val="21"/>
              </w:rPr>
            </w:pPr>
          </w:p>
        </w:tc>
        <w:tc>
          <w:tcPr>
            <w:tcW w:w="970" w:type="dxa"/>
            <w:vAlign w:val="center"/>
          </w:tcPr>
          <w:p w14:paraId="2D52EB07">
            <w:pPr>
              <w:snapToGrid w:val="0"/>
              <w:spacing w:line="400" w:lineRule="exact"/>
              <w:ind w:firstLine="0" w:firstLineChars="0"/>
              <w:contextualSpacing/>
              <w:rPr>
                <w:rFonts w:hint="eastAsia" w:ascii="Times New Roman" w:hAnsi="Times New Roman" w:eastAsia="宋体" w:cs="Times New Roman"/>
                <w:sz w:val="21"/>
                <w:szCs w:val="21"/>
              </w:rPr>
            </w:pPr>
          </w:p>
        </w:tc>
      </w:tr>
      <w:tr w14:paraId="26B1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52" w:type="dxa"/>
            <w:vAlign w:val="center"/>
          </w:tcPr>
          <w:p w14:paraId="1D1469C2">
            <w:pPr>
              <w:snapToGrid w:val="0"/>
              <w:spacing w:line="240" w:lineRule="auto"/>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出资顺序</w:t>
            </w:r>
          </w:p>
        </w:tc>
        <w:tc>
          <w:tcPr>
            <w:tcW w:w="6398" w:type="dxa"/>
            <w:vAlign w:val="center"/>
          </w:tcPr>
          <w:p w14:paraId="3329EDBA">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highlight w:val="none"/>
              </w:rPr>
              <w:t>原则上子基金社会出资人资金到账后，引导基金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再出资。</w:t>
            </w:r>
          </w:p>
        </w:tc>
        <w:tc>
          <w:tcPr>
            <w:tcW w:w="1134" w:type="dxa"/>
            <w:vAlign w:val="center"/>
          </w:tcPr>
          <w:p w14:paraId="6A91BF86">
            <w:pPr>
              <w:keepNext/>
              <w:keepLines/>
              <w:snapToGrid w:val="0"/>
              <w:spacing w:before="260" w:after="260" w:line="400" w:lineRule="exact"/>
              <w:ind w:firstLine="0" w:firstLineChars="0"/>
              <w:contextualSpacing/>
              <w:rPr>
                <w:rFonts w:hint="eastAsia" w:ascii="Times New Roman" w:hAnsi="Times New Roman" w:eastAsia="宋体" w:cs="Times New Roman"/>
                <w:sz w:val="21"/>
                <w:szCs w:val="21"/>
              </w:rPr>
            </w:pPr>
          </w:p>
        </w:tc>
        <w:tc>
          <w:tcPr>
            <w:tcW w:w="970" w:type="dxa"/>
            <w:vAlign w:val="center"/>
          </w:tcPr>
          <w:p w14:paraId="746D7867">
            <w:pPr>
              <w:keepNext/>
              <w:keepLines/>
              <w:snapToGrid w:val="0"/>
              <w:spacing w:before="260" w:after="260" w:line="400" w:lineRule="exact"/>
              <w:ind w:firstLine="0" w:firstLineChars="0"/>
              <w:contextualSpacing/>
              <w:rPr>
                <w:rFonts w:hint="eastAsia" w:ascii="Times New Roman" w:hAnsi="Times New Roman" w:eastAsia="宋体" w:cs="Times New Roman"/>
                <w:sz w:val="21"/>
                <w:szCs w:val="21"/>
              </w:rPr>
            </w:pPr>
          </w:p>
        </w:tc>
      </w:tr>
      <w:tr w14:paraId="4087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252" w:type="dxa"/>
            <w:vAlign w:val="center"/>
          </w:tcPr>
          <w:p w14:paraId="70D46CA0">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管理费</w:t>
            </w:r>
          </w:p>
        </w:tc>
        <w:tc>
          <w:tcPr>
            <w:tcW w:w="6398" w:type="dxa"/>
            <w:vAlign w:val="center"/>
          </w:tcPr>
          <w:p w14:paraId="3BD98113">
            <w:pPr>
              <w:snapToGrid w:val="0"/>
              <w:spacing w:line="400" w:lineRule="exact"/>
              <w:ind w:firstLine="0" w:firstLineChars="0"/>
              <w:contextualSpacing/>
              <w:rPr>
                <w:rFonts w:hint="eastAsia" w:ascii="Times New Roman" w:hAnsi="Times New Roman" w:eastAsia="宋体" w:cs="Times New Roman"/>
                <w:sz w:val="21"/>
                <w:szCs w:val="21"/>
              </w:rPr>
            </w:pPr>
            <w:r>
              <w:rPr>
                <w:rFonts w:hint="eastAsia" w:ascii="Times New Roman" w:hAnsi="Times New Roman" w:eastAsia="宋体" w:cs="Times New Roman"/>
                <w:sz w:val="21"/>
                <w:szCs w:val="22"/>
              </w:rPr>
              <w:t>子基金</w:t>
            </w:r>
            <w:r>
              <w:rPr>
                <w:rFonts w:hint="eastAsia" w:ascii="Times New Roman" w:hAnsi="Times New Roman" w:eastAsia="宋体" w:cs="Times New Roman"/>
                <w:sz w:val="21"/>
                <w:szCs w:val="22"/>
                <w:lang w:val="en-US" w:eastAsia="zh-CN"/>
              </w:rPr>
              <w:t>对引导基金公司出资部分</w:t>
            </w:r>
            <w:r>
              <w:rPr>
                <w:rFonts w:hint="eastAsia" w:ascii="Times New Roman" w:hAnsi="Times New Roman" w:eastAsia="宋体" w:cs="Times New Roman"/>
                <w:sz w:val="21"/>
                <w:szCs w:val="22"/>
              </w:rPr>
              <w:t>收取的</w:t>
            </w:r>
            <w:r>
              <w:rPr>
                <w:rFonts w:hint="eastAsia" w:ascii="Times New Roman" w:hAnsi="Times New Roman" w:eastAsia="宋体" w:cs="Times New Roman"/>
                <w:sz w:val="21"/>
                <w:szCs w:val="22"/>
                <w:lang w:val="en-US" w:eastAsia="zh-CN"/>
              </w:rPr>
              <w:t>年度</w:t>
            </w:r>
            <w:r>
              <w:rPr>
                <w:rFonts w:hint="eastAsia" w:ascii="Times New Roman" w:hAnsi="Times New Roman" w:eastAsia="宋体" w:cs="Times New Roman"/>
                <w:sz w:val="21"/>
                <w:szCs w:val="22"/>
              </w:rPr>
              <w:t>管理费原则上不超过</w:t>
            </w:r>
            <w:r>
              <w:rPr>
                <w:rFonts w:hint="eastAsia" w:ascii="Times New Roman" w:hAnsi="Times New Roman" w:eastAsia="宋体" w:cs="Times New Roman"/>
                <w:sz w:val="21"/>
                <w:szCs w:val="22"/>
                <w:lang w:val="en-US" w:eastAsia="zh-CN"/>
              </w:rPr>
              <w:t>引导基金公司</w:t>
            </w:r>
            <w:r>
              <w:rPr>
                <w:rFonts w:hint="eastAsia" w:ascii="Times New Roman" w:hAnsi="Times New Roman" w:eastAsia="宋体" w:cs="Times New Roman"/>
                <w:sz w:val="21"/>
                <w:szCs w:val="22"/>
              </w:rPr>
              <w:t>实缴金额的</w:t>
            </w:r>
            <w:r>
              <w:rPr>
                <w:rFonts w:hint="eastAsia" w:ascii="Times New Roman" w:hAnsi="Times New Roman" w:eastAsia="宋体" w:cs="Times New Roman"/>
                <w:sz w:val="21"/>
                <w:szCs w:val="22"/>
                <w:lang w:val="en-US" w:eastAsia="zh-CN"/>
              </w:rPr>
              <w:t>2.5%</w:t>
            </w:r>
            <w:r>
              <w:rPr>
                <w:rFonts w:hint="eastAsia" w:ascii="Times New Roman" w:hAnsi="Times New Roman" w:eastAsia="宋体" w:cs="Times New Roman"/>
                <w:sz w:val="21"/>
                <w:szCs w:val="22"/>
                <w:lang w:eastAsia="zh-CN"/>
              </w:rPr>
              <w:t>。</w:t>
            </w:r>
          </w:p>
        </w:tc>
        <w:tc>
          <w:tcPr>
            <w:tcW w:w="1134" w:type="dxa"/>
            <w:vAlign w:val="center"/>
          </w:tcPr>
          <w:p w14:paraId="72DB69AD">
            <w:pPr>
              <w:snapToGrid w:val="0"/>
              <w:spacing w:line="400" w:lineRule="exact"/>
              <w:ind w:firstLine="0" w:firstLineChars="0"/>
              <w:contextualSpacing/>
              <w:rPr>
                <w:rFonts w:hint="eastAsia" w:ascii="Times New Roman" w:hAnsi="Times New Roman" w:eastAsia="宋体" w:cs="Times New Roman"/>
                <w:sz w:val="21"/>
                <w:szCs w:val="21"/>
              </w:rPr>
            </w:pPr>
          </w:p>
        </w:tc>
        <w:tc>
          <w:tcPr>
            <w:tcW w:w="970" w:type="dxa"/>
            <w:vAlign w:val="center"/>
          </w:tcPr>
          <w:p w14:paraId="66720DC7">
            <w:pPr>
              <w:snapToGrid w:val="0"/>
              <w:spacing w:line="400" w:lineRule="exact"/>
              <w:ind w:firstLine="0" w:firstLineChars="0"/>
              <w:contextualSpacing/>
              <w:rPr>
                <w:rFonts w:hint="eastAsia" w:ascii="Times New Roman" w:hAnsi="Times New Roman" w:eastAsia="宋体" w:cs="Times New Roman"/>
                <w:sz w:val="21"/>
                <w:szCs w:val="21"/>
              </w:rPr>
            </w:pPr>
          </w:p>
        </w:tc>
      </w:tr>
      <w:tr w14:paraId="4190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1252" w:type="dxa"/>
            <w:vAlign w:val="center"/>
          </w:tcPr>
          <w:p w14:paraId="27C37E0E">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收益分配</w:t>
            </w:r>
          </w:p>
        </w:tc>
        <w:tc>
          <w:tcPr>
            <w:tcW w:w="6398" w:type="dxa"/>
            <w:vAlign w:val="center"/>
          </w:tcPr>
          <w:p w14:paraId="2FF0C004">
            <w:pPr>
              <w:snapToGrid w:val="0"/>
              <w:spacing w:line="400" w:lineRule="exact"/>
              <w:ind w:firstLine="0" w:firstLineChars="0"/>
              <w:contextualSpacing/>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子基金投资期结束后，被投项目退出获得的回收资金原则上不得再用于对外投资，应当及时向出资人进行分配。</w:t>
            </w:r>
          </w:p>
          <w:p w14:paraId="088D8BAE">
            <w:pPr>
              <w:snapToGrid w:val="0"/>
              <w:spacing w:line="400" w:lineRule="exact"/>
              <w:ind w:firstLine="0" w:firstLineChars="0"/>
              <w:contextualSpacing/>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子基金投资收益分配原则上采取整体“先回本后分利”方式，投资收益先按照子基金各出资人实缴出资比例分配给各出资人，各出资人收回全部出资后剩余的投资收益再按照子基金合伙协议、公司章程等约定的方式予以分配。子基金清算出现亏损时，原则上由子基金各出资人按照出资比例承担，具体按照子基金合伙协议或公司章程约定办理。</w:t>
            </w:r>
          </w:p>
        </w:tc>
        <w:tc>
          <w:tcPr>
            <w:tcW w:w="1134" w:type="dxa"/>
            <w:vAlign w:val="center"/>
          </w:tcPr>
          <w:p w14:paraId="35A0F2AF">
            <w:pPr>
              <w:snapToGrid w:val="0"/>
              <w:spacing w:line="400" w:lineRule="exact"/>
              <w:ind w:firstLine="0" w:firstLineChars="0"/>
              <w:contextualSpacing/>
              <w:rPr>
                <w:rFonts w:hint="eastAsia" w:ascii="Times New Roman" w:hAnsi="Times New Roman" w:eastAsia="宋体" w:cs="Times New Roman"/>
                <w:sz w:val="21"/>
                <w:szCs w:val="21"/>
              </w:rPr>
            </w:pPr>
          </w:p>
        </w:tc>
        <w:tc>
          <w:tcPr>
            <w:tcW w:w="970" w:type="dxa"/>
            <w:vAlign w:val="center"/>
          </w:tcPr>
          <w:p w14:paraId="7A8B001B">
            <w:pPr>
              <w:snapToGrid w:val="0"/>
              <w:spacing w:line="400" w:lineRule="exact"/>
              <w:ind w:firstLine="0" w:firstLineChars="0"/>
              <w:contextualSpacing/>
              <w:rPr>
                <w:rFonts w:hint="eastAsia" w:ascii="Times New Roman" w:hAnsi="Times New Roman" w:eastAsia="宋体" w:cs="Times New Roman"/>
                <w:sz w:val="21"/>
                <w:szCs w:val="21"/>
              </w:rPr>
            </w:pPr>
          </w:p>
        </w:tc>
      </w:tr>
      <w:tr w14:paraId="0D8A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1252" w:type="dxa"/>
            <w:vMerge w:val="restart"/>
            <w:vAlign w:val="center"/>
          </w:tcPr>
          <w:p w14:paraId="5009AB50">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社会出资</w:t>
            </w:r>
          </w:p>
        </w:tc>
        <w:tc>
          <w:tcPr>
            <w:tcW w:w="6398" w:type="dxa"/>
            <w:vAlign w:val="center"/>
          </w:tcPr>
          <w:p w14:paraId="1DFE05B7">
            <w:pPr>
              <w:snapToGrid w:val="0"/>
              <w:spacing w:line="400" w:lineRule="exact"/>
              <w:ind w:firstLine="0" w:firstLineChars="0"/>
              <w:contextualSpacing/>
              <w:rPr>
                <w:rFonts w:hint="eastAsia" w:ascii="Times New Roman" w:hAnsi="Times New Roman" w:eastAsia="宋体" w:cs="Times New Roman"/>
                <w:sz w:val="21"/>
                <w:szCs w:val="22"/>
                <w:lang w:eastAsia="zh-CN"/>
              </w:rPr>
            </w:pPr>
            <w:r>
              <w:rPr>
                <w:rFonts w:hint="eastAsia" w:ascii="Times New Roman" w:hAnsi="Times New Roman" w:eastAsia="宋体" w:cs="Times New Roman"/>
                <w:sz w:val="21"/>
                <w:szCs w:val="22"/>
              </w:rPr>
              <w:t>子基金管理机构应向《私募投资基金监督管理办法》等所规定的合格投资者募集资金。以合伙企业、契约等非法人形式，通过汇集投资者的资金直接或者间接投资于子基金的，子基金管理机构应当穿透核查最终投资者是否为合格投资者，并合并计算投资者人数。子基金管理机构应当勤勉尽责，核实各出资人是否符合国家相关政策法规规定的合格投资者要求</w:t>
            </w:r>
            <w:r>
              <w:rPr>
                <w:rFonts w:hint="eastAsia" w:ascii="Times New Roman" w:hAnsi="Times New Roman" w:cs="Times New Roman"/>
                <w:sz w:val="21"/>
                <w:szCs w:val="22"/>
                <w:lang w:eastAsia="zh-CN"/>
              </w:rPr>
              <w:t>。</w:t>
            </w:r>
          </w:p>
        </w:tc>
        <w:tc>
          <w:tcPr>
            <w:tcW w:w="1134" w:type="dxa"/>
            <w:vAlign w:val="center"/>
          </w:tcPr>
          <w:p w14:paraId="352DF54E">
            <w:pPr>
              <w:keepNext/>
              <w:keepLines/>
              <w:snapToGrid w:val="0"/>
              <w:spacing w:before="260" w:after="260" w:line="400" w:lineRule="exact"/>
              <w:ind w:firstLine="0" w:firstLineChars="0"/>
              <w:contextualSpacing/>
              <w:rPr>
                <w:rFonts w:hint="eastAsia" w:ascii="Times New Roman" w:hAnsi="Times New Roman" w:eastAsia="宋体" w:cs="Times New Roman"/>
                <w:sz w:val="21"/>
                <w:szCs w:val="21"/>
              </w:rPr>
            </w:pPr>
          </w:p>
        </w:tc>
        <w:tc>
          <w:tcPr>
            <w:tcW w:w="970" w:type="dxa"/>
            <w:vAlign w:val="center"/>
          </w:tcPr>
          <w:p w14:paraId="3F28712D">
            <w:pPr>
              <w:keepNext/>
              <w:keepLines/>
              <w:snapToGrid w:val="0"/>
              <w:spacing w:before="260" w:after="260" w:line="400" w:lineRule="exact"/>
              <w:ind w:firstLine="0" w:firstLineChars="0"/>
              <w:contextualSpacing/>
              <w:rPr>
                <w:rFonts w:hint="eastAsia" w:ascii="Times New Roman" w:hAnsi="Times New Roman" w:eastAsia="宋体" w:cs="Times New Roman"/>
                <w:sz w:val="21"/>
                <w:szCs w:val="21"/>
              </w:rPr>
            </w:pPr>
          </w:p>
        </w:tc>
      </w:tr>
      <w:tr w14:paraId="1D1D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252" w:type="dxa"/>
            <w:vMerge w:val="continue"/>
            <w:vAlign w:val="center"/>
          </w:tcPr>
          <w:p w14:paraId="198B8426">
            <w:pPr>
              <w:snapToGrid w:val="0"/>
              <w:spacing w:line="400" w:lineRule="exact"/>
              <w:ind w:firstLine="0" w:firstLineChars="0"/>
              <w:contextualSpacing/>
              <w:rPr>
                <w:rFonts w:ascii="Times New Roman" w:hAnsi="Times New Roman" w:eastAsia="宋体" w:cs="Times New Roman"/>
                <w:sz w:val="21"/>
                <w:szCs w:val="22"/>
              </w:rPr>
            </w:pPr>
          </w:p>
        </w:tc>
        <w:tc>
          <w:tcPr>
            <w:tcW w:w="6398" w:type="dxa"/>
            <w:vAlign w:val="center"/>
          </w:tcPr>
          <w:p w14:paraId="1859651F">
            <w:pPr>
              <w:snapToGrid w:val="0"/>
              <w:spacing w:line="400" w:lineRule="exact"/>
              <w:ind w:firstLine="0" w:firstLineChars="0"/>
              <w:contextualSpacing/>
              <w:rPr>
                <w:rFonts w:hint="eastAsia" w:ascii="Times New Roman" w:hAnsi="Times New Roman" w:eastAsia="宋体" w:cs="Times New Roman"/>
                <w:sz w:val="21"/>
                <w:szCs w:val="22"/>
                <w:lang w:eastAsia="zh-CN"/>
              </w:rPr>
            </w:pPr>
            <w:r>
              <w:rPr>
                <w:rFonts w:hint="eastAsia" w:ascii="Times New Roman" w:hAnsi="Times New Roman" w:eastAsia="宋体" w:cs="Times New Roman"/>
                <w:sz w:val="21"/>
                <w:szCs w:val="22"/>
              </w:rPr>
              <w:t>子基金管理机构提供拟出资人的出资承诺函、出资能力证明等材料</w:t>
            </w:r>
            <w:r>
              <w:rPr>
                <w:rFonts w:hint="eastAsia" w:eastAsia="宋体" w:cs="Times New Roman"/>
                <w:sz w:val="21"/>
                <w:szCs w:val="22"/>
                <w:lang w:eastAsia="zh-CN"/>
              </w:rPr>
              <w:t>。</w:t>
            </w:r>
          </w:p>
        </w:tc>
        <w:tc>
          <w:tcPr>
            <w:tcW w:w="1134" w:type="dxa"/>
            <w:vAlign w:val="center"/>
          </w:tcPr>
          <w:p w14:paraId="38891C65">
            <w:pPr>
              <w:keepNext/>
              <w:keepLines/>
              <w:snapToGrid w:val="0"/>
              <w:spacing w:before="260" w:after="260" w:line="400" w:lineRule="exact"/>
              <w:ind w:firstLine="0" w:firstLineChars="0"/>
              <w:contextualSpacing/>
              <w:rPr>
                <w:rFonts w:hint="eastAsia" w:ascii="Times New Roman" w:hAnsi="Times New Roman" w:eastAsia="宋体" w:cs="Times New Roman"/>
                <w:sz w:val="21"/>
                <w:szCs w:val="21"/>
              </w:rPr>
            </w:pPr>
          </w:p>
        </w:tc>
        <w:tc>
          <w:tcPr>
            <w:tcW w:w="970" w:type="dxa"/>
            <w:vAlign w:val="center"/>
          </w:tcPr>
          <w:p w14:paraId="7F132920">
            <w:pPr>
              <w:keepNext/>
              <w:keepLines/>
              <w:snapToGrid w:val="0"/>
              <w:spacing w:before="260" w:after="260" w:line="400" w:lineRule="exact"/>
              <w:ind w:firstLine="0" w:firstLineChars="0"/>
              <w:contextualSpacing/>
              <w:rPr>
                <w:rFonts w:hint="eastAsia" w:ascii="Times New Roman" w:hAnsi="Times New Roman" w:eastAsia="宋体" w:cs="Times New Roman"/>
                <w:sz w:val="21"/>
                <w:szCs w:val="21"/>
              </w:rPr>
            </w:pPr>
          </w:p>
        </w:tc>
      </w:tr>
      <w:tr w14:paraId="2BB7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754" w:type="dxa"/>
            <w:gridSpan w:val="4"/>
            <w:vAlign w:val="center"/>
          </w:tcPr>
          <w:p w14:paraId="187716EF">
            <w:pPr>
              <w:snapToGrid w:val="0"/>
              <w:spacing w:line="400" w:lineRule="exact"/>
              <w:ind w:firstLine="0" w:firstLineChars="0"/>
              <w:contextualSpacing/>
              <w:rPr>
                <w:rFonts w:hint="eastAsia" w:ascii="Times New Roman" w:hAnsi="Times New Roman" w:eastAsia="宋体" w:cs="Times New Roman"/>
                <w:sz w:val="21"/>
                <w:szCs w:val="21"/>
              </w:rPr>
            </w:pPr>
            <w:r>
              <w:rPr>
                <w:rFonts w:ascii="Times New Roman" w:hAnsi="Times New Roman" w:eastAsia="宋体" w:cs="Times New Roman"/>
                <w:sz w:val="21"/>
                <w:szCs w:val="21"/>
              </w:rPr>
              <w:t>二</w:t>
            </w:r>
            <w:r>
              <w:rPr>
                <w:rFonts w:hint="eastAsia" w:ascii="Times New Roman" w:hAnsi="Times New Roman" w:eastAsia="宋体" w:cs="Times New Roman"/>
                <w:sz w:val="21"/>
                <w:szCs w:val="21"/>
              </w:rPr>
              <w:t>、</w:t>
            </w:r>
            <w:r>
              <w:rPr>
                <w:rFonts w:ascii="Times New Roman" w:hAnsi="Times New Roman" w:eastAsia="宋体" w:cs="Times New Roman"/>
                <w:sz w:val="21"/>
                <w:szCs w:val="21"/>
              </w:rPr>
              <w:t>子基金管理机构应符合以下条件</w:t>
            </w:r>
            <w:r>
              <w:rPr>
                <w:rFonts w:hint="eastAsia" w:ascii="Times New Roman" w:hAnsi="Times New Roman" w:eastAsia="宋体" w:cs="Times New Roman"/>
                <w:sz w:val="21"/>
                <w:szCs w:val="21"/>
              </w:rPr>
              <w:t>：</w:t>
            </w:r>
          </w:p>
        </w:tc>
      </w:tr>
      <w:tr w14:paraId="4BA5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52" w:type="dxa"/>
            <w:vMerge w:val="restart"/>
            <w:vAlign w:val="center"/>
          </w:tcPr>
          <w:p w14:paraId="3ADAAC77">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基本</w:t>
            </w:r>
            <w:r>
              <w:rPr>
                <w:rFonts w:hint="eastAsia" w:ascii="Times New Roman" w:hAnsi="Times New Roman" w:eastAsia="宋体" w:cs="Times New Roman"/>
                <w:sz w:val="21"/>
                <w:szCs w:val="22"/>
              </w:rPr>
              <w:t>资质</w:t>
            </w:r>
          </w:p>
        </w:tc>
        <w:tc>
          <w:tcPr>
            <w:tcW w:w="6398" w:type="dxa"/>
            <w:vAlign w:val="center"/>
          </w:tcPr>
          <w:p w14:paraId="4978E129">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在中华人民共和国境内依法设立，实缴资本不低于1000万元。</w:t>
            </w:r>
          </w:p>
        </w:tc>
        <w:tc>
          <w:tcPr>
            <w:tcW w:w="1134" w:type="dxa"/>
            <w:vAlign w:val="center"/>
          </w:tcPr>
          <w:p w14:paraId="7A302D7F">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c>
          <w:tcPr>
            <w:tcW w:w="970" w:type="dxa"/>
            <w:vAlign w:val="center"/>
          </w:tcPr>
          <w:p w14:paraId="254E65D6">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r>
      <w:tr w14:paraId="0707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52" w:type="dxa"/>
            <w:vMerge w:val="continue"/>
            <w:vAlign w:val="center"/>
          </w:tcPr>
          <w:p w14:paraId="29A8E67F">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6398" w:type="dxa"/>
            <w:vAlign w:val="center"/>
          </w:tcPr>
          <w:p w14:paraId="4F9F505B">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已在中国证券投资基金业协会完成登记。</w:t>
            </w:r>
          </w:p>
        </w:tc>
        <w:tc>
          <w:tcPr>
            <w:tcW w:w="1134" w:type="dxa"/>
            <w:vAlign w:val="center"/>
          </w:tcPr>
          <w:p w14:paraId="2DDA9212">
            <w:pPr>
              <w:snapToGrid w:val="0"/>
              <w:spacing w:line="400" w:lineRule="exact"/>
              <w:ind w:firstLine="0" w:firstLineChars="0"/>
              <w:contextualSpacing/>
              <w:rPr>
                <w:rFonts w:ascii="Times New Roman" w:hAnsi="Times New Roman" w:eastAsia="宋体" w:cs="Times New Roman"/>
                <w:sz w:val="21"/>
                <w:szCs w:val="21"/>
              </w:rPr>
            </w:pPr>
          </w:p>
        </w:tc>
        <w:tc>
          <w:tcPr>
            <w:tcW w:w="970" w:type="dxa"/>
            <w:vAlign w:val="center"/>
          </w:tcPr>
          <w:p w14:paraId="35227C4E">
            <w:pPr>
              <w:snapToGrid w:val="0"/>
              <w:spacing w:line="400" w:lineRule="exact"/>
              <w:ind w:firstLine="0" w:firstLineChars="0"/>
              <w:contextualSpacing/>
              <w:rPr>
                <w:rFonts w:ascii="Times New Roman" w:hAnsi="Times New Roman" w:eastAsia="宋体" w:cs="Times New Roman"/>
                <w:sz w:val="21"/>
                <w:szCs w:val="21"/>
              </w:rPr>
            </w:pPr>
          </w:p>
        </w:tc>
      </w:tr>
      <w:tr w14:paraId="129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52" w:type="dxa"/>
            <w:vMerge w:val="continue"/>
            <w:vAlign w:val="center"/>
          </w:tcPr>
          <w:p w14:paraId="46A94A15">
            <w:pPr>
              <w:snapToGrid w:val="0"/>
              <w:spacing w:line="400" w:lineRule="exact"/>
              <w:ind w:firstLine="0" w:firstLineChars="0"/>
              <w:contextualSpacing/>
              <w:rPr>
                <w:rFonts w:ascii="Times New Roman" w:hAnsi="Times New Roman" w:eastAsia="宋体" w:cs="Times New Roman"/>
                <w:sz w:val="21"/>
                <w:szCs w:val="22"/>
              </w:rPr>
            </w:pPr>
          </w:p>
        </w:tc>
        <w:tc>
          <w:tcPr>
            <w:tcW w:w="6398" w:type="dxa"/>
            <w:vAlign w:val="center"/>
          </w:tcPr>
          <w:p w14:paraId="7865B920">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管理和投资运作规范，具有健全的风险控制、财务管理、投资管理等各项内部控制制度。</w:t>
            </w:r>
          </w:p>
        </w:tc>
        <w:tc>
          <w:tcPr>
            <w:tcW w:w="1134" w:type="dxa"/>
            <w:vAlign w:val="center"/>
          </w:tcPr>
          <w:p w14:paraId="7E0D567A">
            <w:pPr>
              <w:snapToGrid w:val="0"/>
              <w:spacing w:line="400" w:lineRule="exact"/>
              <w:ind w:firstLine="0" w:firstLineChars="0"/>
              <w:contextualSpacing/>
              <w:rPr>
                <w:rFonts w:ascii="Times New Roman" w:hAnsi="Times New Roman" w:eastAsia="宋体" w:cs="Times New Roman"/>
                <w:sz w:val="21"/>
                <w:szCs w:val="21"/>
              </w:rPr>
            </w:pPr>
          </w:p>
        </w:tc>
        <w:tc>
          <w:tcPr>
            <w:tcW w:w="970" w:type="dxa"/>
            <w:vAlign w:val="center"/>
          </w:tcPr>
          <w:p w14:paraId="60BB755D">
            <w:pPr>
              <w:snapToGrid w:val="0"/>
              <w:spacing w:line="400" w:lineRule="exact"/>
              <w:ind w:firstLine="0" w:firstLineChars="0"/>
              <w:contextualSpacing/>
              <w:rPr>
                <w:rFonts w:ascii="Times New Roman" w:hAnsi="Times New Roman" w:eastAsia="宋体" w:cs="Times New Roman"/>
                <w:sz w:val="21"/>
                <w:szCs w:val="21"/>
              </w:rPr>
            </w:pPr>
          </w:p>
        </w:tc>
      </w:tr>
      <w:tr w14:paraId="1E4A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52" w:type="dxa"/>
            <w:vMerge w:val="restart"/>
            <w:vAlign w:val="center"/>
          </w:tcPr>
          <w:p w14:paraId="126520DE">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管理团队</w:t>
            </w:r>
          </w:p>
        </w:tc>
        <w:tc>
          <w:tcPr>
            <w:tcW w:w="6398" w:type="dxa"/>
            <w:vAlign w:val="center"/>
          </w:tcPr>
          <w:p w14:paraId="567DB1DE">
            <w:pPr>
              <w:snapToGrid w:val="0"/>
              <w:spacing w:line="400" w:lineRule="exact"/>
              <w:ind w:firstLine="0" w:firstLineChars="0"/>
              <w:contextualSpacing/>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子基金管理机构应当至少有3名具备5年以上基金管理工作经验的高级管理人员。</w:t>
            </w:r>
          </w:p>
          <w:p w14:paraId="27D8A995">
            <w:pPr>
              <w:snapToGrid w:val="0"/>
              <w:spacing w:line="400" w:lineRule="exact"/>
              <w:ind w:firstLine="0" w:firstLineChars="0"/>
              <w:contextualSpacing/>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子基金管理机构及其高级管理人员具有良好的管理业绩和职业操守，在最近三年无重大过失，无受到行政主管机关或司法机关有关影响基金正常运营的不良处罚记录。</w:t>
            </w:r>
          </w:p>
        </w:tc>
        <w:tc>
          <w:tcPr>
            <w:tcW w:w="1134" w:type="dxa"/>
            <w:vAlign w:val="center"/>
          </w:tcPr>
          <w:p w14:paraId="49050500">
            <w:pPr>
              <w:snapToGrid w:val="0"/>
              <w:spacing w:line="400" w:lineRule="exact"/>
              <w:ind w:firstLine="0" w:firstLineChars="0"/>
              <w:contextualSpacing/>
              <w:rPr>
                <w:rFonts w:ascii="Times New Roman" w:hAnsi="Times New Roman" w:eastAsia="宋体" w:cs="Times New Roman"/>
                <w:sz w:val="21"/>
                <w:szCs w:val="21"/>
              </w:rPr>
            </w:pPr>
          </w:p>
        </w:tc>
        <w:tc>
          <w:tcPr>
            <w:tcW w:w="970" w:type="dxa"/>
            <w:vAlign w:val="center"/>
          </w:tcPr>
          <w:p w14:paraId="609DBC39">
            <w:pPr>
              <w:snapToGrid w:val="0"/>
              <w:spacing w:line="400" w:lineRule="exact"/>
              <w:ind w:firstLine="0" w:firstLineChars="0"/>
              <w:contextualSpacing/>
              <w:rPr>
                <w:rFonts w:ascii="Times New Roman" w:hAnsi="Times New Roman" w:eastAsia="宋体" w:cs="Times New Roman"/>
                <w:sz w:val="21"/>
                <w:szCs w:val="21"/>
              </w:rPr>
            </w:pPr>
          </w:p>
        </w:tc>
      </w:tr>
      <w:tr w14:paraId="5688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52" w:type="dxa"/>
            <w:vMerge w:val="continue"/>
            <w:vAlign w:val="center"/>
          </w:tcPr>
          <w:p w14:paraId="31F96151">
            <w:pPr>
              <w:snapToGrid w:val="0"/>
              <w:spacing w:line="400" w:lineRule="exact"/>
              <w:ind w:firstLine="0" w:firstLineChars="0"/>
              <w:contextualSpacing/>
              <w:rPr>
                <w:rFonts w:ascii="Times New Roman" w:hAnsi="Times New Roman" w:eastAsia="宋体" w:cs="Times New Roman"/>
                <w:sz w:val="21"/>
                <w:szCs w:val="22"/>
              </w:rPr>
            </w:pPr>
          </w:p>
        </w:tc>
        <w:tc>
          <w:tcPr>
            <w:tcW w:w="6398" w:type="dxa"/>
            <w:vAlign w:val="center"/>
          </w:tcPr>
          <w:p w14:paraId="471738D7">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子基金管理机构</w:t>
            </w:r>
            <w:r>
              <w:rPr>
                <w:rFonts w:hint="eastAsia" w:ascii="Times New Roman" w:hAnsi="Times New Roman" w:eastAsia="宋体" w:cs="Times New Roman"/>
                <w:sz w:val="21"/>
                <w:szCs w:val="22"/>
                <w:lang w:val="en-US" w:eastAsia="zh-CN"/>
              </w:rPr>
              <w:t>应明确子基金管理团队核心人员</w:t>
            </w:r>
            <w:r>
              <w:rPr>
                <w:rFonts w:hint="eastAsia" w:ascii="Times New Roman" w:hAnsi="Times New Roman" w:eastAsia="宋体" w:cs="Times New Roman"/>
                <w:sz w:val="21"/>
                <w:szCs w:val="22"/>
              </w:rPr>
              <w:t>，</w:t>
            </w:r>
            <w:r>
              <w:rPr>
                <w:rFonts w:hint="eastAsia" w:ascii="Times New Roman" w:hAnsi="Times New Roman" w:eastAsia="宋体" w:cs="Times New Roman"/>
                <w:sz w:val="21"/>
                <w:szCs w:val="22"/>
                <w:lang w:val="en-US" w:eastAsia="zh-CN"/>
              </w:rPr>
              <w:t>对</w:t>
            </w:r>
            <w:r>
              <w:rPr>
                <w:rFonts w:hint="eastAsia" w:ascii="Times New Roman" w:hAnsi="Times New Roman" w:eastAsia="宋体" w:cs="Times New Roman"/>
                <w:sz w:val="21"/>
                <w:szCs w:val="22"/>
              </w:rPr>
              <w:t>核心人员进行锁定</w:t>
            </w:r>
            <w:r>
              <w:rPr>
                <w:rFonts w:hint="eastAsia" w:ascii="Times New Roman" w:hAnsi="Times New Roman" w:eastAsia="宋体" w:cs="Times New Roman"/>
                <w:sz w:val="21"/>
                <w:szCs w:val="22"/>
                <w:lang w:eastAsia="zh-CN"/>
              </w:rPr>
              <w:t>，</w:t>
            </w:r>
            <w:r>
              <w:rPr>
                <w:rFonts w:hint="eastAsia" w:ascii="Times New Roman" w:hAnsi="Times New Roman" w:eastAsia="宋体" w:cs="Times New Roman"/>
                <w:sz w:val="21"/>
                <w:szCs w:val="22"/>
              </w:rPr>
              <w:t>保证子基金运营专注度和稳定性。被锁定人员如发生人员变动须经合伙人大会</w:t>
            </w:r>
            <w:r>
              <w:rPr>
                <w:rFonts w:hint="eastAsia" w:ascii="Times New Roman" w:hAnsi="Times New Roman" w:eastAsia="宋体" w:cs="Times New Roman"/>
                <w:sz w:val="21"/>
                <w:szCs w:val="22"/>
                <w:lang w:val="en-US" w:eastAsia="zh-CN"/>
              </w:rPr>
              <w:t>或</w:t>
            </w:r>
            <w:r>
              <w:rPr>
                <w:rFonts w:hint="eastAsia" w:ascii="Times New Roman" w:hAnsi="Times New Roman" w:eastAsia="宋体" w:cs="Times New Roman"/>
                <w:sz w:val="21"/>
                <w:szCs w:val="22"/>
              </w:rPr>
              <w:t>股东（大）会等子基金相关决策机构表决通过。</w:t>
            </w:r>
          </w:p>
        </w:tc>
        <w:tc>
          <w:tcPr>
            <w:tcW w:w="1134" w:type="dxa"/>
            <w:vAlign w:val="center"/>
          </w:tcPr>
          <w:p w14:paraId="60EC76D5">
            <w:pPr>
              <w:snapToGrid w:val="0"/>
              <w:spacing w:line="400" w:lineRule="exact"/>
              <w:ind w:firstLine="0" w:firstLineChars="0"/>
              <w:contextualSpacing/>
              <w:rPr>
                <w:rFonts w:ascii="Times New Roman" w:hAnsi="Times New Roman" w:eastAsia="宋体" w:cs="Times New Roman"/>
                <w:sz w:val="21"/>
                <w:szCs w:val="21"/>
              </w:rPr>
            </w:pPr>
          </w:p>
        </w:tc>
        <w:tc>
          <w:tcPr>
            <w:tcW w:w="970" w:type="dxa"/>
            <w:vAlign w:val="center"/>
          </w:tcPr>
          <w:p w14:paraId="6A97A457">
            <w:pPr>
              <w:snapToGrid w:val="0"/>
              <w:spacing w:line="400" w:lineRule="exact"/>
              <w:ind w:firstLine="0" w:firstLineChars="0"/>
              <w:contextualSpacing/>
              <w:rPr>
                <w:rFonts w:ascii="Times New Roman" w:hAnsi="Times New Roman" w:eastAsia="宋体" w:cs="Times New Roman"/>
                <w:sz w:val="21"/>
                <w:szCs w:val="21"/>
              </w:rPr>
            </w:pPr>
          </w:p>
        </w:tc>
      </w:tr>
      <w:tr w14:paraId="6B8E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2" w:type="dxa"/>
            <w:vMerge w:val="continue"/>
            <w:vAlign w:val="center"/>
          </w:tcPr>
          <w:p w14:paraId="4F4C4034">
            <w:pPr>
              <w:snapToGrid w:val="0"/>
              <w:spacing w:line="400" w:lineRule="exact"/>
              <w:ind w:firstLine="0" w:firstLineChars="0"/>
              <w:contextualSpacing/>
              <w:rPr>
                <w:rFonts w:ascii="Times New Roman" w:hAnsi="Times New Roman" w:eastAsia="宋体" w:cs="Times New Roman"/>
                <w:sz w:val="21"/>
                <w:szCs w:val="22"/>
              </w:rPr>
            </w:pPr>
          </w:p>
        </w:tc>
        <w:tc>
          <w:tcPr>
            <w:tcW w:w="6398" w:type="dxa"/>
            <w:vAlign w:val="center"/>
          </w:tcPr>
          <w:p w14:paraId="3B47DEBC">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子基金管理机构应当具备专业的基金运作、投资管理、投后跟踪、产业研判、项目孵化与增值服务能力。</w:t>
            </w:r>
          </w:p>
        </w:tc>
        <w:tc>
          <w:tcPr>
            <w:tcW w:w="1134" w:type="dxa"/>
            <w:vAlign w:val="center"/>
          </w:tcPr>
          <w:p w14:paraId="4F38B5F3">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c>
          <w:tcPr>
            <w:tcW w:w="970" w:type="dxa"/>
            <w:vAlign w:val="center"/>
          </w:tcPr>
          <w:p w14:paraId="4DA91B72">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r>
      <w:tr w14:paraId="6F86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52" w:type="dxa"/>
            <w:vMerge w:val="continue"/>
            <w:vAlign w:val="center"/>
          </w:tcPr>
          <w:p w14:paraId="5DA9FAD8">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6398" w:type="dxa"/>
            <w:vAlign w:val="center"/>
          </w:tcPr>
          <w:p w14:paraId="5D0921AF">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rPr>
              <w:t>管理机构核心团队及高级管理人员</w:t>
            </w:r>
            <w:r>
              <w:rPr>
                <w:rFonts w:hint="eastAsia" w:ascii="Times New Roman" w:hAnsi="Times New Roman" w:eastAsia="宋体" w:cs="Times New Roman"/>
                <w:sz w:val="21"/>
                <w:szCs w:val="22"/>
                <w:lang w:eastAsia="zh-CN"/>
              </w:rPr>
              <w:t>、</w:t>
            </w:r>
            <w:r>
              <w:rPr>
                <w:rFonts w:hint="eastAsia" w:ascii="Times New Roman" w:hAnsi="Times New Roman" w:eastAsia="宋体" w:cs="Times New Roman"/>
                <w:sz w:val="21"/>
                <w:szCs w:val="22"/>
                <w:lang w:val="en-US" w:eastAsia="zh-CN"/>
              </w:rPr>
              <w:t>基金关键人</w:t>
            </w:r>
            <w:r>
              <w:rPr>
                <w:rFonts w:hint="eastAsia" w:ascii="Times New Roman" w:hAnsi="Times New Roman" w:eastAsia="宋体" w:cs="Times New Roman"/>
                <w:sz w:val="21"/>
                <w:szCs w:val="22"/>
              </w:rPr>
              <w:t>无犯罪记录。</w:t>
            </w:r>
          </w:p>
        </w:tc>
        <w:tc>
          <w:tcPr>
            <w:tcW w:w="1134" w:type="dxa"/>
            <w:vAlign w:val="center"/>
          </w:tcPr>
          <w:p w14:paraId="425E2206">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c>
          <w:tcPr>
            <w:tcW w:w="970" w:type="dxa"/>
            <w:vAlign w:val="center"/>
          </w:tcPr>
          <w:p w14:paraId="304C05CA">
            <w:pPr>
              <w:keepNext/>
              <w:keepLines/>
              <w:snapToGrid w:val="0"/>
              <w:spacing w:before="260" w:after="260" w:line="400" w:lineRule="exact"/>
              <w:ind w:firstLine="0" w:firstLineChars="0"/>
              <w:contextualSpacing/>
              <w:rPr>
                <w:rFonts w:ascii="Times New Roman" w:hAnsi="Times New Roman" w:eastAsia="宋体" w:cs="Times New Roman"/>
                <w:sz w:val="21"/>
                <w:szCs w:val="21"/>
              </w:rPr>
            </w:pPr>
          </w:p>
        </w:tc>
      </w:tr>
      <w:tr w14:paraId="44C5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52" w:type="dxa"/>
            <w:vAlign w:val="center"/>
          </w:tcPr>
          <w:p w14:paraId="2541FD53">
            <w:pPr>
              <w:snapToGrid w:val="0"/>
              <w:spacing w:line="400" w:lineRule="exact"/>
              <w:ind w:firstLine="0" w:firstLineChars="0"/>
              <w:contextualSpacing/>
              <w:rPr>
                <w:rFonts w:hint="default"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成功案例</w:t>
            </w:r>
          </w:p>
        </w:tc>
        <w:tc>
          <w:tcPr>
            <w:tcW w:w="6398" w:type="dxa"/>
            <w:vAlign w:val="center"/>
          </w:tcPr>
          <w:p w14:paraId="6204D340">
            <w:pPr>
              <w:snapToGrid w:val="0"/>
              <w:spacing w:line="400" w:lineRule="exact"/>
              <w:ind w:firstLine="0" w:firstLineChars="0"/>
              <w:contextualSpacing/>
              <w:jc w:val="both"/>
              <w:rPr>
                <w:rFonts w:hint="eastAsia" w:ascii="Times New Roman" w:hAnsi="Times New Roman" w:eastAsia="宋体" w:cs="Times New Roman"/>
                <w:sz w:val="21"/>
                <w:szCs w:val="22"/>
                <w:lang w:val="en-US" w:eastAsia="zh-CN"/>
              </w:rPr>
            </w:pPr>
          </w:p>
          <w:p w14:paraId="046282D5">
            <w:pPr>
              <w:snapToGrid w:val="0"/>
              <w:spacing w:line="400" w:lineRule="exact"/>
              <w:ind w:firstLine="0" w:firstLineChars="0"/>
              <w:contextualSpacing/>
              <w:jc w:val="both"/>
              <w:rPr>
                <w:rFonts w:hint="default"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子基金管理机构或高级管理人员团队须至少满足下列条件之一：</w:t>
            </w:r>
          </w:p>
          <w:p w14:paraId="600265E9">
            <w:pPr>
              <w:snapToGrid w:val="0"/>
              <w:spacing w:line="400" w:lineRule="exact"/>
              <w:ind w:firstLine="0" w:firstLineChars="0"/>
              <w:contextualSpacing/>
              <w:jc w:val="both"/>
              <w:rPr>
                <w:rFonts w:hint="default"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1.应</w:t>
            </w:r>
            <w:r>
              <w:rPr>
                <w:rFonts w:hint="default" w:ascii="Times New Roman" w:hAnsi="Times New Roman" w:eastAsia="宋体" w:cs="Times New Roman"/>
                <w:sz w:val="21"/>
                <w:szCs w:val="22"/>
                <w:lang w:val="en-US" w:eastAsia="zh-CN"/>
              </w:rPr>
              <w:t>至少有</w:t>
            </w:r>
            <w:r>
              <w:rPr>
                <w:rFonts w:hint="eastAsia" w:ascii="Times New Roman" w:hAnsi="Times New Roman" w:eastAsia="宋体" w:cs="Times New Roman"/>
                <w:sz w:val="21"/>
                <w:szCs w:val="22"/>
                <w:lang w:val="en-US" w:eastAsia="zh-CN"/>
              </w:rPr>
              <w:t>2</w:t>
            </w:r>
            <w:r>
              <w:rPr>
                <w:rFonts w:hint="default" w:ascii="Times New Roman" w:hAnsi="Times New Roman" w:eastAsia="宋体" w:cs="Times New Roman"/>
                <w:sz w:val="21"/>
                <w:szCs w:val="22"/>
                <w:lang w:val="en-US" w:eastAsia="zh-CN"/>
              </w:rPr>
              <w:t>个</w:t>
            </w:r>
            <w:r>
              <w:rPr>
                <w:rFonts w:hint="eastAsia" w:ascii="Times New Roman" w:hAnsi="Times New Roman" w:eastAsia="宋体" w:cs="Times New Roman"/>
                <w:sz w:val="21"/>
                <w:szCs w:val="22"/>
                <w:lang w:val="en-US" w:eastAsia="zh-CN"/>
              </w:rPr>
              <w:t>（含）</w:t>
            </w:r>
            <w:r>
              <w:rPr>
                <w:rFonts w:hint="default" w:ascii="Times New Roman" w:hAnsi="Times New Roman" w:eastAsia="宋体" w:cs="Times New Roman"/>
                <w:sz w:val="21"/>
                <w:szCs w:val="22"/>
                <w:lang w:val="en-US" w:eastAsia="zh-CN"/>
              </w:rPr>
              <w:t>以上</w:t>
            </w:r>
            <w:r>
              <w:rPr>
                <w:rFonts w:hint="eastAsia" w:ascii="Times New Roman" w:hAnsi="Times New Roman" w:eastAsia="宋体" w:cs="Times New Roman"/>
                <w:sz w:val="21"/>
                <w:szCs w:val="22"/>
                <w:lang w:val="en-US" w:eastAsia="zh-CN"/>
              </w:rPr>
              <w:t>早期</w:t>
            </w:r>
            <w:r>
              <w:rPr>
                <w:rFonts w:hint="default" w:ascii="Times New Roman" w:hAnsi="Times New Roman" w:eastAsia="宋体" w:cs="Times New Roman"/>
                <w:sz w:val="21"/>
                <w:szCs w:val="22"/>
                <w:lang w:val="en-US" w:eastAsia="zh-CN"/>
              </w:rPr>
              <w:t>成功</w:t>
            </w:r>
            <w:r>
              <w:rPr>
                <w:rFonts w:hint="eastAsia" w:ascii="Times New Roman" w:hAnsi="Times New Roman" w:eastAsia="宋体" w:cs="Times New Roman"/>
                <w:sz w:val="21"/>
                <w:szCs w:val="22"/>
                <w:lang w:val="en-US" w:eastAsia="zh-CN"/>
              </w:rPr>
              <w:t>投资</w:t>
            </w:r>
            <w:r>
              <w:rPr>
                <w:rFonts w:hint="default" w:ascii="Times New Roman" w:hAnsi="Times New Roman" w:eastAsia="宋体" w:cs="Times New Roman"/>
                <w:sz w:val="21"/>
                <w:szCs w:val="22"/>
                <w:lang w:val="en-US" w:eastAsia="zh-CN"/>
              </w:rPr>
              <w:t>案例(以现金方式退出部分或全部股权，且该退出部分股权投资收益率折年化超过</w:t>
            </w:r>
            <w:r>
              <w:rPr>
                <w:rFonts w:hint="eastAsia" w:ascii="Times New Roman" w:hAnsi="Times New Roman" w:eastAsia="宋体" w:cs="Times New Roman"/>
                <w:sz w:val="21"/>
                <w:szCs w:val="22"/>
                <w:lang w:val="en-US" w:eastAsia="zh-CN"/>
              </w:rPr>
              <w:t>1</w:t>
            </w:r>
            <w:r>
              <w:rPr>
                <w:rFonts w:hint="default" w:ascii="Times New Roman" w:hAnsi="Times New Roman" w:eastAsia="宋体" w:cs="Times New Roman"/>
                <w:sz w:val="21"/>
                <w:szCs w:val="22"/>
                <w:lang w:val="en-US" w:eastAsia="zh-CN"/>
              </w:rPr>
              <w:t>0%)。</w:t>
            </w:r>
          </w:p>
          <w:p w14:paraId="7F437373">
            <w:pPr>
              <w:snapToGrid w:val="0"/>
              <w:spacing w:line="400" w:lineRule="exact"/>
              <w:ind w:firstLine="0" w:firstLineChars="0"/>
              <w:contextualSpacing/>
              <w:jc w:val="both"/>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2.应至少有3个（含）以上早期投资案例且投资后有后续轮次融资，并有相应增值。</w:t>
            </w:r>
          </w:p>
          <w:p w14:paraId="2A7291EA">
            <w:pPr>
              <w:snapToGrid w:val="0"/>
              <w:spacing w:line="400" w:lineRule="exact"/>
              <w:ind w:firstLine="0" w:firstLineChars="0"/>
              <w:contextualSpacing/>
              <w:jc w:val="both"/>
              <w:rPr>
                <w:rFonts w:hint="default" w:ascii="Times New Roman" w:hAnsi="Times New Roman" w:eastAsia="宋体" w:cs="Times New Roman"/>
                <w:sz w:val="21"/>
                <w:szCs w:val="22"/>
                <w:lang w:val="en-US" w:eastAsia="zh-CN"/>
              </w:rPr>
            </w:pPr>
          </w:p>
          <w:p w14:paraId="16A78EAE">
            <w:pPr>
              <w:snapToGrid w:val="0"/>
              <w:spacing w:line="400" w:lineRule="exact"/>
              <w:ind w:firstLine="0" w:firstLineChars="0"/>
              <w:contextualSpacing/>
              <w:jc w:val="both"/>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3.子基金管理机构（含其主要股东或控股子公司）为国内外知名高等院校、科研院所、重点实验室等技术源头单位或国际知名技术转移机构等科技成果转化机构的，该单位最近5年内科技成果转化项目融资总金额累计不低于1亿元人民币（或等值货币）。</w:t>
            </w:r>
          </w:p>
          <w:p w14:paraId="109E6908">
            <w:pPr>
              <w:snapToGrid w:val="0"/>
              <w:spacing w:line="400" w:lineRule="exact"/>
              <w:ind w:firstLine="0" w:firstLineChars="0"/>
              <w:contextualSpacing/>
              <w:jc w:val="both"/>
              <w:rPr>
                <w:rFonts w:hint="eastAsia" w:ascii="Times New Roman" w:hAnsi="Times New Roman" w:eastAsia="宋体" w:cs="Times New Roman"/>
                <w:sz w:val="21"/>
                <w:szCs w:val="22"/>
                <w:lang w:val="en-US" w:eastAsia="zh-CN"/>
              </w:rPr>
            </w:pPr>
            <w:r>
              <w:rPr>
                <w:rFonts w:hint="default" w:ascii="Times New Roman" w:hAnsi="Times New Roman" w:eastAsia="宋体" w:cs="Times New Roman"/>
                <w:sz w:val="21"/>
                <w:szCs w:val="22"/>
                <w:lang w:val="en-US" w:eastAsia="zh-CN"/>
              </w:rPr>
              <w:t>早期投资案例是指投资时为被投企业首两轮外部机构投资，或在投资决策时，被投企业设立时间不超过5年，从业人数不超过200人，且上一年度净资产或年销售收入不超过4000万元。</w:t>
            </w:r>
          </w:p>
          <w:p w14:paraId="2E6CBD2C">
            <w:pPr>
              <w:snapToGrid w:val="0"/>
              <w:spacing w:line="400" w:lineRule="exact"/>
              <w:ind w:firstLine="0" w:firstLineChars="0"/>
              <w:contextualSpacing/>
              <w:jc w:val="both"/>
              <w:rPr>
                <w:rFonts w:hint="eastAsia" w:ascii="Times New Roman" w:hAnsi="Times New Roman" w:eastAsia="宋体" w:cs="Times New Roman"/>
                <w:sz w:val="21"/>
                <w:szCs w:val="22"/>
                <w:lang w:val="en-US" w:eastAsia="zh-CN"/>
              </w:rPr>
            </w:pPr>
          </w:p>
        </w:tc>
        <w:tc>
          <w:tcPr>
            <w:tcW w:w="1134" w:type="dxa"/>
            <w:vAlign w:val="center"/>
          </w:tcPr>
          <w:p w14:paraId="545B24E1">
            <w:pPr>
              <w:snapToGrid w:val="0"/>
              <w:spacing w:line="400" w:lineRule="exact"/>
              <w:ind w:firstLine="0" w:firstLineChars="0"/>
              <w:contextualSpacing/>
              <w:rPr>
                <w:rFonts w:ascii="Times New Roman" w:hAnsi="Times New Roman" w:eastAsia="宋体" w:cs="Times New Roman"/>
                <w:sz w:val="21"/>
                <w:szCs w:val="21"/>
              </w:rPr>
            </w:pPr>
          </w:p>
        </w:tc>
        <w:tc>
          <w:tcPr>
            <w:tcW w:w="970" w:type="dxa"/>
            <w:vAlign w:val="center"/>
          </w:tcPr>
          <w:p w14:paraId="47A29F48">
            <w:pPr>
              <w:snapToGrid w:val="0"/>
              <w:spacing w:line="400" w:lineRule="exact"/>
              <w:ind w:firstLine="0" w:firstLineChars="0"/>
              <w:contextualSpacing/>
              <w:rPr>
                <w:rFonts w:ascii="Times New Roman" w:hAnsi="Times New Roman" w:eastAsia="宋体" w:cs="Times New Roman"/>
                <w:sz w:val="21"/>
                <w:szCs w:val="21"/>
              </w:rPr>
            </w:pPr>
          </w:p>
        </w:tc>
      </w:tr>
      <w:tr w14:paraId="6452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252" w:type="dxa"/>
            <w:vAlign w:val="center"/>
          </w:tcPr>
          <w:p w14:paraId="67181342">
            <w:pPr>
              <w:snapToGrid w:val="0"/>
              <w:spacing w:line="400" w:lineRule="exact"/>
              <w:ind w:firstLine="0" w:firstLineChars="0"/>
              <w:contextualSpacing/>
              <w:rPr>
                <w:rFonts w:ascii="Times New Roman" w:hAnsi="Times New Roman" w:eastAsia="宋体" w:cs="Times New Roman"/>
                <w:sz w:val="21"/>
                <w:szCs w:val="22"/>
                <w:highlight w:val="cyan"/>
              </w:rPr>
            </w:pPr>
            <w:r>
              <w:rPr>
                <w:rFonts w:hint="eastAsia" w:ascii="Times New Roman" w:hAnsi="Times New Roman" w:eastAsia="宋体" w:cs="Times New Roman"/>
                <w:sz w:val="21"/>
                <w:szCs w:val="22"/>
                <w:lang w:val="en-US" w:eastAsia="zh-CN"/>
              </w:rPr>
              <w:t>管理机制</w:t>
            </w:r>
          </w:p>
        </w:tc>
        <w:tc>
          <w:tcPr>
            <w:tcW w:w="6398" w:type="dxa"/>
            <w:vAlign w:val="center"/>
          </w:tcPr>
          <w:p w14:paraId="01EFA365">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宋体" w:cs="Times New Roman"/>
                <w:sz w:val="21"/>
                <w:szCs w:val="22"/>
                <w:highlight w:val="cyan"/>
                <w:lang w:val="en-US" w:eastAsia="zh-CN"/>
              </w:rPr>
            </w:pPr>
            <w:r>
              <w:rPr>
                <w:rFonts w:hint="eastAsia" w:ascii="Times New Roman" w:hAnsi="Times New Roman" w:eastAsia="宋体" w:cs="Times New Roman"/>
                <w:kern w:val="2"/>
                <w:sz w:val="21"/>
                <w:szCs w:val="22"/>
                <w:lang w:val="en-US" w:eastAsia="zh-CN" w:bidi="ar-SA"/>
              </w:rPr>
              <w:t>管理和投资运作规范，具有健全的风险控制、财务管理、投资管理等各项内部控制制度。子基金管理机构应当建立专门的关联交易决策机制，并在合伙协议或公司章程中载明。子基金管理机构应当围绕种子孵化目标建立相匹配的项目遴选、立项和投决机制，包括广泛邀请相关领域的学术界和产业界的专家为项目立项或者投资决策提供建议。子基金管理机构应当在申请资料中提供相关的制度说明。</w:t>
            </w:r>
          </w:p>
        </w:tc>
        <w:tc>
          <w:tcPr>
            <w:tcW w:w="1134" w:type="dxa"/>
            <w:vAlign w:val="center"/>
          </w:tcPr>
          <w:p w14:paraId="3C755D88">
            <w:pPr>
              <w:snapToGrid w:val="0"/>
              <w:spacing w:line="400" w:lineRule="exact"/>
              <w:ind w:firstLine="0" w:firstLineChars="0"/>
              <w:contextualSpacing/>
              <w:rPr>
                <w:rFonts w:ascii="Times New Roman" w:hAnsi="Times New Roman" w:eastAsia="宋体" w:cs="Times New Roman"/>
                <w:sz w:val="21"/>
                <w:szCs w:val="21"/>
              </w:rPr>
            </w:pPr>
          </w:p>
        </w:tc>
        <w:tc>
          <w:tcPr>
            <w:tcW w:w="970" w:type="dxa"/>
            <w:vAlign w:val="center"/>
          </w:tcPr>
          <w:p w14:paraId="7D91FAE0">
            <w:pPr>
              <w:snapToGrid w:val="0"/>
              <w:spacing w:line="400" w:lineRule="exact"/>
              <w:ind w:firstLine="0" w:firstLineChars="0"/>
              <w:contextualSpacing/>
              <w:rPr>
                <w:rFonts w:ascii="Times New Roman" w:hAnsi="Times New Roman" w:eastAsia="宋体" w:cs="Times New Roman"/>
                <w:sz w:val="21"/>
                <w:szCs w:val="21"/>
              </w:rPr>
            </w:pPr>
          </w:p>
        </w:tc>
      </w:tr>
      <w:tr w14:paraId="6E38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252" w:type="dxa"/>
            <w:vAlign w:val="center"/>
          </w:tcPr>
          <w:p w14:paraId="71D74BF9">
            <w:pPr>
              <w:snapToGrid w:val="0"/>
              <w:spacing w:line="400" w:lineRule="exact"/>
              <w:ind w:firstLine="0" w:firstLineChars="0"/>
              <w:contextualSpacing/>
              <w:rPr>
                <w:rFonts w:hint="default"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增值服务</w:t>
            </w:r>
          </w:p>
        </w:tc>
        <w:tc>
          <w:tcPr>
            <w:tcW w:w="6398" w:type="dxa"/>
            <w:vAlign w:val="center"/>
          </w:tcPr>
          <w:p w14:paraId="34ABF430">
            <w:pPr>
              <w:snapToGrid w:val="0"/>
              <w:spacing w:line="400" w:lineRule="exact"/>
              <w:ind w:firstLine="0" w:firstLineChars="0"/>
              <w:contextualSpacing/>
              <w:rPr>
                <w:rFonts w:hint="eastAsia" w:ascii="Times New Roman" w:hAnsi="Times New Roman" w:cs="Times New Roman"/>
                <w:sz w:val="21"/>
                <w:szCs w:val="22"/>
                <w:highlight w:val="cyan"/>
                <w:lang w:val="en-US" w:eastAsia="zh-CN"/>
              </w:rPr>
            </w:pPr>
            <w:r>
              <w:rPr>
                <w:rFonts w:hint="eastAsia" w:ascii="Times New Roman" w:hAnsi="Times New Roman" w:eastAsia="宋体" w:cs="Times New Roman"/>
                <w:kern w:val="2"/>
                <w:sz w:val="21"/>
                <w:szCs w:val="22"/>
                <w:lang w:val="en-US" w:eastAsia="zh-CN" w:bidi="ar-SA"/>
              </w:rPr>
              <w:t>子基金管理团队应当具备较强的投资赋能能力，包括但不限于为已投项目提供创业辅导、管理咨询、市场开拓、产业资源对接等增值服务，与产业链上下游密切合作推动已投项目完成小试、中试，为已投项目招聘具有丰富企业运营经验的全职高级管理人员，为已投项目组建一支有经验的外部科学顾问或产业顾问团队，必要时可以派出人员兼任已投项目的高级管理人员</w:t>
            </w:r>
            <w:r>
              <w:rPr>
                <w:rFonts w:hint="eastAsia" w:eastAsia="宋体" w:cs="Times New Roman"/>
                <w:kern w:val="2"/>
                <w:sz w:val="21"/>
                <w:szCs w:val="22"/>
                <w:lang w:val="en-US" w:eastAsia="zh-CN" w:bidi="ar-SA"/>
              </w:rPr>
              <w:t>。</w:t>
            </w:r>
          </w:p>
        </w:tc>
        <w:tc>
          <w:tcPr>
            <w:tcW w:w="1134" w:type="dxa"/>
            <w:vAlign w:val="center"/>
          </w:tcPr>
          <w:p w14:paraId="41A09612">
            <w:pPr>
              <w:snapToGrid w:val="0"/>
              <w:spacing w:line="400" w:lineRule="exact"/>
              <w:ind w:firstLine="0" w:firstLineChars="0"/>
              <w:contextualSpacing/>
              <w:rPr>
                <w:rFonts w:ascii="Times New Roman" w:hAnsi="Times New Roman" w:eastAsia="宋体" w:cs="Times New Roman"/>
                <w:sz w:val="21"/>
                <w:szCs w:val="21"/>
              </w:rPr>
            </w:pPr>
          </w:p>
        </w:tc>
        <w:tc>
          <w:tcPr>
            <w:tcW w:w="970" w:type="dxa"/>
            <w:vAlign w:val="center"/>
          </w:tcPr>
          <w:p w14:paraId="4355FAAC">
            <w:pPr>
              <w:snapToGrid w:val="0"/>
              <w:spacing w:line="400" w:lineRule="exact"/>
              <w:ind w:firstLine="0" w:firstLineChars="0"/>
              <w:contextualSpacing/>
              <w:rPr>
                <w:rFonts w:ascii="Times New Roman" w:hAnsi="Times New Roman" w:eastAsia="宋体" w:cs="Times New Roman"/>
                <w:sz w:val="21"/>
                <w:szCs w:val="21"/>
              </w:rPr>
            </w:pPr>
          </w:p>
        </w:tc>
      </w:tr>
      <w:tr w14:paraId="589D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754" w:type="dxa"/>
            <w:gridSpan w:val="4"/>
            <w:vAlign w:val="center"/>
          </w:tcPr>
          <w:p w14:paraId="4FC247F6">
            <w:pPr>
              <w:snapToGrid w:val="0"/>
              <w:spacing w:line="400" w:lineRule="exact"/>
              <w:ind w:firstLine="0" w:firstLineChars="0"/>
              <w:contextualSpacing/>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三</w:t>
            </w:r>
            <w:r>
              <w:rPr>
                <w:rFonts w:hint="eastAsia" w:ascii="Times New Roman" w:hAnsi="Times New Roman" w:eastAsia="宋体" w:cs="Times New Roman"/>
                <w:sz w:val="21"/>
                <w:szCs w:val="21"/>
              </w:rPr>
              <w:t>、</w:t>
            </w:r>
            <w:r>
              <w:rPr>
                <w:rFonts w:ascii="Times New Roman" w:hAnsi="Times New Roman" w:eastAsia="宋体" w:cs="Times New Roman"/>
                <w:sz w:val="21"/>
                <w:szCs w:val="21"/>
              </w:rPr>
              <w:t>子基金</w:t>
            </w:r>
            <w:r>
              <w:rPr>
                <w:rFonts w:hint="eastAsia" w:ascii="Times New Roman" w:hAnsi="Times New Roman" w:eastAsia="宋体" w:cs="Times New Roman"/>
                <w:sz w:val="21"/>
                <w:szCs w:val="21"/>
                <w:lang w:val="en-US" w:eastAsia="zh-CN"/>
              </w:rPr>
              <w:t>运作要求</w:t>
            </w:r>
          </w:p>
        </w:tc>
      </w:tr>
      <w:tr w14:paraId="5634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52" w:type="dxa"/>
            <w:vAlign w:val="center"/>
          </w:tcPr>
          <w:p w14:paraId="52ECDDB7">
            <w:pPr>
              <w:snapToGrid w:val="0"/>
              <w:spacing w:line="400" w:lineRule="exact"/>
              <w:ind w:firstLine="0" w:firstLineChars="0"/>
              <w:contextualSpacing/>
              <w:rPr>
                <w:rFonts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监督管理</w:t>
            </w:r>
          </w:p>
        </w:tc>
        <w:tc>
          <w:tcPr>
            <w:tcW w:w="6398" w:type="dxa"/>
            <w:vAlign w:val="center"/>
          </w:tcPr>
          <w:p w14:paraId="3B61D9F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 w:val="21"/>
                <w:szCs w:val="22"/>
              </w:rPr>
            </w:pPr>
            <w:r>
              <w:rPr>
                <w:rFonts w:hint="eastAsia" w:ascii="Times New Roman" w:hAnsi="Times New Roman" w:eastAsia="宋体" w:cs="Times New Roman"/>
                <w:sz w:val="21"/>
                <w:szCs w:val="22"/>
                <w:highlight w:val="none"/>
              </w:rPr>
              <w:t>引导基金公司根据需要可向子基金派出代表，监督子基金的投资和运作。具体以合伙协议或公司章程为准。</w:t>
            </w:r>
          </w:p>
        </w:tc>
        <w:tc>
          <w:tcPr>
            <w:tcW w:w="1134" w:type="dxa"/>
            <w:vAlign w:val="center"/>
          </w:tcPr>
          <w:p w14:paraId="52B1F25F">
            <w:pPr>
              <w:snapToGrid w:val="0"/>
              <w:spacing w:line="400" w:lineRule="exact"/>
              <w:ind w:firstLine="0" w:firstLineChars="0"/>
              <w:contextualSpacing/>
              <w:rPr>
                <w:rFonts w:ascii="Times New Roman" w:hAnsi="Times New Roman" w:eastAsia="宋体" w:cs="Times New Roman"/>
                <w:sz w:val="21"/>
                <w:szCs w:val="21"/>
              </w:rPr>
            </w:pPr>
          </w:p>
        </w:tc>
        <w:tc>
          <w:tcPr>
            <w:tcW w:w="970" w:type="dxa"/>
            <w:vAlign w:val="center"/>
          </w:tcPr>
          <w:p w14:paraId="0FAC0B25">
            <w:pPr>
              <w:snapToGrid w:val="0"/>
              <w:spacing w:line="400" w:lineRule="exact"/>
              <w:ind w:firstLine="0" w:firstLineChars="0"/>
              <w:contextualSpacing/>
              <w:rPr>
                <w:rFonts w:ascii="Times New Roman" w:hAnsi="Times New Roman" w:eastAsia="宋体" w:cs="Times New Roman"/>
                <w:sz w:val="21"/>
                <w:szCs w:val="21"/>
              </w:rPr>
            </w:pPr>
          </w:p>
        </w:tc>
      </w:tr>
      <w:tr w14:paraId="2217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252" w:type="dxa"/>
            <w:vAlign w:val="center"/>
          </w:tcPr>
          <w:p w14:paraId="1906A418">
            <w:pPr>
              <w:snapToGrid w:val="0"/>
              <w:spacing w:line="400" w:lineRule="exact"/>
              <w:ind w:firstLine="0" w:firstLineChars="0"/>
              <w:contextualSpacing/>
              <w:rPr>
                <w:rFonts w:hint="eastAsia" w:ascii="Times New Roman" w:hAnsi="Times New Roman" w:eastAsia="宋体" w:cs="Times New Roman"/>
                <w:sz w:val="21"/>
                <w:szCs w:val="22"/>
                <w:highlight w:val="none"/>
                <w:lang w:val="en-US" w:eastAsia="zh-CN"/>
              </w:rPr>
            </w:pPr>
            <w:r>
              <w:rPr>
                <w:rFonts w:hint="eastAsia" w:ascii="Times New Roman" w:hAnsi="Times New Roman" w:eastAsia="宋体" w:cs="Times New Roman"/>
                <w:sz w:val="21"/>
                <w:szCs w:val="22"/>
                <w:highlight w:val="none"/>
              </w:rPr>
              <w:t>信息</w:t>
            </w:r>
            <w:r>
              <w:rPr>
                <w:rFonts w:hint="eastAsia" w:ascii="Times New Roman" w:hAnsi="Times New Roman" w:eastAsia="宋体" w:cs="Times New Roman"/>
                <w:sz w:val="21"/>
                <w:szCs w:val="22"/>
                <w:highlight w:val="none"/>
                <w:lang w:val="en-US" w:eastAsia="zh-CN"/>
              </w:rPr>
              <w:t>报送</w:t>
            </w:r>
          </w:p>
        </w:tc>
        <w:tc>
          <w:tcPr>
            <w:tcW w:w="6398" w:type="dxa"/>
            <w:vAlign w:val="center"/>
          </w:tcPr>
          <w:p w14:paraId="7537F50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引导基金公司对子基金施行投资后管理。子基金管理机构应当在每季度结束后及时向引导基金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提交上季度子基金业务运作报告；并在每年度结束后4个月内，向引导基金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提交上年度子基金运营报告、经审计的子基金财务报告和银行托管报告。引导基金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视工作需要可委托专业机构对子基金进行审计。发现资金安排中有与合伙协议或公司章程不符的情况应要求子基金管理机构改正或追回损失。</w:t>
            </w:r>
          </w:p>
        </w:tc>
        <w:tc>
          <w:tcPr>
            <w:tcW w:w="1134" w:type="dxa"/>
            <w:vAlign w:val="center"/>
          </w:tcPr>
          <w:p w14:paraId="1CBE0C5C">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4D1B0D74">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58B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252" w:type="dxa"/>
            <w:vAlign w:val="center"/>
          </w:tcPr>
          <w:p w14:paraId="05698988">
            <w:pPr>
              <w:snapToGrid w:val="0"/>
              <w:spacing w:line="400" w:lineRule="exact"/>
              <w:ind w:firstLine="0" w:firstLineChars="0"/>
              <w:contextualSpacing/>
              <w:rPr>
                <w:rFonts w:hint="eastAsia" w:ascii="Times New Roman" w:hAnsi="Times New Roman" w:eastAsia="宋体" w:cs="Times New Roman"/>
                <w:sz w:val="21"/>
                <w:szCs w:val="22"/>
                <w:highlight w:val="yellow"/>
              </w:rPr>
            </w:pPr>
            <w:r>
              <w:rPr>
                <w:rFonts w:hint="eastAsia" w:ascii="Times New Roman" w:hAnsi="Times New Roman" w:eastAsia="宋体" w:cs="Times New Roman"/>
                <w:sz w:val="21"/>
                <w:szCs w:val="22"/>
                <w:highlight w:val="none"/>
                <w:lang w:val="en-US" w:eastAsia="zh-CN"/>
              </w:rPr>
              <w:t>提前退出</w:t>
            </w:r>
          </w:p>
        </w:tc>
        <w:tc>
          <w:tcPr>
            <w:tcW w:w="6398" w:type="dxa"/>
            <w:vAlign w:val="center"/>
          </w:tcPr>
          <w:p w14:paraId="656AD8A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yellow"/>
              </w:rPr>
            </w:pPr>
            <w:r>
              <w:rPr>
                <w:rFonts w:hint="eastAsia" w:ascii="Times New Roman" w:hAnsi="Times New Roman" w:eastAsia="宋体" w:cs="Times New Roman"/>
                <w:sz w:val="21"/>
                <w:szCs w:val="22"/>
                <w:highlight w:val="none"/>
              </w:rPr>
              <w:t>在有受让方的情况下，引导基金公司可随时退出。</w:t>
            </w:r>
          </w:p>
        </w:tc>
        <w:tc>
          <w:tcPr>
            <w:tcW w:w="1134" w:type="dxa"/>
            <w:vAlign w:val="center"/>
          </w:tcPr>
          <w:p w14:paraId="1A2CC7D3">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08AD815D">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017A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1252" w:type="dxa"/>
            <w:vAlign w:val="center"/>
          </w:tcPr>
          <w:p w14:paraId="639A56D7">
            <w:pPr>
              <w:snapToGrid w:val="0"/>
              <w:spacing w:line="240" w:lineRule="auto"/>
              <w:ind w:firstLine="0" w:firstLineChars="0"/>
              <w:contextualSpacing/>
              <w:rPr>
                <w:rFonts w:hint="eastAsia" w:ascii="Times New Roman" w:hAnsi="Times New Roman" w:eastAsia="宋体" w:cs="Times New Roman"/>
                <w:sz w:val="21"/>
                <w:szCs w:val="22"/>
                <w:highlight w:val="yellow"/>
              </w:rPr>
            </w:pPr>
            <w:r>
              <w:rPr>
                <w:rFonts w:hint="eastAsia" w:ascii="Times New Roman" w:hAnsi="Times New Roman" w:eastAsia="宋体" w:cs="Times New Roman"/>
                <w:sz w:val="21"/>
                <w:szCs w:val="22"/>
                <w:highlight w:val="none"/>
              </w:rPr>
              <w:t>闲置资金</w:t>
            </w:r>
          </w:p>
        </w:tc>
        <w:tc>
          <w:tcPr>
            <w:tcW w:w="6398" w:type="dxa"/>
            <w:vAlign w:val="center"/>
          </w:tcPr>
          <w:p w14:paraId="4046970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yellow"/>
              </w:rPr>
            </w:pPr>
            <w:r>
              <w:rPr>
                <w:rFonts w:hint="eastAsia" w:ascii="Times New Roman" w:hAnsi="Times New Roman" w:eastAsia="宋体" w:cs="Times New Roman"/>
                <w:sz w:val="21"/>
                <w:szCs w:val="22"/>
                <w:highlight w:val="none"/>
              </w:rPr>
              <w:t>子基金的闲置资金只能投资于银行存款、国债、地方政府债、政策性金融债和政府支持债券等安全性和流动性较好的资产。</w:t>
            </w:r>
          </w:p>
        </w:tc>
        <w:tc>
          <w:tcPr>
            <w:tcW w:w="1134" w:type="dxa"/>
            <w:vAlign w:val="center"/>
          </w:tcPr>
          <w:p w14:paraId="2EDE9FC8">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2BF05016">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5A93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252" w:type="dxa"/>
            <w:vMerge w:val="restart"/>
            <w:vAlign w:val="center"/>
          </w:tcPr>
          <w:p w14:paraId="74EA135F">
            <w:pPr>
              <w:snapToGrid w:val="0"/>
              <w:spacing w:line="240" w:lineRule="auto"/>
              <w:ind w:firstLine="0" w:firstLineChars="0"/>
              <w:contextualSpacing/>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rPr>
              <w:t>投资限制</w:t>
            </w:r>
            <w:r>
              <w:rPr>
                <w:rFonts w:hint="eastAsia" w:ascii="Times New Roman" w:hAnsi="Times New Roman" w:eastAsia="宋体" w:cs="Times New Roman"/>
                <w:sz w:val="21"/>
                <w:szCs w:val="22"/>
                <w:lang w:eastAsia="zh-CN"/>
              </w:rPr>
              <w:t>：</w:t>
            </w:r>
            <w:r>
              <w:rPr>
                <w:rFonts w:hint="eastAsia" w:ascii="Times New Roman" w:hAnsi="Times New Roman" w:eastAsia="宋体" w:cs="Times New Roman"/>
                <w:sz w:val="21"/>
                <w:szCs w:val="22"/>
              </w:rPr>
              <w:t>子基金不得从事业务</w:t>
            </w:r>
          </w:p>
        </w:tc>
        <w:tc>
          <w:tcPr>
            <w:tcW w:w="6398" w:type="dxa"/>
            <w:vAlign w:val="center"/>
          </w:tcPr>
          <w:p w14:paraId="7F5344B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从事融资担保以外的担保、抵押、委托贷款等业务。</w:t>
            </w:r>
          </w:p>
        </w:tc>
        <w:tc>
          <w:tcPr>
            <w:tcW w:w="1134" w:type="dxa"/>
            <w:vAlign w:val="center"/>
          </w:tcPr>
          <w:p w14:paraId="3F390DD6">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6B5B3E55">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53E4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252" w:type="dxa"/>
            <w:vMerge w:val="continue"/>
            <w:vAlign w:val="center"/>
          </w:tcPr>
          <w:p w14:paraId="00DAA93A">
            <w:pPr>
              <w:snapToGrid w:val="0"/>
              <w:spacing w:line="240" w:lineRule="auto"/>
              <w:ind w:firstLine="0" w:firstLineChars="0"/>
              <w:contextualSpacing/>
              <w:rPr>
                <w:rFonts w:hint="eastAsia" w:ascii="Times New Roman" w:hAnsi="Times New Roman" w:eastAsia="宋体" w:cs="Times New Roman"/>
                <w:sz w:val="21"/>
                <w:szCs w:val="22"/>
                <w:highlight w:val="none"/>
              </w:rPr>
            </w:pPr>
          </w:p>
        </w:tc>
        <w:tc>
          <w:tcPr>
            <w:tcW w:w="6398" w:type="dxa"/>
            <w:vAlign w:val="center"/>
          </w:tcPr>
          <w:p w14:paraId="79D2B31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投资二级市场股票（大宗交易、协议转让、战略配售、定向增发、并购重组除外）、期货、房地产、证券投资基金、评级AAA以下的企业债、信托产品、非保本型理财产品、保险计划及其他金融衍生品。</w:t>
            </w:r>
          </w:p>
        </w:tc>
        <w:tc>
          <w:tcPr>
            <w:tcW w:w="1134" w:type="dxa"/>
            <w:vAlign w:val="center"/>
          </w:tcPr>
          <w:p w14:paraId="1652F13F">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05C0F3F0">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259C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52" w:type="dxa"/>
            <w:vMerge w:val="continue"/>
            <w:vAlign w:val="center"/>
          </w:tcPr>
          <w:p w14:paraId="76A1E009">
            <w:pPr>
              <w:snapToGrid w:val="0"/>
              <w:spacing w:line="240" w:lineRule="auto"/>
              <w:ind w:firstLine="0" w:firstLineChars="0"/>
              <w:contextualSpacing/>
              <w:rPr>
                <w:rFonts w:hint="eastAsia" w:ascii="Times New Roman" w:hAnsi="Times New Roman" w:eastAsia="宋体" w:cs="Times New Roman"/>
                <w:sz w:val="21"/>
                <w:szCs w:val="22"/>
                <w:highlight w:val="none"/>
              </w:rPr>
            </w:pPr>
          </w:p>
        </w:tc>
        <w:tc>
          <w:tcPr>
            <w:tcW w:w="6398" w:type="dxa"/>
            <w:vAlign w:val="center"/>
          </w:tcPr>
          <w:p w14:paraId="33755CA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向任何第三方提供赞助、捐赠（经批准的公益性捐赠除外）</w:t>
            </w:r>
          </w:p>
        </w:tc>
        <w:tc>
          <w:tcPr>
            <w:tcW w:w="1134" w:type="dxa"/>
            <w:vAlign w:val="center"/>
          </w:tcPr>
          <w:p w14:paraId="2223A33E">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543DAF4F">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2176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252" w:type="dxa"/>
            <w:vMerge w:val="continue"/>
            <w:vAlign w:val="center"/>
          </w:tcPr>
          <w:p w14:paraId="1E625387">
            <w:pPr>
              <w:snapToGrid w:val="0"/>
              <w:spacing w:line="240" w:lineRule="auto"/>
              <w:ind w:firstLine="0" w:firstLineChars="0"/>
              <w:contextualSpacing/>
              <w:rPr>
                <w:rFonts w:hint="eastAsia" w:ascii="Times New Roman" w:hAnsi="Times New Roman" w:eastAsia="宋体" w:cs="Times New Roman"/>
                <w:sz w:val="21"/>
                <w:szCs w:val="22"/>
                <w:highlight w:val="none"/>
              </w:rPr>
            </w:pPr>
          </w:p>
        </w:tc>
        <w:tc>
          <w:tcPr>
            <w:tcW w:w="6398" w:type="dxa"/>
            <w:vAlign w:val="center"/>
          </w:tcPr>
          <w:p w14:paraId="7811AF4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吸收或变相吸收存款，或向第三方提供贷款和资金拆借。</w:t>
            </w:r>
          </w:p>
        </w:tc>
        <w:tc>
          <w:tcPr>
            <w:tcW w:w="1134" w:type="dxa"/>
            <w:vAlign w:val="center"/>
          </w:tcPr>
          <w:p w14:paraId="51C1846A">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57BA8065">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3717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252" w:type="dxa"/>
            <w:vMerge w:val="continue"/>
            <w:vAlign w:val="center"/>
          </w:tcPr>
          <w:p w14:paraId="50D63AA5">
            <w:pPr>
              <w:snapToGrid w:val="0"/>
              <w:spacing w:line="240" w:lineRule="auto"/>
              <w:ind w:firstLine="0" w:firstLineChars="0"/>
              <w:contextualSpacing/>
              <w:rPr>
                <w:rFonts w:hint="eastAsia" w:ascii="Times New Roman" w:hAnsi="Times New Roman" w:eastAsia="宋体" w:cs="Times New Roman"/>
                <w:sz w:val="21"/>
                <w:szCs w:val="22"/>
                <w:highlight w:val="none"/>
              </w:rPr>
            </w:pPr>
          </w:p>
        </w:tc>
        <w:tc>
          <w:tcPr>
            <w:tcW w:w="6398" w:type="dxa"/>
            <w:vAlign w:val="center"/>
          </w:tcPr>
          <w:p w14:paraId="5C4AFBC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进行承担无限连带责任的对外投资。</w:t>
            </w:r>
          </w:p>
        </w:tc>
        <w:tc>
          <w:tcPr>
            <w:tcW w:w="1134" w:type="dxa"/>
            <w:vAlign w:val="center"/>
          </w:tcPr>
          <w:p w14:paraId="0E7504CB">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677D953D">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44CB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252" w:type="dxa"/>
            <w:vMerge w:val="continue"/>
            <w:vAlign w:val="center"/>
          </w:tcPr>
          <w:p w14:paraId="50D7D49E">
            <w:pPr>
              <w:snapToGrid w:val="0"/>
              <w:spacing w:line="240" w:lineRule="auto"/>
              <w:ind w:firstLine="0" w:firstLineChars="0"/>
              <w:contextualSpacing/>
              <w:rPr>
                <w:rFonts w:hint="eastAsia" w:ascii="Times New Roman" w:hAnsi="Times New Roman" w:eastAsia="宋体" w:cs="Times New Roman"/>
                <w:sz w:val="21"/>
                <w:szCs w:val="22"/>
                <w:highlight w:val="none"/>
              </w:rPr>
            </w:pPr>
          </w:p>
        </w:tc>
        <w:tc>
          <w:tcPr>
            <w:tcW w:w="6398" w:type="dxa"/>
            <w:vAlign w:val="center"/>
          </w:tcPr>
          <w:p w14:paraId="426D493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发行信托或集合理财产品募集基金。</w:t>
            </w:r>
          </w:p>
        </w:tc>
        <w:tc>
          <w:tcPr>
            <w:tcW w:w="1134" w:type="dxa"/>
            <w:vAlign w:val="center"/>
          </w:tcPr>
          <w:p w14:paraId="63DD8F0B">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6DF7BFB3">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5BAF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252" w:type="dxa"/>
            <w:vMerge w:val="continue"/>
            <w:vAlign w:val="center"/>
          </w:tcPr>
          <w:p w14:paraId="300E95BC">
            <w:pPr>
              <w:snapToGrid w:val="0"/>
              <w:spacing w:line="240" w:lineRule="auto"/>
              <w:ind w:firstLine="0" w:firstLineChars="0"/>
              <w:contextualSpacing/>
              <w:rPr>
                <w:rFonts w:hint="eastAsia" w:ascii="Times New Roman" w:hAnsi="Times New Roman" w:eastAsia="宋体" w:cs="Times New Roman"/>
                <w:sz w:val="21"/>
                <w:szCs w:val="22"/>
                <w:highlight w:val="none"/>
              </w:rPr>
            </w:pPr>
          </w:p>
        </w:tc>
        <w:tc>
          <w:tcPr>
            <w:tcW w:w="6398" w:type="dxa"/>
            <w:vAlign w:val="center"/>
          </w:tcPr>
          <w:p w14:paraId="2ED8B86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其他国家法律法规禁止从事的业务。</w:t>
            </w:r>
          </w:p>
        </w:tc>
        <w:tc>
          <w:tcPr>
            <w:tcW w:w="1134" w:type="dxa"/>
            <w:vAlign w:val="center"/>
          </w:tcPr>
          <w:p w14:paraId="7358DB1D">
            <w:pPr>
              <w:snapToGrid w:val="0"/>
              <w:spacing w:line="400" w:lineRule="exact"/>
              <w:ind w:firstLine="0" w:firstLineChars="0"/>
              <w:contextualSpacing/>
              <w:rPr>
                <w:rFonts w:ascii="Times New Roman" w:hAnsi="Times New Roman" w:eastAsia="宋体" w:cs="Times New Roman"/>
                <w:sz w:val="21"/>
                <w:szCs w:val="21"/>
                <w:highlight w:val="yellow"/>
              </w:rPr>
            </w:pPr>
          </w:p>
        </w:tc>
        <w:tc>
          <w:tcPr>
            <w:tcW w:w="970" w:type="dxa"/>
            <w:vAlign w:val="center"/>
          </w:tcPr>
          <w:p w14:paraId="78FEF2B8">
            <w:pPr>
              <w:snapToGrid w:val="0"/>
              <w:spacing w:line="400" w:lineRule="exact"/>
              <w:ind w:firstLine="0" w:firstLineChars="0"/>
              <w:contextualSpacing/>
              <w:rPr>
                <w:rFonts w:ascii="Times New Roman" w:hAnsi="Times New Roman" w:eastAsia="宋体" w:cs="Times New Roman"/>
                <w:sz w:val="21"/>
                <w:szCs w:val="21"/>
                <w:highlight w:val="yellow"/>
              </w:rPr>
            </w:pPr>
          </w:p>
        </w:tc>
      </w:tr>
      <w:tr w14:paraId="6792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252" w:type="dxa"/>
            <w:vMerge w:val="restart"/>
            <w:vAlign w:val="center"/>
          </w:tcPr>
          <w:p w14:paraId="20C8E5D3">
            <w:pPr>
              <w:keepNext/>
              <w:keepLines/>
              <w:snapToGrid w:val="0"/>
              <w:spacing w:before="260" w:after="260" w:line="400" w:lineRule="exact"/>
              <w:ind w:firstLine="0" w:firstLineChars="0"/>
              <w:contextualSpacing/>
              <w:rPr>
                <w:rFonts w:hint="eastAsia" w:ascii="Times New Roman" w:hAnsi="Times New Roman" w:eastAsia="宋体" w:cs="Times New Roman"/>
                <w:sz w:val="21"/>
                <w:szCs w:val="22"/>
                <w:lang w:eastAsia="zh-CN"/>
              </w:rPr>
            </w:pPr>
            <w:r>
              <w:rPr>
                <w:rFonts w:hint="eastAsia" w:ascii="Times New Roman" w:hAnsi="Times New Roman" w:eastAsia="宋体" w:cs="Times New Roman"/>
                <w:sz w:val="21"/>
                <w:szCs w:val="22"/>
              </w:rPr>
              <w:t>有权退出情形</w:t>
            </w:r>
            <w:r>
              <w:rPr>
                <w:rFonts w:hint="eastAsia" w:ascii="Times New Roman" w:hAnsi="Times New Roman" w:eastAsia="宋体" w:cs="Times New Roman"/>
                <w:sz w:val="21"/>
                <w:szCs w:val="22"/>
                <w:lang w:eastAsia="zh-CN"/>
              </w:rPr>
              <w:t>：</w:t>
            </w:r>
            <w:r>
              <w:rPr>
                <w:rFonts w:hint="eastAsia" w:ascii="Times New Roman" w:hAnsi="Times New Roman" w:eastAsia="宋体" w:cs="Times New Roman"/>
                <w:sz w:val="21"/>
                <w:szCs w:val="22"/>
                <w:highlight w:val="none"/>
              </w:rPr>
              <w:t>有下列情况之一的，引导基金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有权要求退出</w:t>
            </w:r>
          </w:p>
        </w:tc>
        <w:tc>
          <w:tcPr>
            <w:tcW w:w="6398" w:type="dxa"/>
            <w:vAlign w:val="center"/>
          </w:tcPr>
          <w:p w14:paraId="21A71B4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与子基金管理机构签订投资或合作协议后，子基金未完成注册登记或首期资金未实际到位超过1年的。</w:t>
            </w:r>
          </w:p>
        </w:tc>
        <w:tc>
          <w:tcPr>
            <w:tcW w:w="1134" w:type="dxa"/>
            <w:vAlign w:val="center"/>
          </w:tcPr>
          <w:p w14:paraId="5EA3D543">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970" w:type="dxa"/>
            <w:vAlign w:val="center"/>
          </w:tcPr>
          <w:p w14:paraId="1C375623">
            <w:pPr>
              <w:keepNext/>
              <w:keepLines/>
              <w:snapToGrid w:val="0"/>
              <w:spacing w:line="240" w:lineRule="auto"/>
              <w:ind w:firstLine="0" w:firstLineChars="0"/>
              <w:contextualSpacing/>
              <w:rPr>
                <w:rFonts w:ascii="Times New Roman" w:hAnsi="Times New Roman" w:eastAsia="宋体" w:cs="Times New Roman"/>
                <w:sz w:val="21"/>
                <w:szCs w:val="22"/>
              </w:rPr>
            </w:pPr>
          </w:p>
        </w:tc>
      </w:tr>
      <w:tr w14:paraId="264E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1252" w:type="dxa"/>
            <w:vMerge w:val="continue"/>
            <w:vAlign w:val="center"/>
          </w:tcPr>
          <w:p w14:paraId="6528DD99">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6398" w:type="dxa"/>
            <w:vAlign w:val="center"/>
          </w:tcPr>
          <w:p w14:paraId="6A17EA5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出资后，子基金未开展投资业务超过1年，引导基金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可退出并要求子基金管理团队或其指定的主体全额回购引导基金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出资份额，回购价格不低于引导基金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原始投资金额加同期1年期贷款市场报价利率（LPR）计算的收益之和。</w:t>
            </w:r>
          </w:p>
        </w:tc>
        <w:tc>
          <w:tcPr>
            <w:tcW w:w="1134" w:type="dxa"/>
            <w:vAlign w:val="center"/>
          </w:tcPr>
          <w:p w14:paraId="5A172C08">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970" w:type="dxa"/>
            <w:vAlign w:val="center"/>
          </w:tcPr>
          <w:p w14:paraId="4ED13173">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r>
      <w:tr w14:paraId="79D8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1252" w:type="dxa"/>
            <w:vMerge w:val="continue"/>
            <w:vAlign w:val="center"/>
          </w:tcPr>
          <w:p w14:paraId="63F93AD4">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6398" w:type="dxa"/>
            <w:vAlign w:val="center"/>
          </w:tcPr>
          <w:p w14:paraId="6103FD9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子基金未按合伙协议或公司章程规定投资企业的，引导基金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有权退出，并要求子基金管理人承担相应赔偿。</w:t>
            </w:r>
          </w:p>
        </w:tc>
        <w:tc>
          <w:tcPr>
            <w:tcW w:w="1134" w:type="dxa"/>
            <w:vAlign w:val="center"/>
          </w:tcPr>
          <w:p w14:paraId="533F2C57">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970" w:type="dxa"/>
            <w:vAlign w:val="center"/>
          </w:tcPr>
          <w:p w14:paraId="0247AE07">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r>
      <w:tr w14:paraId="43E3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52" w:type="dxa"/>
            <w:vMerge w:val="continue"/>
            <w:vAlign w:val="center"/>
          </w:tcPr>
          <w:p w14:paraId="6E1808A7">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6398" w:type="dxa"/>
            <w:vAlign w:val="center"/>
          </w:tcPr>
          <w:p w14:paraId="67FE37A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子基金投资项目不符合规定的政策导向的。</w:t>
            </w:r>
          </w:p>
        </w:tc>
        <w:tc>
          <w:tcPr>
            <w:tcW w:w="1134" w:type="dxa"/>
            <w:vAlign w:val="center"/>
          </w:tcPr>
          <w:p w14:paraId="6A87C75F">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970" w:type="dxa"/>
            <w:vAlign w:val="center"/>
          </w:tcPr>
          <w:p w14:paraId="391C9BA6">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r>
      <w:tr w14:paraId="6760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1252" w:type="dxa"/>
            <w:vMerge w:val="continue"/>
            <w:vAlign w:val="center"/>
          </w:tcPr>
          <w:p w14:paraId="2620CEEC">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6398" w:type="dxa"/>
            <w:vAlign w:val="center"/>
          </w:tcPr>
          <w:p w14:paraId="16FC8E0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子基金与引导基金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达成合作之日起超过1年，子基金管理机构或其关联方仍未与引导基金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签署合伙协议、公司章程的，引导基金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相关投资决策文件失效。</w:t>
            </w:r>
          </w:p>
        </w:tc>
        <w:tc>
          <w:tcPr>
            <w:tcW w:w="1134" w:type="dxa"/>
            <w:vAlign w:val="center"/>
          </w:tcPr>
          <w:p w14:paraId="5CEB5545">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970" w:type="dxa"/>
            <w:vAlign w:val="center"/>
          </w:tcPr>
          <w:p w14:paraId="3DDD372A">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r>
      <w:tr w14:paraId="5BA4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1252" w:type="dxa"/>
            <w:vAlign w:val="center"/>
          </w:tcPr>
          <w:p w14:paraId="63A6B927">
            <w:pPr>
              <w:keepNext/>
              <w:keepLines/>
              <w:snapToGrid w:val="0"/>
              <w:spacing w:before="260" w:after="260" w:line="400" w:lineRule="exact"/>
              <w:ind w:firstLine="0" w:firstLineChars="0"/>
              <w:contextualSpacing/>
              <w:rPr>
                <w:rFonts w:hint="default"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责任追究</w:t>
            </w:r>
          </w:p>
          <w:p w14:paraId="167D9248">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6398" w:type="dxa"/>
            <w:vAlign w:val="center"/>
          </w:tcPr>
          <w:p w14:paraId="72A3EEA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rPr>
              <w:t>对子基金申请机构、管理机构、管理机构关联方弄虚作假骗取或不按规定用途使用</w:t>
            </w:r>
            <w:r>
              <w:rPr>
                <w:rFonts w:hint="eastAsia" w:ascii="Times New Roman" w:hAnsi="Times New Roman" w:eastAsia="宋体" w:cs="Times New Roman"/>
                <w:sz w:val="21"/>
                <w:szCs w:val="22"/>
                <w:highlight w:val="none"/>
                <w:lang w:val="en-US" w:eastAsia="zh-CN"/>
              </w:rPr>
              <w:t>种子基金</w:t>
            </w:r>
            <w:r>
              <w:rPr>
                <w:rFonts w:hint="eastAsia" w:ascii="Times New Roman" w:hAnsi="Times New Roman" w:eastAsia="宋体" w:cs="Times New Roman"/>
                <w:sz w:val="21"/>
                <w:szCs w:val="22"/>
                <w:highlight w:val="none"/>
              </w:rPr>
              <w:t>等行为，引导基金</w:t>
            </w:r>
            <w:r>
              <w:rPr>
                <w:rFonts w:hint="eastAsia" w:ascii="Times New Roman" w:hAnsi="Times New Roman" w:eastAsia="宋体" w:cs="Times New Roman"/>
                <w:sz w:val="21"/>
                <w:szCs w:val="22"/>
                <w:highlight w:val="none"/>
                <w:lang w:val="en-US" w:eastAsia="zh-CN"/>
              </w:rPr>
              <w:t>公司</w:t>
            </w:r>
            <w:r>
              <w:rPr>
                <w:rFonts w:hint="eastAsia" w:ascii="Times New Roman" w:hAnsi="Times New Roman" w:eastAsia="宋体" w:cs="Times New Roman"/>
                <w:sz w:val="21"/>
                <w:szCs w:val="22"/>
                <w:highlight w:val="none"/>
              </w:rPr>
              <w:t>将依法追究相关责任。</w:t>
            </w:r>
          </w:p>
        </w:tc>
        <w:tc>
          <w:tcPr>
            <w:tcW w:w="1134" w:type="dxa"/>
            <w:vAlign w:val="center"/>
          </w:tcPr>
          <w:p w14:paraId="2E18EB56">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c>
          <w:tcPr>
            <w:tcW w:w="970" w:type="dxa"/>
            <w:vAlign w:val="center"/>
          </w:tcPr>
          <w:p w14:paraId="1017A766">
            <w:pPr>
              <w:keepNext/>
              <w:keepLines/>
              <w:snapToGrid w:val="0"/>
              <w:spacing w:before="260" w:after="260" w:line="400" w:lineRule="exact"/>
              <w:ind w:firstLine="0" w:firstLineChars="0"/>
              <w:contextualSpacing/>
              <w:rPr>
                <w:rFonts w:ascii="Times New Roman" w:hAnsi="Times New Roman" w:eastAsia="宋体" w:cs="Times New Roman"/>
                <w:sz w:val="21"/>
                <w:szCs w:val="22"/>
              </w:rPr>
            </w:pPr>
          </w:p>
        </w:tc>
      </w:tr>
    </w:tbl>
    <w:p w14:paraId="7762D06C">
      <w:pPr>
        <w:spacing w:line="560" w:lineRule="exact"/>
        <w:ind w:firstLine="0" w:firstLineChars="0"/>
        <w:rPr>
          <w:rFonts w:ascii="Times New Roman" w:hAnsi="Times New Roman" w:eastAsia="宋体" w:cs="Times New Roman"/>
          <w:sz w:val="21"/>
          <w:szCs w:val="22"/>
        </w:rPr>
      </w:pPr>
      <w:r>
        <w:rPr>
          <w:rFonts w:hint="eastAsia" w:ascii="Times New Roman" w:hAnsi="Times New Roman" w:eastAsia="宋体" w:cs="Times New Roman"/>
          <w:sz w:val="21"/>
          <w:szCs w:val="22"/>
        </w:rPr>
        <w:t>注：拟申请种子基金参股的子基金应开展合规性自查，并在是否符合一栏填写“√”或“х”，需要进一步说明的事项请填写在备注栏。原则上，表中所列条件，子基金应全部符合或接受。</w:t>
      </w:r>
    </w:p>
    <w:p w14:paraId="24E2C702">
      <w:pPr>
        <w:spacing w:line="560" w:lineRule="exact"/>
        <w:ind w:firstLine="0" w:firstLineChars="0"/>
        <w:rPr>
          <w:rFonts w:ascii="Times New Roman" w:hAnsi="Times New Roman" w:eastAsia="仿宋_GB2312" w:cs="Times New Roman"/>
          <w:sz w:val="32"/>
          <w:szCs w:val="32"/>
        </w:rPr>
      </w:pPr>
    </w:p>
    <w:p w14:paraId="398A52C5">
      <w:pPr>
        <w:spacing w:line="560" w:lineRule="exact"/>
        <w:ind w:right="2560" w:firstLine="0" w:firstLineChars="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管理机构盖章：</w:t>
      </w:r>
    </w:p>
    <w:p w14:paraId="068C8A36">
      <w:pPr>
        <w:spacing w:line="560" w:lineRule="exact"/>
        <w:ind w:firstLine="0" w:firstLineChars="0"/>
        <w:rPr>
          <w:rFonts w:hint="eastAsia" w:ascii="Times New Roman" w:hAnsi="Times New Roman" w:eastAsia="仿宋_GB2312" w:cs="Times New Roman"/>
          <w:sz w:val="32"/>
          <w:szCs w:val="28"/>
          <w:lang w:val="en-US" w:eastAsia="zh-CN"/>
        </w:rPr>
      </w:pPr>
    </w:p>
    <w:p w14:paraId="34EFAA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722F83-DD0F-4BE5-A1D0-7C9FD7CB62B8}"/>
  </w:font>
  <w:font w:name="黑体">
    <w:panose1 w:val="02010609060101010101"/>
    <w:charset w:val="86"/>
    <w:family w:val="auto"/>
    <w:pitch w:val="default"/>
    <w:sig w:usb0="800002BF" w:usb1="38CF7CFA" w:usb2="00000016" w:usb3="00000000" w:csb0="00040001" w:csb1="00000000"/>
    <w:embedRegular r:id="rId2" w:fontKey="{6B1E9849-6CD4-4112-A8B3-50DB16CB00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3AEBC724-5668-4B53-8B8E-44E603445189}"/>
  </w:font>
  <w:font w:name="方正小标宋简体">
    <w:panose1 w:val="03000509000000000000"/>
    <w:charset w:val="86"/>
    <w:family w:val="script"/>
    <w:pitch w:val="default"/>
    <w:sig w:usb0="00000001" w:usb1="080E0000" w:usb2="00000000" w:usb3="00000000" w:csb0="00040000" w:csb1="00000000"/>
    <w:embedRegular r:id="rId4" w:fontKey="{5A675EA8-F026-4C9A-A688-C806FFBC7301}"/>
  </w:font>
  <w:font w:name="方正小标宋_GBK">
    <w:panose1 w:val="02000000000000000000"/>
    <w:charset w:val="86"/>
    <w:family w:val="auto"/>
    <w:pitch w:val="default"/>
    <w:sig w:usb0="00000001" w:usb1="080E0000" w:usb2="00000000" w:usb3="00000000" w:csb0="00040000" w:csb1="00000000"/>
    <w:embedRegular r:id="rId5" w:fontKey="{E8B5516E-8E41-49F8-BBB5-3E5583EA15BF}"/>
  </w:font>
  <w:font w:name="楷体_GB2312">
    <w:panose1 w:val="02010609030101010101"/>
    <w:charset w:val="86"/>
    <w:family w:val="auto"/>
    <w:pitch w:val="default"/>
    <w:sig w:usb0="00000001" w:usb1="080E0000" w:usb2="00000000" w:usb3="00000000" w:csb0="00040000" w:csb1="00000000"/>
    <w:embedRegular r:id="rId6" w:fontKey="{43AA3410-6D52-4835-9608-6EAEE3673135}"/>
  </w:font>
  <w:font w:name="仿宋">
    <w:panose1 w:val="02010609060101010101"/>
    <w:charset w:val="86"/>
    <w:family w:val="auto"/>
    <w:pitch w:val="default"/>
    <w:sig w:usb0="800002BF" w:usb1="38CF7CFA" w:usb2="00000016" w:usb3="00000000" w:csb0="00040001" w:csb1="00000000"/>
    <w:embedRegular r:id="rId7" w:fontKey="{02D9D833-C24C-41A7-AFE8-199497ED7E42}"/>
  </w:font>
  <w:font w:name="等线">
    <w:panose1 w:val="02010600030101010101"/>
    <w:charset w:val="86"/>
    <w:family w:val="auto"/>
    <w:pitch w:val="default"/>
    <w:sig w:usb0="A00002BF" w:usb1="38CF7CFA" w:usb2="00000016" w:usb3="00000000" w:csb0="0004000F" w:csb1="00000000"/>
    <w:embedRegular r:id="rId8" w:fontKey="{47DA4E69-9516-40BA-94AD-D29BD5ACB8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9D3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5E8E2">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F5E8E2">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36094">
                          <w:pPr>
                            <w:pStyle w:val="5"/>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2236094">
                    <w:pPr>
                      <w:pStyle w:val="5"/>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0FE4">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D4267C">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4D4267C">
                    <w:pPr>
                      <w:pStyle w:val="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C07FE">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EC07FE">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230A">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1CFB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71CFB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3A01B">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53A01B">
                    <w:pPr>
                      <w:pStyle w:val="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92047"/>
    <w:rsid w:val="003F417C"/>
    <w:rsid w:val="00DC19CB"/>
    <w:rsid w:val="01050F22"/>
    <w:rsid w:val="010D427B"/>
    <w:rsid w:val="014307F8"/>
    <w:rsid w:val="02511F45"/>
    <w:rsid w:val="025C7268"/>
    <w:rsid w:val="02777BFD"/>
    <w:rsid w:val="02E01C47"/>
    <w:rsid w:val="036B2D1E"/>
    <w:rsid w:val="036D7252"/>
    <w:rsid w:val="042428C7"/>
    <w:rsid w:val="049B394B"/>
    <w:rsid w:val="054933A7"/>
    <w:rsid w:val="075B5D40"/>
    <w:rsid w:val="07CC09EB"/>
    <w:rsid w:val="08A117AF"/>
    <w:rsid w:val="08CC4A1B"/>
    <w:rsid w:val="09475E50"/>
    <w:rsid w:val="09F81481"/>
    <w:rsid w:val="0A3E36F7"/>
    <w:rsid w:val="0A7F677B"/>
    <w:rsid w:val="0BD95485"/>
    <w:rsid w:val="0C364685"/>
    <w:rsid w:val="0CA02447"/>
    <w:rsid w:val="0E121122"/>
    <w:rsid w:val="0ED10695"/>
    <w:rsid w:val="0F0942D3"/>
    <w:rsid w:val="0F492922"/>
    <w:rsid w:val="0FE443F8"/>
    <w:rsid w:val="115F467E"/>
    <w:rsid w:val="117B0D8C"/>
    <w:rsid w:val="12607262"/>
    <w:rsid w:val="1399374C"/>
    <w:rsid w:val="13FA068E"/>
    <w:rsid w:val="14496F20"/>
    <w:rsid w:val="14D93EDD"/>
    <w:rsid w:val="15E05662"/>
    <w:rsid w:val="15FC6940"/>
    <w:rsid w:val="162158B5"/>
    <w:rsid w:val="165518CB"/>
    <w:rsid w:val="168C6412"/>
    <w:rsid w:val="17163A31"/>
    <w:rsid w:val="17345C65"/>
    <w:rsid w:val="173E0892"/>
    <w:rsid w:val="1752433D"/>
    <w:rsid w:val="17620A24"/>
    <w:rsid w:val="17FD24FB"/>
    <w:rsid w:val="184F0BB8"/>
    <w:rsid w:val="188624F1"/>
    <w:rsid w:val="18950986"/>
    <w:rsid w:val="18D56FD4"/>
    <w:rsid w:val="19053D5D"/>
    <w:rsid w:val="194859F8"/>
    <w:rsid w:val="19706CFD"/>
    <w:rsid w:val="19C268EE"/>
    <w:rsid w:val="1A1B135F"/>
    <w:rsid w:val="1A1B4EBB"/>
    <w:rsid w:val="1B3A2F9D"/>
    <w:rsid w:val="1BA710FC"/>
    <w:rsid w:val="1BC670A8"/>
    <w:rsid w:val="1BDB2B53"/>
    <w:rsid w:val="1BDB65AA"/>
    <w:rsid w:val="1C252021"/>
    <w:rsid w:val="1C542906"/>
    <w:rsid w:val="1CAD0994"/>
    <w:rsid w:val="1D0C4F8F"/>
    <w:rsid w:val="1D1075D0"/>
    <w:rsid w:val="1DA23059"/>
    <w:rsid w:val="1DAD6772"/>
    <w:rsid w:val="1DC67833"/>
    <w:rsid w:val="1E780B2E"/>
    <w:rsid w:val="1E8079E2"/>
    <w:rsid w:val="1EA26DE3"/>
    <w:rsid w:val="1F2B2044"/>
    <w:rsid w:val="206F719F"/>
    <w:rsid w:val="21AF0D0A"/>
    <w:rsid w:val="223F5BB9"/>
    <w:rsid w:val="226513C9"/>
    <w:rsid w:val="22A243CB"/>
    <w:rsid w:val="22F015DA"/>
    <w:rsid w:val="230A1F70"/>
    <w:rsid w:val="235A6A54"/>
    <w:rsid w:val="23897339"/>
    <w:rsid w:val="239F090A"/>
    <w:rsid w:val="241A61E3"/>
    <w:rsid w:val="241C1F5B"/>
    <w:rsid w:val="255120D8"/>
    <w:rsid w:val="25627E42"/>
    <w:rsid w:val="25AA1ED9"/>
    <w:rsid w:val="26E01966"/>
    <w:rsid w:val="26E9421F"/>
    <w:rsid w:val="281573ED"/>
    <w:rsid w:val="283A6E54"/>
    <w:rsid w:val="28BC3F01"/>
    <w:rsid w:val="28F039B6"/>
    <w:rsid w:val="29226266"/>
    <w:rsid w:val="29404B1F"/>
    <w:rsid w:val="29824F56"/>
    <w:rsid w:val="29B13146"/>
    <w:rsid w:val="29CA2459"/>
    <w:rsid w:val="29EF3C6E"/>
    <w:rsid w:val="2A922F77"/>
    <w:rsid w:val="2AE15CAC"/>
    <w:rsid w:val="2B2318AC"/>
    <w:rsid w:val="2BD0109B"/>
    <w:rsid w:val="2C043A01"/>
    <w:rsid w:val="2C2E3173"/>
    <w:rsid w:val="2D7C3A6A"/>
    <w:rsid w:val="2DF53F49"/>
    <w:rsid w:val="2E5073D1"/>
    <w:rsid w:val="2E7035CF"/>
    <w:rsid w:val="2E7161FE"/>
    <w:rsid w:val="2EB01C1E"/>
    <w:rsid w:val="2EE47E7C"/>
    <w:rsid w:val="305D7B83"/>
    <w:rsid w:val="307319E0"/>
    <w:rsid w:val="30874C00"/>
    <w:rsid w:val="30A21A3A"/>
    <w:rsid w:val="30D140CD"/>
    <w:rsid w:val="316136A3"/>
    <w:rsid w:val="31E16592"/>
    <w:rsid w:val="32CE6B16"/>
    <w:rsid w:val="32DD144F"/>
    <w:rsid w:val="330B38C7"/>
    <w:rsid w:val="33FC76B3"/>
    <w:rsid w:val="3445105A"/>
    <w:rsid w:val="35012126"/>
    <w:rsid w:val="351B1DBB"/>
    <w:rsid w:val="35246EC1"/>
    <w:rsid w:val="35301D0A"/>
    <w:rsid w:val="360A255B"/>
    <w:rsid w:val="366118D0"/>
    <w:rsid w:val="36BF3346"/>
    <w:rsid w:val="376E6B1A"/>
    <w:rsid w:val="37CE1367"/>
    <w:rsid w:val="37D57125"/>
    <w:rsid w:val="38303DCF"/>
    <w:rsid w:val="38523D46"/>
    <w:rsid w:val="38A562DE"/>
    <w:rsid w:val="397B72CC"/>
    <w:rsid w:val="39B8407C"/>
    <w:rsid w:val="39F07CBA"/>
    <w:rsid w:val="3A231E3E"/>
    <w:rsid w:val="3A5C70FE"/>
    <w:rsid w:val="3AD849D6"/>
    <w:rsid w:val="3B1E3F1A"/>
    <w:rsid w:val="3B9603ED"/>
    <w:rsid w:val="3BAA5C47"/>
    <w:rsid w:val="3D74475E"/>
    <w:rsid w:val="3D9A41C5"/>
    <w:rsid w:val="3DE82629"/>
    <w:rsid w:val="3E22515D"/>
    <w:rsid w:val="3E834C59"/>
    <w:rsid w:val="3E9704BE"/>
    <w:rsid w:val="40F57964"/>
    <w:rsid w:val="41466412"/>
    <w:rsid w:val="41EC1681"/>
    <w:rsid w:val="42686545"/>
    <w:rsid w:val="42C121F4"/>
    <w:rsid w:val="435E7A42"/>
    <w:rsid w:val="438A4ADE"/>
    <w:rsid w:val="439D247A"/>
    <w:rsid w:val="44536E6E"/>
    <w:rsid w:val="45260A34"/>
    <w:rsid w:val="455410FD"/>
    <w:rsid w:val="461B5D88"/>
    <w:rsid w:val="46821C9A"/>
    <w:rsid w:val="46CF3850"/>
    <w:rsid w:val="46FF778E"/>
    <w:rsid w:val="47356D0C"/>
    <w:rsid w:val="47F44E19"/>
    <w:rsid w:val="4812704D"/>
    <w:rsid w:val="48566B12"/>
    <w:rsid w:val="49A5461D"/>
    <w:rsid w:val="4A5B4CDC"/>
    <w:rsid w:val="4B274610"/>
    <w:rsid w:val="4BFC604B"/>
    <w:rsid w:val="4CAE1A3B"/>
    <w:rsid w:val="4CE53AF9"/>
    <w:rsid w:val="4CF3744D"/>
    <w:rsid w:val="4DC112FA"/>
    <w:rsid w:val="4DCF7EBB"/>
    <w:rsid w:val="4E0B07C7"/>
    <w:rsid w:val="4E1F4272"/>
    <w:rsid w:val="4E30647F"/>
    <w:rsid w:val="4E4C5899"/>
    <w:rsid w:val="4E816CDB"/>
    <w:rsid w:val="4ED11A10"/>
    <w:rsid w:val="4F7A0B13"/>
    <w:rsid w:val="4FD03A76"/>
    <w:rsid w:val="50C730CB"/>
    <w:rsid w:val="50D13F4A"/>
    <w:rsid w:val="50E94B08"/>
    <w:rsid w:val="51022355"/>
    <w:rsid w:val="51493AE0"/>
    <w:rsid w:val="52BA27BB"/>
    <w:rsid w:val="533802B0"/>
    <w:rsid w:val="534874C2"/>
    <w:rsid w:val="536C61AC"/>
    <w:rsid w:val="54414F42"/>
    <w:rsid w:val="55794BB0"/>
    <w:rsid w:val="55AF2380"/>
    <w:rsid w:val="561A4AD3"/>
    <w:rsid w:val="56DB78D0"/>
    <w:rsid w:val="57BA4943"/>
    <w:rsid w:val="589E6E07"/>
    <w:rsid w:val="58C16652"/>
    <w:rsid w:val="58D97E3F"/>
    <w:rsid w:val="59B83EF9"/>
    <w:rsid w:val="59EA1BD8"/>
    <w:rsid w:val="5A6279C1"/>
    <w:rsid w:val="5ADF54B5"/>
    <w:rsid w:val="5B182775"/>
    <w:rsid w:val="5B993C33"/>
    <w:rsid w:val="5C4B1054"/>
    <w:rsid w:val="5C643EC4"/>
    <w:rsid w:val="5C7560D1"/>
    <w:rsid w:val="5D435D1D"/>
    <w:rsid w:val="5D5A0E23"/>
    <w:rsid w:val="5D8F6D1E"/>
    <w:rsid w:val="5EC549C2"/>
    <w:rsid w:val="60636240"/>
    <w:rsid w:val="60FC2FC4"/>
    <w:rsid w:val="61CD250B"/>
    <w:rsid w:val="62366C51"/>
    <w:rsid w:val="638132F5"/>
    <w:rsid w:val="640B2E77"/>
    <w:rsid w:val="647E189B"/>
    <w:rsid w:val="64986E00"/>
    <w:rsid w:val="65CB0B10"/>
    <w:rsid w:val="670A5668"/>
    <w:rsid w:val="676C1E7F"/>
    <w:rsid w:val="67C223E6"/>
    <w:rsid w:val="680227E3"/>
    <w:rsid w:val="682E3CAA"/>
    <w:rsid w:val="684E77D6"/>
    <w:rsid w:val="68555008"/>
    <w:rsid w:val="696A6892"/>
    <w:rsid w:val="69A04061"/>
    <w:rsid w:val="6A334ED5"/>
    <w:rsid w:val="6AC124E1"/>
    <w:rsid w:val="6B6A4927"/>
    <w:rsid w:val="6BC8789F"/>
    <w:rsid w:val="6C2179C3"/>
    <w:rsid w:val="6D0914F3"/>
    <w:rsid w:val="6DE36C13"/>
    <w:rsid w:val="6E1312A6"/>
    <w:rsid w:val="6E5978B6"/>
    <w:rsid w:val="6FD11419"/>
    <w:rsid w:val="70D0347E"/>
    <w:rsid w:val="70D82897"/>
    <w:rsid w:val="71600CA6"/>
    <w:rsid w:val="71654848"/>
    <w:rsid w:val="71C92047"/>
    <w:rsid w:val="71F118FE"/>
    <w:rsid w:val="722717C4"/>
    <w:rsid w:val="723868FD"/>
    <w:rsid w:val="72850298"/>
    <w:rsid w:val="72FD42D3"/>
    <w:rsid w:val="734F6FCB"/>
    <w:rsid w:val="7439758C"/>
    <w:rsid w:val="74675EA7"/>
    <w:rsid w:val="74A0585D"/>
    <w:rsid w:val="74BC1E14"/>
    <w:rsid w:val="75AB6268"/>
    <w:rsid w:val="76CC293A"/>
    <w:rsid w:val="76EF3C22"/>
    <w:rsid w:val="770025E3"/>
    <w:rsid w:val="77091498"/>
    <w:rsid w:val="77974CF6"/>
    <w:rsid w:val="77996CC0"/>
    <w:rsid w:val="77DF044B"/>
    <w:rsid w:val="77F65DDE"/>
    <w:rsid w:val="784529A4"/>
    <w:rsid w:val="7859032F"/>
    <w:rsid w:val="79183C14"/>
    <w:rsid w:val="793D367B"/>
    <w:rsid w:val="795B06FE"/>
    <w:rsid w:val="79B17BC5"/>
    <w:rsid w:val="7A7F0ACA"/>
    <w:rsid w:val="7AC878BC"/>
    <w:rsid w:val="7AE2272C"/>
    <w:rsid w:val="7AE446F6"/>
    <w:rsid w:val="7AFD7566"/>
    <w:rsid w:val="7B0E3521"/>
    <w:rsid w:val="7B116B6D"/>
    <w:rsid w:val="7B4E6013"/>
    <w:rsid w:val="7BF87D2D"/>
    <w:rsid w:val="7C1A4147"/>
    <w:rsid w:val="7C43544C"/>
    <w:rsid w:val="7C636513"/>
    <w:rsid w:val="7CBE4AD3"/>
    <w:rsid w:val="7CD442F6"/>
    <w:rsid w:val="7CE12540"/>
    <w:rsid w:val="7D24527D"/>
    <w:rsid w:val="7DAE0FEB"/>
    <w:rsid w:val="7DF369FE"/>
    <w:rsid w:val="7E3925AA"/>
    <w:rsid w:val="7E7A2C7B"/>
    <w:rsid w:val="7F207AA0"/>
    <w:rsid w:val="7F3379FA"/>
    <w:rsid w:val="7F531548"/>
    <w:rsid w:val="7FF8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宋体"/>
      <w:kern w:val="2"/>
      <w:sz w:val="32"/>
      <w:szCs w:val="32"/>
      <w:lang w:val="en-US" w:eastAsia="zh-CN" w:bidi="ar-SA"/>
    </w:rPr>
  </w:style>
  <w:style w:type="paragraph" w:styleId="2">
    <w:name w:val="heading 1"/>
    <w:basedOn w:val="1"/>
    <w:next w:val="1"/>
    <w:qFormat/>
    <w:uiPriority w:val="0"/>
    <w:pPr>
      <w:jc w:val="center"/>
      <w:outlineLvl w:val="0"/>
    </w:pPr>
    <w:rPr>
      <w:rFonts w:ascii="方正小标宋简体" w:eastAsia="方正小标宋简体" w:hAnsiTheme="minorHAnsi" w:cstheme="minorBidi"/>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line="560" w:lineRule="exact"/>
      <w:ind w:firstLine="420" w:firstLineChars="200"/>
    </w:pPr>
    <w:rPr>
      <w:rFonts w:eastAsia="仿宋_GB2312" w:asciiTheme="minorAscii" w:hAnsiTheme="minorAscii"/>
      <w:sz w:val="32"/>
    </w:rPr>
  </w:style>
  <w:style w:type="paragraph" w:styleId="5">
    <w:name w:val="footer"/>
    <w:qFormat/>
    <w:uiPriority w:val="0"/>
    <w:pPr>
      <w:widowControl w:val="0"/>
      <w:tabs>
        <w:tab w:val="center" w:pos="4153"/>
        <w:tab w:val="right" w:pos="8306"/>
      </w:tabs>
      <w:snapToGrid w:val="0"/>
      <w:spacing w:line="560" w:lineRule="exact"/>
      <w:ind w:firstLine="880" w:firstLineChars="200"/>
      <w:jc w:val="left"/>
    </w:pPr>
    <w:rPr>
      <w:rFonts w:eastAsia="仿宋_GB2312" w:asciiTheme="minorAscii" w:hAnsiTheme="minorAscii" w:cstheme="minorBidi"/>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paragraph" w:customStyle="1" w:styleId="13">
    <w:name w:val="章节3"/>
    <w:autoRedefine/>
    <w:qFormat/>
    <w:uiPriority w:val="0"/>
    <w:pPr>
      <w:widowControl w:val="0"/>
      <w:spacing w:line="560" w:lineRule="exact"/>
      <w:ind w:firstLine="640" w:firstLineChars="200"/>
      <w:jc w:val="both"/>
    </w:pPr>
    <w:rPr>
      <w:rFonts w:ascii="Times New Roman" w:hAnsi="Times New Roman" w:eastAsia="仿宋_GB2312" w:cs="Times New Roman"/>
      <w:kern w:val="0"/>
      <w:sz w:val="32"/>
      <w:szCs w:val="32"/>
      <w:lang w:val="zh-CN" w:eastAsia="zh-CN" w:bidi="ar-SA"/>
    </w:rPr>
  </w:style>
  <w:style w:type="paragraph" w:styleId="14">
    <w:name w:val="List Paragraph"/>
    <w:qFormat/>
    <w:uiPriority w:val="34"/>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6067</Words>
  <Characters>6181</Characters>
  <Lines>0</Lines>
  <Paragraphs>0</Paragraphs>
  <TotalTime>5</TotalTime>
  <ScaleCrop>false</ScaleCrop>
  <LinksUpToDate>false</LinksUpToDate>
  <CharactersWithSpaces>6221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2025-08-11T10:04:00Z</dcterms:created>
  <dc:creator>引导基金</dc:creator>
  <cp:lastModifiedBy>引导基金</cp:lastModifiedBy>
  <dcterms:modified xsi:type="dcterms:W3CDTF">2025-10-09T09:21:14Z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EEF6D5960B9D46CCB00C3CA584380410_13</vt:lpwstr>
  </property>
  <property fmtid="{D5CDD505-2E9C-101B-9397-08002B2CF9AE}" pid="4" name="KSOTemplateDocerSaveRecord">
    <vt:lpwstr>eyJoZGlkIjoiNTYwM2NhMGE0N2Y2Yjk5ZDhjZTIzYTM2ZmMwNmVhM2YiLCJ1c2VySWQiOiIxNDYwMTk0NzYwIn0=</vt:lpwstr>
  </property>
</Properties>
</file>