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C17DE2">
      <w:pPr>
        <w:spacing w:line="560" w:lineRule="exact"/>
        <w:rPr>
          <w:rFonts w:hint="default" w:ascii="仿宋_GB2312" w:eastAsia="仿宋_GB2312"/>
          <w:sz w:val="32"/>
          <w:szCs w:val="32"/>
          <w:highlight w:val="none"/>
          <w:lang w:val="en-US" w:eastAsia="zh-CN"/>
        </w:rPr>
      </w:pPr>
      <w:r>
        <w:rPr>
          <w:rFonts w:hint="eastAsia" w:ascii="仿宋_GB2312" w:eastAsia="仿宋_GB2312"/>
          <w:sz w:val="32"/>
          <w:szCs w:val="32"/>
          <w:highlight w:val="none"/>
        </w:rPr>
        <w:t>附件</w:t>
      </w:r>
      <w:r>
        <w:rPr>
          <w:rFonts w:hint="eastAsia" w:ascii="仿宋_GB2312" w:eastAsia="仿宋_GB2312"/>
          <w:sz w:val="32"/>
          <w:szCs w:val="32"/>
          <w:highlight w:val="none"/>
          <w:lang w:val="en-US" w:eastAsia="zh-CN"/>
        </w:rPr>
        <w:t>12</w:t>
      </w:r>
    </w:p>
    <w:p w14:paraId="3F0735B2">
      <w:pPr>
        <w:spacing w:line="560" w:lineRule="exact"/>
        <w:jc w:val="center"/>
        <w:rPr>
          <w:rFonts w:ascii="宋体" w:hAnsi="宋体"/>
          <w:b/>
          <w:sz w:val="44"/>
          <w:szCs w:val="44"/>
          <w:highlight w:val="none"/>
        </w:rPr>
      </w:pPr>
      <w:r>
        <w:rPr>
          <w:rFonts w:hint="eastAsia" w:ascii="宋体" w:hAnsi="宋体"/>
          <w:b/>
          <w:sz w:val="44"/>
          <w:szCs w:val="44"/>
          <w:highlight w:val="none"/>
        </w:rPr>
        <w:t>廉洁承诺书</w:t>
      </w:r>
    </w:p>
    <w:p w14:paraId="12A3CB67">
      <w:pPr>
        <w:pStyle w:val="11"/>
        <w:shd w:val="clear" w:color="auto" w:fill="FFFFFF"/>
        <w:spacing w:before="0" w:beforeAutospacing="0" w:after="0" w:afterAutospacing="0" w:line="560" w:lineRule="exact"/>
        <w:rPr>
          <w:rFonts w:eastAsia="仿宋"/>
          <w:sz w:val="32"/>
          <w:szCs w:val="32"/>
          <w:highlight w:val="none"/>
        </w:rPr>
      </w:pPr>
    </w:p>
    <w:p w14:paraId="30BEEAD0">
      <w:pPr>
        <w:pStyle w:val="11"/>
        <w:shd w:val="clear" w:color="auto" w:fill="FFFFFF"/>
        <w:spacing w:before="0" w:beforeAutospacing="0" w:after="0" w:afterAutospacing="0" w:line="560" w:lineRule="exact"/>
        <w:ind w:firstLine="612" w:firstLineChars="200"/>
        <w:jc w:val="both"/>
        <w:rPr>
          <w:rFonts w:ascii="仿宋" w:hAnsi="仿宋" w:eastAsia="仿宋"/>
          <w:sz w:val="32"/>
          <w:szCs w:val="32"/>
          <w:highlight w:val="none"/>
        </w:rPr>
      </w:pPr>
      <w:r>
        <w:rPr>
          <w:rFonts w:hint="eastAsia" w:ascii="仿宋" w:hAnsi="仿宋" w:eastAsia="仿宋"/>
          <w:spacing w:val="-7"/>
          <w:sz w:val="32"/>
          <w:szCs w:val="32"/>
          <w:highlight w:val="none"/>
          <w:lang w:val="en-US" w:eastAsia="zh-CN"/>
        </w:rPr>
        <w:t>宜昌市投资引导基金</w:t>
      </w:r>
      <w:r>
        <w:rPr>
          <w:rFonts w:hint="eastAsia" w:ascii="仿宋" w:hAnsi="仿宋" w:eastAsia="仿宋"/>
          <w:spacing w:val="-7"/>
          <w:sz w:val="32"/>
          <w:szCs w:val="32"/>
          <w:highlight w:val="none"/>
        </w:rPr>
        <w:t>有限公司根据《</w:t>
      </w:r>
      <w:r>
        <w:rPr>
          <w:rFonts w:hint="eastAsia" w:ascii="仿宋" w:hAnsi="仿宋" w:eastAsia="仿宋"/>
          <w:spacing w:val="-7"/>
          <w:sz w:val="32"/>
          <w:szCs w:val="32"/>
          <w:highlight w:val="none"/>
          <w:lang w:val="en-US" w:eastAsia="zh-CN"/>
        </w:rPr>
        <w:t>宜昌市</w:t>
      </w:r>
      <w:r>
        <w:rPr>
          <w:rFonts w:hint="eastAsia" w:ascii="仿宋" w:hAnsi="仿宋" w:eastAsia="仿宋"/>
          <w:spacing w:val="-7"/>
          <w:sz w:val="32"/>
          <w:szCs w:val="32"/>
          <w:highlight w:val="none"/>
        </w:rPr>
        <w:t>政府投资引导基金管理办法》</w:t>
      </w:r>
      <w:r>
        <w:rPr>
          <w:rFonts w:hint="eastAsia" w:ascii="仿宋" w:hAnsi="仿宋" w:eastAsia="仿宋"/>
          <w:spacing w:val="-7"/>
          <w:sz w:val="32"/>
          <w:szCs w:val="32"/>
          <w:highlight w:val="none"/>
          <w:lang w:val="en-US" w:eastAsia="zh-CN"/>
        </w:rPr>
        <w:t>规定</w:t>
      </w:r>
      <w:bookmarkStart w:id="0" w:name="_GoBack"/>
      <w:bookmarkEnd w:id="0"/>
      <w:r>
        <w:rPr>
          <w:rFonts w:hint="eastAsia" w:ascii="仿宋" w:hAnsi="仿宋" w:eastAsia="仿宋"/>
          <w:spacing w:val="-7"/>
          <w:sz w:val="32"/>
          <w:szCs w:val="32"/>
          <w:highlight w:val="none"/>
        </w:rPr>
        <w:t>，接受</w:t>
      </w:r>
      <w:r>
        <w:rPr>
          <w:rFonts w:hint="eastAsia" w:ascii="仿宋" w:hAnsi="仿宋" w:eastAsia="仿宋"/>
          <w:spacing w:val="-7"/>
          <w:sz w:val="32"/>
          <w:szCs w:val="32"/>
          <w:highlight w:val="none"/>
          <w:lang w:val="en-US" w:eastAsia="zh-CN"/>
        </w:rPr>
        <w:t>宜昌市政府投资</w:t>
      </w:r>
      <w:r>
        <w:rPr>
          <w:rFonts w:hint="eastAsia" w:ascii="仿宋" w:hAnsi="仿宋" w:eastAsia="仿宋"/>
          <w:spacing w:val="-7"/>
          <w:sz w:val="32"/>
          <w:szCs w:val="32"/>
          <w:highlight w:val="none"/>
        </w:rPr>
        <w:t>引导基金拟参股基金的出资申请，审查相应的基金架构，选择符合条件的参股基金管理机构。为了更好地发挥财政资金的引导放大作用，</w:t>
      </w:r>
      <w:r>
        <w:rPr>
          <w:rFonts w:hint="eastAsia" w:ascii="仿宋" w:hAnsi="仿宋" w:eastAsia="仿宋"/>
          <w:spacing w:val="-6"/>
          <w:sz w:val="32"/>
          <w:szCs w:val="32"/>
          <w:highlight w:val="none"/>
        </w:rPr>
        <w:t>强化</w:t>
      </w:r>
      <w:r>
        <w:rPr>
          <w:rFonts w:hint="eastAsia" w:ascii="仿宋" w:hAnsi="仿宋" w:eastAsia="仿宋"/>
          <w:spacing w:val="-4"/>
          <w:sz w:val="32"/>
          <w:szCs w:val="32"/>
          <w:highlight w:val="none"/>
        </w:rPr>
        <w:t>纪律约束，规范运作程序，</w:t>
      </w:r>
      <w:r>
        <w:rPr>
          <w:rFonts w:hint="eastAsia" w:ascii="仿宋" w:hAnsi="仿宋" w:eastAsia="仿宋"/>
          <w:spacing w:val="-7"/>
          <w:sz w:val="32"/>
          <w:szCs w:val="32"/>
          <w:highlight w:val="none"/>
        </w:rPr>
        <w:t>现将相关廉政建设事项告知如下</w:t>
      </w:r>
      <w:r>
        <w:rPr>
          <w:rFonts w:hint="eastAsia" w:ascii="仿宋" w:hAnsi="仿宋" w:eastAsia="仿宋"/>
          <w:spacing w:val="-8"/>
          <w:sz w:val="32"/>
          <w:szCs w:val="32"/>
          <w:highlight w:val="none"/>
        </w:rPr>
        <w:t>：</w:t>
      </w:r>
      <w:r>
        <w:rPr>
          <w:rFonts w:eastAsia="仿宋"/>
          <w:sz w:val="32"/>
          <w:szCs w:val="32"/>
          <w:highlight w:val="none"/>
        </w:rPr>
        <w:t> </w:t>
      </w:r>
    </w:p>
    <w:p w14:paraId="2742F07A">
      <w:pPr>
        <w:pStyle w:val="11"/>
        <w:shd w:val="clear" w:color="auto" w:fill="FFFFFF"/>
        <w:spacing w:before="0" w:beforeAutospacing="0" w:after="0" w:afterAutospacing="0" w:line="560" w:lineRule="exact"/>
        <w:ind w:firstLine="612" w:firstLineChars="200"/>
        <w:jc w:val="both"/>
        <w:rPr>
          <w:rFonts w:ascii="黑体" w:hAnsi="黑体" w:eastAsia="黑体"/>
          <w:spacing w:val="-7"/>
          <w:sz w:val="32"/>
          <w:szCs w:val="32"/>
          <w:highlight w:val="none"/>
        </w:rPr>
      </w:pPr>
      <w:r>
        <w:rPr>
          <w:rFonts w:hint="eastAsia" w:ascii="黑体" w:hAnsi="黑体" w:eastAsia="黑体"/>
          <w:spacing w:val="-7"/>
          <w:sz w:val="32"/>
          <w:szCs w:val="32"/>
          <w:highlight w:val="none"/>
        </w:rPr>
        <w:t>一、</w:t>
      </w:r>
      <w:r>
        <w:rPr>
          <w:rFonts w:hint="eastAsia" w:ascii="黑体" w:hAnsi="黑体" w:eastAsia="黑体"/>
          <w:spacing w:val="-7"/>
          <w:sz w:val="32"/>
          <w:szCs w:val="32"/>
          <w:highlight w:val="none"/>
          <w:lang w:val="en-US" w:eastAsia="zh-CN"/>
        </w:rPr>
        <w:t>宜昌市</w:t>
      </w:r>
      <w:r>
        <w:rPr>
          <w:rFonts w:hint="eastAsia" w:ascii="黑体" w:hAnsi="黑体" w:eastAsia="黑体"/>
          <w:spacing w:val="-7"/>
          <w:sz w:val="32"/>
          <w:szCs w:val="32"/>
          <w:highlight w:val="none"/>
        </w:rPr>
        <w:t>投资引导基金有限公司工作人员不得从事以下行为：</w:t>
      </w:r>
    </w:p>
    <w:p w14:paraId="4E1033AA">
      <w:pPr>
        <w:pStyle w:val="11"/>
        <w:shd w:val="clear" w:color="auto" w:fill="FFFFFF"/>
        <w:spacing w:before="0" w:beforeAutospacing="0" w:after="0" w:afterAutospacing="0" w:line="560" w:lineRule="exact"/>
        <w:ind w:firstLine="612" w:firstLineChars="200"/>
        <w:jc w:val="both"/>
        <w:rPr>
          <w:rFonts w:ascii="仿宋" w:hAnsi="仿宋" w:eastAsia="仿宋"/>
          <w:spacing w:val="-7"/>
          <w:sz w:val="32"/>
          <w:szCs w:val="32"/>
          <w:highlight w:val="none"/>
        </w:rPr>
      </w:pPr>
      <w:r>
        <w:rPr>
          <w:rFonts w:hint="eastAsia" w:ascii="仿宋" w:hAnsi="仿宋" w:eastAsia="仿宋"/>
          <w:spacing w:val="-7"/>
          <w:sz w:val="32"/>
          <w:szCs w:val="32"/>
          <w:highlight w:val="none"/>
        </w:rPr>
        <w:t>1.严禁滥用职权，损害公司或他人利益；</w:t>
      </w:r>
    </w:p>
    <w:p w14:paraId="5E9AD533">
      <w:pPr>
        <w:pStyle w:val="11"/>
        <w:shd w:val="clear" w:color="auto" w:fill="FFFFFF"/>
        <w:spacing w:before="0" w:beforeAutospacing="0" w:after="0" w:afterAutospacing="0" w:line="560" w:lineRule="exact"/>
        <w:ind w:firstLine="612" w:firstLineChars="200"/>
        <w:jc w:val="both"/>
        <w:rPr>
          <w:rFonts w:ascii="仿宋" w:hAnsi="仿宋" w:eastAsia="仿宋"/>
          <w:spacing w:val="-7"/>
          <w:sz w:val="32"/>
          <w:szCs w:val="32"/>
          <w:highlight w:val="none"/>
        </w:rPr>
      </w:pPr>
      <w:r>
        <w:rPr>
          <w:rFonts w:hint="eastAsia" w:ascii="仿宋" w:hAnsi="仿宋" w:eastAsia="仿宋"/>
          <w:spacing w:val="-7"/>
          <w:sz w:val="32"/>
          <w:szCs w:val="32"/>
          <w:highlight w:val="none"/>
        </w:rPr>
        <w:t>2.严禁利用职务上的便利通过同业经营或关联交易为本人或特定关系人谋取利益；</w:t>
      </w:r>
    </w:p>
    <w:p w14:paraId="74F1FA90">
      <w:pPr>
        <w:pStyle w:val="11"/>
        <w:shd w:val="clear" w:color="auto" w:fill="FFFFFF"/>
        <w:spacing w:before="0" w:beforeAutospacing="0" w:after="0" w:afterAutospacing="0" w:line="560" w:lineRule="exact"/>
        <w:ind w:firstLine="612" w:firstLineChars="200"/>
        <w:jc w:val="both"/>
        <w:rPr>
          <w:rFonts w:ascii="仿宋" w:hAnsi="仿宋" w:eastAsia="仿宋"/>
          <w:spacing w:val="-7"/>
          <w:sz w:val="32"/>
          <w:szCs w:val="32"/>
          <w:highlight w:val="none"/>
        </w:rPr>
      </w:pPr>
      <w:r>
        <w:rPr>
          <w:rFonts w:hint="eastAsia" w:ascii="仿宋" w:hAnsi="仿宋" w:eastAsia="仿宋"/>
          <w:spacing w:val="-7"/>
          <w:sz w:val="32"/>
          <w:szCs w:val="32"/>
          <w:highlight w:val="none"/>
        </w:rPr>
        <w:t>3.严禁利用商业秘密、业务渠道等为本人或者他人牟利；</w:t>
      </w:r>
    </w:p>
    <w:p w14:paraId="02265BE1">
      <w:pPr>
        <w:pStyle w:val="11"/>
        <w:shd w:val="clear" w:color="auto" w:fill="FFFFFF"/>
        <w:spacing w:before="0" w:beforeAutospacing="0" w:after="0" w:afterAutospacing="0" w:line="560" w:lineRule="exact"/>
        <w:ind w:firstLine="612" w:firstLineChars="200"/>
        <w:jc w:val="both"/>
        <w:rPr>
          <w:rFonts w:ascii="仿宋" w:hAnsi="仿宋" w:eastAsia="仿宋"/>
          <w:spacing w:val="-7"/>
          <w:sz w:val="32"/>
          <w:szCs w:val="32"/>
          <w:highlight w:val="none"/>
        </w:rPr>
      </w:pPr>
      <w:r>
        <w:rPr>
          <w:rFonts w:hint="eastAsia" w:ascii="仿宋" w:hAnsi="仿宋" w:eastAsia="仿宋"/>
          <w:spacing w:val="-7"/>
          <w:sz w:val="32"/>
          <w:szCs w:val="32"/>
          <w:highlight w:val="none"/>
        </w:rPr>
        <w:t>4.严禁索取、收受任何形式的回扣、手续费、酬金、礼金、感谢费、各种有价证券等；</w:t>
      </w:r>
    </w:p>
    <w:p w14:paraId="149F7A11">
      <w:pPr>
        <w:pStyle w:val="11"/>
        <w:shd w:val="clear" w:color="auto" w:fill="FFFFFF"/>
        <w:spacing w:before="0" w:beforeAutospacing="0" w:after="0" w:afterAutospacing="0" w:line="560" w:lineRule="exact"/>
        <w:ind w:firstLine="612" w:firstLineChars="200"/>
        <w:jc w:val="both"/>
        <w:rPr>
          <w:rFonts w:ascii="仿宋" w:hAnsi="仿宋" w:eastAsia="仿宋"/>
          <w:spacing w:val="-7"/>
          <w:sz w:val="32"/>
          <w:szCs w:val="32"/>
          <w:highlight w:val="none"/>
        </w:rPr>
      </w:pPr>
      <w:r>
        <w:rPr>
          <w:rFonts w:hint="eastAsia" w:ascii="仿宋" w:hAnsi="仿宋" w:eastAsia="仿宋"/>
          <w:spacing w:val="-7"/>
          <w:sz w:val="32"/>
          <w:szCs w:val="32"/>
          <w:highlight w:val="none"/>
        </w:rPr>
        <w:t>5.严禁参加有可能影响公正履行职务的宴请、旅游和其它高消费娱乐活动。</w:t>
      </w:r>
    </w:p>
    <w:p w14:paraId="451AA1EA">
      <w:pPr>
        <w:pStyle w:val="11"/>
        <w:shd w:val="clear" w:color="auto" w:fill="FFFFFF"/>
        <w:spacing w:before="0" w:beforeAutospacing="0" w:after="0" w:afterAutospacing="0" w:line="560" w:lineRule="exact"/>
        <w:ind w:firstLine="612" w:firstLineChars="200"/>
        <w:jc w:val="both"/>
        <w:rPr>
          <w:rFonts w:ascii="黑体" w:hAnsi="黑体" w:eastAsia="黑体"/>
          <w:spacing w:val="-7"/>
          <w:sz w:val="32"/>
          <w:szCs w:val="32"/>
          <w:highlight w:val="none"/>
        </w:rPr>
      </w:pPr>
      <w:r>
        <w:rPr>
          <w:rFonts w:hint="eastAsia" w:ascii="黑体" w:hAnsi="黑体" w:eastAsia="黑体"/>
          <w:spacing w:val="-7"/>
          <w:sz w:val="32"/>
          <w:szCs w:val="32"/>
          <w:highlight w:val="none"/>
        </w:rPr>
        <w:t>二、贵单位不得从事以下行为：</w:t>
      </w:r>
    </w:p>
    <w:p w14:paraId="29C26048">
      <w:pPr>
        <w:pStyle w:val="11"/>
        <w:shd w:val="clear" w:color="auto" w:fill="FFFFFF"/>
        <w:spacing w:before="0" w:beforeAutospacing="0" w:after="0" w:afterAutospacing="0" w:line="560" w:lineRule="exact"/>
        <w:ind w:firstLine="612" w:firstLineChars="200"/>
        <w:jc w:val="both"/>
        <w:rPr>
          <w:rFonts w:ascii="仿宋" w:hAnsi="仿宋" w:eastAsia="仿宋"/>
          <w:spacing w:val="-7"/>
          <w:sz w:val="32"/>
          <w:szCs w:val="32"/>
          <w:highlight w:val="none"/>
        </w:rPr>
      </w:pPr>
      <w:r>
        <w:rPr>
          <w:rFonts w:hint="eastAsia" w:ascii="仿宋" w:hAnsi="仿宋" w:eastAsia="仿宋"/>
          <w:spacing w:val="-7"/>
          <w:sz w:val="32"/>
          <w:szCs w:val="32"/>
          <w:highlight w:val="none"/>
        </w:rPr>
        <w:t>1.不得行贿、变相行贿以及报销本应由</w:t>
      </w:r>
      <w:r>
        <w:rPr>
          <w:rFonts w:hint="eastAsia" w:ascii="仿宋" w:hAnsi="仿宋" w:eastAsia="仿宋"/>
          <w:spacing w:val="-7"/>
          <w:sz w:val="32"/>
          <w:szCs w:val="32"/>
          <w:highlight w:val="none"/>
          <w:lang w:val="en-US" w:eastAsia="zh-CN"/>
        </w:rPr>
        <w:t>宜昌市</w:t>
      </w:r>
      <w:r>
        <w:rPr>
          <w:rFonts w:hint="eastAsia" w:ascii="仿宋" w:hAnsi="仿宋" w:eastAsia="仿宋"/>
          <w:spacing w:val="-7"/>
          <w:sz w:val="32"/>
          <w:szCs w:val="32"/>
          <w:highlight w:val="none"/>
        </w:rPr>
        <w:t>投资引导基金有限公司工作人员支付的费用；</w:t>
      </w:r>
    </w:p>
    <w:p w14:paraId="20F46E91">
      <w:pPr>
        <w:pStyle w:val="11"/>
        <w:shd w:val="clear" w:color="auto" w:fill="FFFFFF"/>
        <w:spacing w:before="0" w:beforeAutospacing="0" w:after="0" w:afterAutospacing="0" w:line="560" w:lineRule="exact"/>
        <w:ind w:firstLine="612" w:firstLineChars="200"/>
        <w:jc w:val="both"/>
        <w:rPr>
          <w:rFonts w:ascii="仿宋" w:hAnsi="仿宋" w:eastAsia="仿宋"/>
          <w:spacing w:val="-7"/>
          <w:sz w:val="32"/>
          <w:szCs w:val="32"/>
          <w:highlight w:val="none"/>
        </w:rPr>
      </w:pPr>
      <w:r>
        <w:rPr>
          <w:rFonts w:hint="eastAsia" w:ascii="仿宋" w:hAnsi="仿宋" w:eastAsia="仿宋"/>
          <w:spacing w:val="-7"/>
          <w:sz w:val="32"/>
          <w:szCs w:val="32"/>
          <w:highlight w:val="none"/>
        </w:rPr>
        <w:t>2.不得赠送礼品、礼金、各种有价证券及其他支付凭证；</w:t>
      </w:r>
    </w:p>
    <w:p w14:paraId="5C42844B">
      <w:pPr>
        <w:pStyle w:val="11"/>
        <w:shd w:val="clear" w:color="auto" w:fill="FFFFFF"/>
        <w:spacing w:before="0" w:beforeAutospacing="0" w:after="0" w:afterAutospacing="0" w:line="560" w:lineRule="exact"/>
        <w:ind w:firstLine="612" w:firstLineChars="200"/>
        <w:jc w:val="both"/>
        <w:rPr>
          <w:rFonts w:ascii="仿宋" w:hAnsi="仿宋" w:eastAsia="仿宋"/>
          <w:spacing w:val="-7"/>
          <w:sz w:val="32"/>
          <w:szCs w:val="32"/>
          <w:highlight w:val="none"/>
        </w:rPr>
      </w:pPr>
      <w:r>
        <w:rPr>
          <w:rFonts w:hint="eastAsia" w:ascii="仿宋" w:hAnsi="仿宋" w:eastAsia="仿宋"/>
          <w:spacing w:val="-7"/>
          <w:sz w:val="32"/>
          <w:szCs w:val="32"/>
          <w:highlight w:val="none"/>
        </w:rPr>
        <w:t>3.不得提供任何方式的高消费娱乐活动；</w:t>
      </w:r>
    </w:p>
    <w:p w14:paraId="7EDA265B">
      <w:pPr>
        <w:pStyle w:val="11"/>
        <w:shd w:val="clear" w:color="auto" w:fill="FFFFFF"/>
        <w:spacing w:before="0" w:beforeAutospacing="0" w:after="0" w:afterAutospacing="0" w:line="560" w:lineRule="exact"/>
        <w:ind w:firstLine="612" w:firstLineChars="200"/>
        <w:jc w:val="both"/>
        <w:rPr>
          <w:rFonts w:ascii="仿宋" w:hAnsi="仿宋" w:eastAsia="仿宋"/>
          <w:spacing w:val="-7"/>
          <w:sz w:val="32"/>
          <w:szCs w:val="32"/>
          <w:highlight w:val="none"/>
        </w:rPr>
      </w:pPr>
      <w:r>
        <w:rPr>
          <w:rFonts w:hint="eastAsia" w:ascii="仿宋" w:hAnsi="仿宋" w:eastAsia="仿宋"/>
          <w:spacing w:val="-7"/>
          <w:sz w:val="32"/>
          <w:szCs w:val="32"/>
          <w:highlight w:val="none"/>
        </w:rPr>
        <w:t>4.不得为</w:t>
      </w:r>
      <w:r>
        <w:rPr>
          <w:rFonts w:hint="eastAsia" w:ascii="仿宋" w:hAnsi="仿宋" w:eastAsia="仿宋"/>
          <w:spacing w:val="-7"/>
          <w:sz w:val="32"/>
          <w:szCs w:val="32"/>
          <w:highlight w:val="none"/>
          <w:lang w:val="en-US" w:eastAsia="zh-CN"/>
        </w:rPr>
        <w:t>宜昌市</w:t>
      </w:r>
      <w:r>
        <w:rPr>
          <w:rFonts w:hint="eastAsia" w:ascii="仿宋" w:hAnsi="仿宋" w:eastAsia="仿宋"/>
          <w:spacing w:val="-7"/>
          <w:sz w:val="32"/>
          <w:szCs w:val="32"/>
          <w:highlight w:val="none"/>
        </w:rPr>
        <w:t>投资引导基金有限公司工作人员在贵单位入股、参股、兼职以及为其个人牟利提供便利。</w:t>
      </w:r>
    </w:p>
    <w:p w14:paraId="68BF0F7F">
      <w:pPr>
        <w:pStyle w:val="11"/>
        <w:shd w:val="clear" w:color="auto" w:fill="FFFFFF"/>
        <w:spacing w:before="0" w:beforeAutospacing="0" w:after="0" w:afterAutospacing="0" w:line="560" w:lineRule="exact"/>
        <w:ind w:firstLine="612" w:firstLineChars="200"/>
        <w:jc w:val="both"/>
        <w:rPr>
          <w:rFonts w:ascii="仿宋" w:hAnsi="仿宋" w:eastAsia="仿宋"/>
          <w:spacing w:val="-7"/>
          <w:sz w:val="32"/>
          <w:szCs w:val="32"/>
          <w:highlight w:val="none"/>
        </w:rPr>
      </w:pPr>
      <w:r>
        <w:rPr>
          <w:rFonts w:hint="eastAsia" w:ascii="仿宋" w:hAnsi="仿宋" w:eastAsia="仿宋"/>
          <w:spacing w:val="-7"/>
          <w:sz w:val="32"/>
          <w:szCs w:val="32"/>
          <w:highlight w:val="none"/>
        </w:rPr>
        <w:t>以上规定希望得到贵单位的支持和配合，若</w:t>
      </w:r>
      <w:r>
        <w:rPr>
          <w:rFonts w:hint="eastAsia" w:ascii="仿宋" w:hAnsi="仿宋" w:eastAsia="仿宋"/>
          <w:spacing w:val="-7"/>
          <w:sz w:val="32"/>
          <w:szCs w:val="32"/>
          <w:highlight w:val="none"/>
          <w:lang w:val="en-US" w:eastAsia="zh-CN"/>
        </w:rPr>
        <w:t>宜昌市</w:t>
      </w:r>
      <w:r>
        <w:rPr>
          <w:rFonts w:hint="eastAsia" w:ascii="仿宋" w:hAnsi="仿宋" w:eastAsia="仿宋"/>
          <w:spacing w:val="-7"/>
          <w:sz w:val="32"/>
          <w:szCs w:val="32"/>
          <w:highlight w:val="none"/>
        </w:rPr>
        <w:t>投资引导基金有限公司工作人员有违反上述规定的行为，在工作中发生不廉洁、不正当及违反相关规范性文件的情形，贵单位有权向</w:t>
      </w:r>
      <w:r>
        <w:rPr>
          <w:rFonts w:hint="eastAsia" w:ascii="仿宋" w:hAnsi="仿宋" w:eastAsia="仿宋"/>
          <w:spacing w:val="-7"/>
          <w:sz w:val="32"/>
          <w:szCs w:val="32"/>
          <w:highlight w:val="none"/>
          <w:lang w:val="en-US" w:eastAsia="zh-CN"/>
        </w:rPr>
        <w:t>宜昌市</w:t>
      </w:r>
      <w:r>
        <w:rPr>
          <w:rFonts w:hint="eastAsia" w:ascii="仿宋" w:hAnsi="仿宋" w:eastAsia="仿宋"/>
          <w:spacing w:val="-7"/>
          <w:sz w:val="32"/>
          <w:szCs w:val="32"/>
          <w:highlight w:val="none"/>
        </w:rPr>
        <w:t>投资引导基金有限公司投诉反映，</w:t>
      </w:r>
      <w:r>
        <w:rPr>
          <w:rFonts w:hint="eastAsia" w:ascii="仿宋" w:hAnsi="仿宋" w:eastAsia="仿宋"/>
          <w:spacing w:val="-7"/>
          <w:sz w:val="32"/>
          <w:szCs w:val="32"/>
          <w:highlight w:val="none"/>
          <w:lang w:eastAsia="zh-CN"/>
        </w:rPr>
        <w:t>宜昌市</w:t>
      </w:r>
      <w:r>
        <w:rPr>
          <w:rFonts w:hint="eastAsia" w:ascii="仿宋" w:hAnsi="仿宋" w:eastAsia="仿宋"/>
          <w:spacing w:val="-7"/>
          <w:sz w:val="32"/>
          <w:szCs w:val="32"/>
          <w:highlight w:val="none"/>
        </w:rPr>
        <w:t>投资引导基金有限公司将严肃查处，决不姑息；触犯国家法律的，依法移送司法机关处理。如贵单位人员违反本规定，</w:t>
      </w:r>
      <w:r>
        <w:rPr>
          <w:rFonts w:hint="eastAsia" w:ascii="仿宋" w:hAnsi="仿宋" w:eastAsia="仿宋"/>
          <w:spacing w:val="-7"/>
          <w:sz w:val="32"/>
          <w:szCs w:val="32"/>
          <w:highlight w:val="none"/>
          <w:lang w:val="en-US" w:eastAsia="zh-CN"/>
        </w:rPr>
        <w:t>宜昌市</w:t>
      </w:r>
      <w:r>
        <w:rPr>
          <w:rFonts w:hint="eastAsia" w:ascii="仿宋" w:hAnsi="仿宋" w:eastAsia="仿宋"/>
          <w:spacing w:val="-7"/>
          <w:sz w:val="32"/>
          <w:szCs w:val="32"/>
          <w:highlight w:val="none"/>
        </w:rPr>
        <w:t>投资引导基金有限公司有权中止或取消与贵单位的合作，由此造成的后果由贵单位负责。</w:t>
      </w:r>
    </w:p>
    <w:p w14:paraId="109C12D8">
      <w:pPr>
        <w:widowControl/>
        <w:spacing w:line="560" w:lineRule="exact"/>
        <w:ind w:firstLine="612" w:firstLineChars="200"/>
        <w:rPr>
          <w:rFonts w:hint="default" w:ascii="方正仿宋_GB2312" w:hAnsi="方正仿宋_GB2312" w:eastAsia="方正仿宋_GB2312" w:cs="方正仿宋_GB2312"/>
          <w:kern w:val="0"/>
          <w:sz w:val="32"/>
          <w:szCs w:val="32"/>
          <w:highlight w:val="yellow"/>
          <w:lang w:val="en-US" w:eastAsia="zh-CN"/>
        </w:rPr>
      </w:pPr>
      <w:r>
        <w:rPr>
          <w:rFonts w:hint="eastAsia" w:ascii="方正仿宋_GB2312" w:hAnsi="方正仿宋_GB2312" w:eastAsia="方正仿宋_GB2312" w:cs="方正仿宋_GB2312"/>
          <w:spacing w:val="-7"/>
          <w:sz w:val="32"/>
          <w:szCs w:val="32"/>
          <w:highlight w:val="none"/>
          <w:lang w:val="en-US" w:eastAsia="zh-CN"/>
        </w:rPr>
        <w:t>宜昌市投资引导基金有限公司纪</w:t>
      </w:r>
      <w:r>
        <w:rPr>
          <w:rFonts w:hint="eastAsia" w:ascii="方正仿宋_GB2312" w:hAnsi="方正仿宋_GB2312" w:eastAsia="方正仿宋_GB2312" w:cs="方正仿宋_GB2312"/>
          <w:spacing w:val="-7"/>
          <w:sz w:val="32"/>
          <w:szCs w:val="32"/>
          <w:highlight w:val="none"/>
        </w:rPr>
        <w:t>检</w:t>
      </w:r>
      <w:r>
        <w:rPr>
          <w:rFonts w:hint="eastAsia" w:ascii="方正仿宋_GB2312" w:hAnsi="方正仿宋_GB2312" w:eastAsia="方正仿宋_GB2312" w:cs="方正仿宋_GB2312"/>
          <w:spacing w:val="-7"/>
          <w:sz w:val="32"/>
          <w:szCs w:val="32"/>
          <w:highlight w:val="none"/>
          <w:lang w:val="en-US" w:eastAsia="zh-CN"/>
        </w:rPr>
        <w:t>联系电话</w:t>
      </w:r>
      <w:r>
        <w:rPr>
          <w:rFonts w:hint="eastAsia" w:ascii="方正仿宋_GB2312" w:hAnsi="方正仿宋_GB2312" w:eastAsia="方正仿宋_GB2312" w:cs="方正仿宋_GB2312"/>
          <w:spacing w:val="-7"/>
          <w:sz w:val="32"/>
          <w:szCs w:val="32"/>
          <w:highlight w:val="none"/>
        </w:rPr>
        <w:t>：</w:t>
      </w:r>
      <w:r>
        <w:rPr>
          <w:rFonts w:hint="eastAsia" w:ascii="仿宋_GB2312" w:hAnsi="仿宋_GB2312" w:eastAsia="仿宋_GB2312" w:cs="仿宋_GB2312"/>
          <w:sz w:val="32"/>
          <w:szCs w:val="32"/>
          <w:highlight w:val="none"/>
          <w:lang w:val="en-US" w:eastAsia="zh-CN"/>
        </w:rPr>
        <w:t>0717-6336537。</w:t>
      </w:r>
    </w:p>
    <w:p w14:paraId="4E8BB39F">
      <w:pPr>
        <w:widowControl/>
        <w:spacing w:line="560" w:lineRule="exact"/>
        <w:ind w:firstLine="1920" w:firstLineChars="600"/>
        <w:rPr>
          <w:rFonts w:hint="eastAsia" w:ascii="方正仿宋_GB2312" w:hAnsi="方正仿宋_GB2312" w:eastAsia="方正仿宋_GB2312" w:cs="方正仿宋_GB2312"/>
          <w:kern w:val="0"/>
          <w:sz w:val="32"/>
          <w:szCs w:val="32"/>
        </w:rPr>
      </w:pPr>
    </w:p>
    <w:p w14:paraId="6076BBB8">
      <w:pPr>
        <w:spacing w:line="560" w:lineRule="exact"/>
        <w:ind w:left="480"/>
        <w:rPr>
          <w:rFonts w:ascii="仿宋_GB2312" w:eastAsia="仿宋_GB2312"/>
          <w:sz w:val="32"/>
          <w:szCs w:val="32"/>
        </w:rPr>
      </w:pPr>
    </w:p>
    <w:p w14:paraId="460C5D55">
      <w:pPr>
        <w:widowControl/>
        <w:spacing w:line="560" w:lineRule="exact"/>
        <w:ind w:firstLine="1920" w:firstLineChars="600"/>
        <w:rPr>
          <w:rFonts w:hint="eastAsia" w:ascii="方正仿宋_GB2312" w:hAnsi="方正仿宋_GB2312" w:eastAsia="方正仿宋_GB2312" w:cs="方正仿宋_GB2312"/>
          <w:kern w:val="0"/>
          <w:sz w:val="32"/>
          <w:szCs w:val="32"/>
          <w:u w:val="single"/>
        </w:rPr>
      </w:pPr>
      <w:r>
        <w:rPr>
          <w:rFonts w:hint="eastAsia" w:ascii="方正仿宋_GB2312" w:hAnsi="方正仿宋_GB2312" w:eastAsia="方正仿宋_GB2312" w:cs="方正仿宋_GB2312"/>
          <w:kern w:val="0"/>
          <w:sz w:val="32"/>
          <w:szCs w:val="32"/>
        </w:rPr>
        <w:t>申请机构（盖章）：</w:t>
      </w:r>
      <w:r>
        <w:rPr>
          <w:rFonts w:hint="eastAsia" w:ascii="方正仿宋_GB2312" w:hAnsi="方正仿宋_GB2312" w:eastAsia="方正仿宋_GB2312" w:cs="方正仿宋_GB2312"/>
          <w:kern w:val="0"/>
          <w:sz w:val="32"/>
          <w:szCs w:val="32"/>
          <w:u w:val="single"/>
        </w:rPr>
        <w:t xml:space="preserve">                      </w:t>
      </w:r>
    </w:p>
    <w:p w14:paraId="63655766">
      <w:pPr>
        <w:widowControl/>
        <w:spacing w:line="560" w:lineRule="exact"/>
        <w:ind w:firstLine="1920" w:firstLineChars="600"/>
        <w:rPr>
          <w:rFonts w:hint="eastAsia" w:ascii="方正仿宋_GB2312" w:hAnsi="方正仿宋_GB2312" w:eastAsia="方正仿宋_GB2312" w:cs="方正仿宋_GB2312"/>
          <w:kern w:val="0"/>
          <w:sz w:val="32"/>
          <w:szCs w:val="32"/>
          <w:u w:val="single"/>
        </w:rPr>
      </w:pPr>
      <w:r>
        <w:rPr>
          <w:rFonts w:hint="eastAsia" w:ascii="方正仿宋_GB2312" w:hAnsi="方正仿宋_GB2312" w:eastAsia="方正仿宋_GB2312" w:cs="方正仿宋_GB2312"/>
          <w:kern w:val="0"/>
          <w:sz w:val="32"/>
          <w:szCs w:val="32"/>
        </w:rPr>
        <w:t>法定代表人/执行事务合伙人（签字）：</w:t>
      </w:r>
      <w:r>
        <w:rPr>
          <w:rFonts w:hint="eastAsia" w:ascii="方正仿宋_GB2312" w:hAnsi="方正仿宋_GB2312" w:eastAsia="方正仿宋_GB2312" w:cs="方正仿宋_GB2312"/>
          <w:kern w:val="0"/>
          <w:sz w:val="32"/>
          <w:szCs w:val="32"/>
          <w:u w:val="single"/>
        </w:rPr>
        <w:t xml:space="preserve">      </w:t>
      </w:r>
    </w:p>
    <w:p w14:paraId="4D6C8BFA">
      <w:pPr>
        <w:widowControl/>
        <w:wordWrap/>
        <w:spacing w:line="560" w:lineRule="exact"/>
        <w:ind w:firstLine="1920" w:firstLineChars="600"/>
        <w:jc w:val="both"/>
        <w:rPr>
          <w:rFonts w:ascii="仿宋_GB2312" w:hAnsi="微软雅黑" w:eastAsia="仿宋_GB2312" w:cs="宋体"/>
          <w:kern w:val="0"/>
          <w:sz w:val="32"/>
          <w:szCs w:val="32"/>
          <w:highlight w:val="none"/>
        </w:rPr>
      </w:pPr>
      <w:r>
        <w:rPr>
          <w:rFonts w:hint="eastAsia" w:ascii="方正仿宋_GB2312" w:hAnsi="方正仿宋_GB2312" w:eastAsia="方正仿宋_GB2312" w:cs="方正仿宋_GB2312"/>
          <w:kern w:val="0"/>
          <w:sz w:val="32"/>
          <w:szCs w:val="32"/>
        </w:rPr>
        <w:t>日期：    年   月  日</w:t>
      </w:r>
      <w:r>
        <w:rPr>
          <w:rFonts w:hint="eastAsia" w:ascii="仿宋_GB2312" w:eastAsia="仿宋_GB2312"/>
          <w:sz w:val="32"/>
          <w:szCs w:val="32"/>
        </w:rPr>
        <w:t xml:space="preserve">     </w:t>
      </w:r>
      <w:r>
        <w:rPr>
          <w:rFonts w:ascii="仿宋_GB2312" w:hAnsi="微软雅黑" w:eastAsia="仿宋_GB2312" w:cs="宋体"/>
          <w:kern w:val="0"/>
          <w:sz w:val="32"/>
          <w:szCs w:val="32"/>
          <w:highlight w:val="none"/>
        </w:rPr>
        <w:t xml:space="preserve">   </w:t>
      </w:r>
    </w:p>
    <w:p w14:paraId="5842E550">
      <w:pPr>
        <w:widowControl/>
        <w:spacing w:line="560" w:lineRule="exact"/>
        <w:ind w:firstLine="645"/>
        <w:jc w:val="both"/>
        <w:rPr>
          <w:rFonts w:ascii="仿宋_GB2312" w:hAnsi="微软雅黑" w:eastAsia="仿宋_GB2312" w:cs="宋体"/>
          <w:kern w:val="0"/>
          <w:sz w:val="32"/>
          <w:szCs w:val="32"/>
          <w:highlight w:val="none"/>
        </w:rPr>
      </w:pPr>
    </w:p>
    <w:p w14:paraId="20087488">
      <w:pPr>
        <w:jc w:val="both"/>
        <w:rPr>
          <w:highlight w:val="none"/>
        </w:rPr>
      </w:pPr>
    </w:p>
    <w:sectPr>
      <w:footerReference r:id="rId3" w:type="default"/>
      <w:pgSz w:w="11906" w:h="16838"/>
      <w:pgMar w:top="1440" w:right="1797" w:bottom="1440" w:left="179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2312">
    <w:altName w:val="仿宋"/>
    <w:panose1 w:val="00000000000000000000"/>
    <w:charset w:val="86"/>
    <w:family w:val="auto"/>
    <w:pitch w:val="default"/>
    <w:sig w:usb0="00000000" w:usb1="00000000" w:usb2="00000012"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8DC81">
    <w:pPr>
      <w:pStyle w:val="3"/>
      <w:jc w:val="center"/>
    </w:pPr>
    <w:r>
      <w:fldChar w:fldCharType="begin"/>
    </w:r>
    <w:r>
      <w:instrText xml:space="preserve">PAGE   \* MERGEFORMAT</w:instrText>
    </w:r>
    <w:r>
      <w:fldChar w:fldCharType="separate"/>
    </w:r>
    <w:r>
      <w:rPr>
        <w:lang w:val="zh-CN"/>
      </w:rPr>
      <w:t>18</w:t>
    </w:r>
    <w:r>
      <w:fldChar w:fldCharType="end"/>
    </w:r>
  </w:p>
  <w:p w14:paraId="2D9FF850">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AC6"/>
    <w:rsid w:val="00154548"/>
    <w:rsid w:val="0016799D"/>
    <w:rsid w:val="001C0386"/>
    <w:rsid w:val="001C2FAD"/>
    <w:rsid w:val="003D1CBC"/>
    <w:rsid w:val="004A0804"/>
    <w:rsid w:val="004B2386"/>
    <w:rsid w:val="004D5E54"/>
    <w:rsid w:val="004D6228"/>
    <w:rsid w:val="004F0C3F"/>
    <w:rsid w:val="00696958"/>
    <w:rsid w:val="006C3CC8"/>
    <w:rsid w:val="00764609"/>
    <w:rsid w:val="008232C6"/>
    <w:rsid w:val="0088706A"/>
    <w:rsid w:val="008A3A88"/>
    <w:rsid w:val="008D58AD"/>
    <w:rsid w:val="00CB14C2"/>
    <w:rsid w:val="00D8379A"/>
    <w:rsid w:val="00D8441C"/>
    <w:rsid w:val="00D86B8B"/>
    <w:rsid w:val="00DD4AC6"/>
    <w:rsid w:val="00F0148C"/>
    <w:rsid w:val="00F52E50"/>
    <w:rsid w:val="00FA5492"/>
    <w:rsid w:val="00FC00AF"/>
    <w:rsid w:val="16513A9F"/>
    <w:rsid w:val="16CB6A2E"/>
    <w:rsid w:val="214851A7"/>
    <w:rsid w:val="2A48469D"/>
    <w:rsid w:val="2BD27CB4"/>
    <w:rsid w:val="306F0F25"/>
    <w:rsid w:val="31F46F2B"/>
    <w:rsid w:val="345A624E"/>
    <w:rsid w:val="3CA93ACB"/>
    <w:rsid w:val="473E268A"/>
    <w:rsid w:val="4903535C"/>
    <w:rsid w:val="4B9A3F0B"/>
    <w:rsid w:val="51FF2EE9"/>
    <w:rsid w:val="58DA1D56"/>
    <w:rsid w:val="5FEA46EB"/>
    <w:rsid w:val="7064468C"/>
    <w:rsid w:val="727A67BB"/>
    <w:rsid w:val="75E841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9"/>
    <w:qFormat/>
    <w:uiPriority w:val="99"/>
    <w:pPr>
      <w:jc w:val="left"/>
    </w:pPr>
  </w:style>
  <w:style w:type="paragraph" w:styleId="3">
    <w:name w:val="footer"/>
    <w:basedOn w:val="1"/>
    <w:link w:val="10"/>
    <w:qFormat/>
    <w:uiPriority w:val="99"/>
    <w:pPr>
      <w:tabs>
        <w:tab w:val="center" w:pos="4153"/>
        <w:tab w:val="right" w:pos="8306"/>
      </w:tabs>
      <w:snapToGrid w:val="0"/>
      <w:jc w:val="left"/>
    </w:pPr>
    <w:rPr>
      <w:rFonts w:cs="宋体"/>
      <w:sz w:val="18"/>
      <w:szCs w:val="18"/>
    </w:rPr>
  </w:style>
  <w:style w:type="paragraph" w:styleId="4">
    <w:name w:val="header"/>
    <w:basedOn w:val="1"/>
    <w:link w:val="12"/>
    <w:unhideWhenUsed/>
    <w:qFormat/>
    <w:uiPriority w:val="99"/>
    <w:pPr>
      <w:tabs>
        <w:tab w:val="center" w:pos="4153"/>
        <w:tab w:val="right" w:pos="8306"/>
      </w:tabs>
      <w:snapToGrid w:val="0"/>
      <w:jc w:val="center"/>
    </w:pPr>
    <w:rPr>
      <w:sz w:val="18"/>
      <w:szCs w:val="18"/>
    </w:rPr>
  </w:style>
  <w:style w:type="character" w:styleId="7">
    <w:name w:val="annotation reference"/>
    <w:basedOn w:val="6"/>
    <w:qFormat/>
    <w:uiPriority w:val="99"/>
    <w:rPr>
      <w:sz w:val="21"/>
      <w:szCs w:val="21"/>
    </w:rPr>
  </w:style>
  <w:style w:type="paragraph" w:styleId="8">
    <w:name w:val="List Paragraph"/>
    <w:basedOn w:val="1"/>
    <w:qFormat/>
    <w:uiPriority w:val="34"/>
    <w:pPr>
      <w:ind w:firstLine="420" w:firstLineChars="200"/>
    </w:pPr>
  </w:style>
  <w:style w:type="character" w:customStyle="1" w:styleId="9">
    <w:name w:val="批注文字 字符"/>
    <w:basedOn w:val="6"/>
    <w:link w:val="2"/>
    <w:qFormat/>
    <w:uiPriority w:val="99"/>
    <w:rPr>
      <w:rFonts w:ascii="Calibri" w:hAnsi="Calibri" w:eastAsia="宋体" w:cs="Times New Roman"/>
    </w:rPr>
  </w:style>
  <w:style w:type="character" w:customStyle="1" w:styleId="10">
    <w:name w:val="页脚 字符"/>
    <w:basedOn w:val="6"/>
    <w:link w:val="3"/>
    <w:qFormat/>
    <w:uiPriority w:val="99"/>
    <w:rPr>
      <w:rFonts w:ascii="Calibri" w:hAnsi="Calibri" w:eastAsia="宋体" w:cs="宋体"/>
      <w:sz w:val="18"/>
      <w:szCs w:val="18"/>
    </w:rPr>
  </w:style>
  <w:style w:type="paragraph" w:customStyle="1" w:styleId="11">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2">
    <w:name w:val="页眉 字符"/>
    <w:basedOn w:val="6"/>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712</Words>
  <Characters>733</Characters>
  <Lines>5</Lines>
  <Paragraphs>1</Paragraphs>
  <TotalTime>1</TotalTime>
  <ScaleCrop>false</ScaleCrop>
  <LinksUpToDate>false</LinksUpToDate>
  <CharactersWithSpaces>779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2023-09-01T08:20:00Z</dcterms:created>
  <dc:creator>Yixuan</dc:creator>
  <cp:lastModifiedBy>lmmmmmmmt</cp:lastModifiedBy>
  <dcterms:modified xsi:type="dcterms:W3CDTF">2025-10-30T09:20:46Z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7E5B666130A34C8EAB4A53A40C384B7E_13</vt:lpwstr>
  </property>
  <property fmtid="{D5CDD505-2E9C-101B-9397-08002B2CF9AE}" pid="4" name="KSOTemplateDocerSaveRecord">
    <vt:lpwstr>eyJoZGlkIjoiOWViZWM0M2EwOWZkZTExY2JhMGQ4N2NjOTQ4Yjc0M2EiLCJ1c2VySWQiOiIyMTAzMjE4MjYifQ==</vt:lpwstr>
  </property>
</Properties>
</file>