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360" w:lineRule="auto"/>
        <w:rPr>
          <w:rFonts w:ascii="仿宋" w:hAnsi="仿宋" w:eastAsia="仿宋"/>
          <w:b/>
          <w:bCs/>
          <w:color w:val="auto"/>
          <w:sz w:val="44"/>
          <w:szCs w:val="44"/>
          <w:highlight w:val="none"/>
        </w:rPr>
      </w:pPr>
      <w:bookmarkStart w:id="0" w:name="_GoBack"/>
      <w:bookmarkEnd w:id="0"/>
      <w:r>
        <w:rPr>
          <w:rFonts w:hint="eastAsia" w:ascii="仿宋" w:hAnsi="仿宋" w:eastAsia="仿宋"/>
          <w:b/>
          <w:bCs/>
          <w:color w:val="auto"/>
          <w:sz w:val="44"/>
          <w:szCs w:val="44"/>
          <w:highlight w:val="none"/>
        </w:rPr>
        <w:t>南通宝月湖科技股权投资基金合伙企业</w:t>
      </w:r>
    </w:p>
    <w:p>
      <w:pPr>
        <w:pStyle w:val="21"/>
        <w:spacing w:line="360" w:lineRule="auto"/>
        <w:rPr>
          <w:rFonts w:ascii="仿宋" w:hAnsi="仿宋" w:eastAsia="仿宋"/>
          <w:b/>
          <w:bCs/>
          <w:color w:val="auto"/>
          <w:sz w:val="44"/>
          <w:szCs w:val="44"/>
          <w:highlight w:val="none"/>
        </w:rPr>
      </w:pPr>
      <w:r>
        <w:rPr>
          <w:rFonts w:hint="eastAsia" w:ascii="仿宋" w:hAnsi="仿宋" w:eastAsia="仿宋"/>
          <w:b/>
          <w:bCs/>
          <w:color w:val="auto"/>
          <w:sz w:val="44"/>
          <w:szCs w:val="44"/>
          <w:highlight w:val="none"/>
        </w:rPr>
        <w:t>（有限合伙）</w:t>
      </w:r>
    </w:p>
    <w:p>
      <w:pPr>
        <w:pStyle w:val="21"/>
        <w:spacing w:line="360" w:lineRule="auto"/>
        <w:rPr>
          <w:rFonts w:ascii="仿宋" w:hAnsi="仿宋" w:eastAsia="仿宋"/>
          <w:b/>
          <w:bCs/>
          <w:color w:val="auto"/>
          <w:sz w:val="44"/>
          <w:szCs w:val="44"/>
          <w:highlight w:val="none"/>
        </w:rPr>
      </w:pPr>
      <w:r>
        <w:rPr>
          <w:rFonts w:hint="eastAsia" w:ascii="仿宋" w:hAnsi="仿宋" w:eastAsia="仿宋"/>
          <w:b/>
          <w:bCs/>
          <w:color w:val="auto"/>
          <w:sz w:val="44"/>
          <w:szCs w:val="44"/>
          <w:highlight w:val="none"/>
        </w:rPr>
        <w:t>子基金遴选办法</w:t>
      </w:r>
    </w:p>
    <w:p>
      <w:pPr>
        <w:pStyle w:val="21"/>
        <w:spacing w:line="360" w:lineRule="auto"/>
        <w:rPr>
          <w:rFonts w:ascii="仿宋" w:hAnsi="仿宋" w:eastAsia="仿宋"/>
          <w:b/>
          <w:bCs/>
          <w:color w:val="auto"/>
          <w:sz w:val="44"/>
          <w:szCs w:val="44"/>
          <w:highlight w:val="none"/>
        </w:rPr>
      </w:pPr>
      <w:r>
        <w:rPr>
          <w:rFonts w:hint="eastAsia" w:ascii="仿宋" w:hAnsi="仿宋" w:eastAsia="仿宋"/>
          <w:b/>
          <w:bCs/>
          <w:color w:val="auto"/>
          <w:sz w:val="44"/>
          <w:szCs w:val="44"/>
          <w:highlight w:val="none"/>
        </w:rPr>
        <w:t>（修订稿）</w:t>
      </w:r>
    </w:p>
    <w:p>
      <w:pPr>
        <w:spacing w:before="312" w:beforeLines="100" w:line="360" w:lineRule="auto"/>
        <w:ind w:firstLine="562" w:firstLineChars="200"/>
        <w:outlineLvl w:val="0"/>
        <w:rPr>
          <w:rFonts w:eastAsia="仿宋" w:cs="Times New Roman"/>
          <w:b/>
          <w:color w:val="auto"/>
          <w:sz w:val="28"/>
          <w:szCs w:val="28"/>
          <w:highlight w:val="none"/>
        </w:rPr>
      </w:pPr>
      <w:r>
        <w:rPr>
          <w:rFonts w:hint="eastAsia" w:eastAsia="仿宋" w:cs="Times New Roman"/>
          <w:b/>
          <w:color w:val="auto"/>
          <w:sz w:val="28"/>
          <w:szCs w:val="28"/>
          <w:highlight w:val="none"/>
        </w:rPr>
        <w:t>一、母基金的设立背景及定位</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为推进崇川区《“十四五”制造业高质量发展规划》，以创新和资本为驱动，以产融结合为手段，紧抓产业培育、技术升级、科技创新等机遇，提升产业价值，有效发挥市场资源配置作用和财政资金引导放大作用。南通宝月湖科技股权投资基金合伙企业（有限合伙）（“</w:t>
      </w:r>
      <w:r>
        <w:rPr>
          <w:rFonts w:hint="eastAsia" w:eastAsia="仿宋" w:cs="Times New Roman"/>
          <w:b/>
          <w:bCs/>
          <w:color w:val="auto"/>
          <w:sz w:val="28"/>
          <w:szCs w:val="28"/>
          <w:highlight w:val="none"/>
        </w:rPr>
        <w:t>母基金</w:t>
      </w:r>
      <w:r>
        <w:rPr>
          <w:rFonts w:hint="eastAsia" w:eastAsia="仿宋" w:cs="Times New Roman"/>
          <w:color w:val="auto"/>
          <w:sz w:val="28"/>
          <w:szCs w:val="28"/>
          <w:highlight w:val="none"/>
        </w:rPr>
        <w:t>”）主要通过参股各类产业投资子基金（“</w:t>
      </w:r>
      <w:r>
        <w:rPr>
          <w:rFonts w:hint="eastAsia" w:eastAsia="仿宋" w:cs="Times New Roman"/>
          <w:b/>
          <w:bCs/>
          <w:color w:val="auto"/>
          <w:sz w:val="28"/>
          <w:szCs w:val="28"/>
          <w:highlight w:val="none"/>
        </w:rPr>
        <w:t>子基金</w:t>
      </w:r>
      <w:r>
        <w:rPr>
          <w:rFonts w:hint="eastAsia" w:eastAsia="仿宋" w:cs="Times New Roman"/>
          <w:color w:val="auto"/>
          <w:sz w:val="28"/>
          <w:szCs w:val="28"/>
          <w:highlight w:val="none"/>
        </w:rPr>
        <w:t>”）或直接投资的方式，在国有资产保值增值的同时，也引导社会资本和优质产业项目投资落地于南通崇川区，集聚高端要素，推动制造业“高端化”；聚力链群打造，加快制造业“龙头带动、配套跟进、全产业链发展”的“集群化”。</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母基金是由南通科创创业投资管理有限公司、南通宝月湖科创投资集团有限公司以及深圳新产投私募股权基金管理有限公司出资设立，并委托深圳新产投私募股权基金管理有限公司（“</w:t>
      </w:r>
      <w:r>
        <w:rPr>
          <w:rFonts w:hint="eastAsia" w:eastAsia="仿宋" w:cs="Times New Roman"/>
          <w:b/>
          <w:bCs/>
          <w:color w:val="auto"/>
          <w:sz w:val="28"/>
          <w:szCs w:val="28"/>
          <w:highlight w:val="none"/>
        </w:rPr>
        <w:t>母基金管理人</w:t>
      </w:r>
      <w:r>
        <w:rPr>
          <w:rFonts w:hint="eastAsia" w:eastAsia="仿宋" w:cs="Times New Roman"/>
          <w:color w:val="auto"/>
          <w:sz w:val="28"/>
          <w:szCs w:val="28"/>
          <w:highlight w:val="none"/>
        </w:rPr>
        <w:t>”）共同管理，按市场化方式运营。</w:t>
      </w:r>
    </w:p>
    <w:p>
      <w:pPr>
        <w:ind w:firstLine="560" w:firstLineChars="200"/>
        <w:rPr>
          <w:rFonts w:eastAsia="仿宋" w:cs="Times New Roman"/>
          <w:b/>
          <w:bCs/>
          <w:color w:val="auto"/>
          <w:sz w:val="28"/>
          <w:szCs w:val="28"/>
          <w:highlight w:val="none"/>
        </w:rPr>
      </w:pPr>
      <w:r>
        <w:rPr>
          <w:rFonts w:hint="eastAsia" w:eastAsia="仿宋" w:cs="Times New Roman"/>
          <w:color w:val="auto"/>
          <w:sz w:val="28"/>
          <w:szCs w:val="28"/>
          <w:highlight w:val="none"/>
        </w:rPr>
        <w:t>为规范子基金管理人的遴选工作，推动母基金规范地对外参与子基金投资，有效控制母基金对外投资风险，根据《崇川区政府投资基金和国有企业出资设立基金管理办法》等相关法律、法规、规范性文件，以及《南通宝月湖科技股权投资基金合伙企业（有限合伙）》、补充协议、《南通宝月湖科技股权投资基金合伙企业（有限合伙）管理办法》等相关规定，制定本遴选办法。</w:t>
      </w:r>
    </w:p>
    <w:p>
      <w:pPr>
        <w:spacing w:before="312" w:beforeLines="100" w:line="360" w:lineRule="auto"/>
        <w:ind w:firstLine="562" w:firstLineChars="200"/>
        <w:outlineLvl w:val="0"/>
        <w:rPr>
          <w:rFonts w:eastAsia="仿宋" w:cs="Times New Roman"/>
          <w:b/>
          <w:color w:val="auto"/>
          <w:sz w:val="28"/>
          <w:szCs w:val="28"/>
          <w:highlight w:val="none"/>
        </w:rPr>
      </w:pPr>
      <w:r>
        <w:rPr>
          <w:rFonts w:hint="eastAsia" w:eastAsia="仿宋" w:cs="Times New Roman"/>
          <w:b/>
          <w:color w:val="auto"/>
          <w:sz w:val="28"/>
          <w:szCs w:val="28"/>
          <w:highlight w:val="none"/>
        </w:rPr>
        <w:t>二、子基金管理人应具备的条件</w:t>
      </w:r>
    </w:p>
    <w:p>
      <w:pPr>
        <w:pStyle w:val="23"/>
        <w:spacing w:after="0" w:line="360" w:lineRule="auto"/>
        <w:ind w:firstLine="562" w:firstLineChars="200"/>
        <w:jc w:val="both"/>
        <w:outlineLvl w:val="1"/>
        <w:rPr>
          <w:rFonts w:eastAsia="仿宋"/>
          <w:b/>
          <w:bCs/>
          <w:color w:val="auto"/>
          <w:sz w:val="28"/>
          <w:szCs w:val="28"/>
          <w:highlight w:val="none"/>
          <w:lang w:eastAsia="zh-CN"/>
        </w:rPr>
      </w:pPr>
      <w:r>
        <w:rPr>
          <w:rFonts w:hint="eastAsia" w:eastAsia="仿宋"/>
          <w:b/>
          <w:bCs/>
          <w:color w:val="auto"/>
          <w:sz w:val="28"/>
          <w:szCs w:val="28"/>
          <w:highlight w:val="none"/>
          <w:lang w:eastAsia="zh-CN"/>
        </w:rPr>
        <w:t>（一）子基金管理人基本条件</w:t>
      </w:r>
    </w:p>
    <w:p>
      <w:pPr>
        <w:pStyle w:val="23"/>
        <w:spacing w:after="0" w:line="360" w:lineRule="auto"/>
        <w:ind w:firstLine="560" w:firstLineChars="200"/>
        <w:rPr>
          <w:color w:val="auto"/>
          <w:highlight w:val="none"/>
          <w:lang w:eastAsia="zh-CN"/>
        </w:rPr>
      </w:pPr>
      <w:r>
        <w:rPr>
          <w:rFonts w:hint="eastAsia" w:eastAsia="仿宋"/>
          <w:color w:val="auto"/>
          <w:sz w:val="28"/>
          <w:szCs w:val="28"/>
          <w:highlight w:val="none"/>
          <w:lang w:eastAsia="zh-CN"/>
        </w:rPr>
        <w:t>1、</w:t>
      </w:r>
      <w:r>
        <w:rPr>
          <w:rFonts w:hint="eastAsia" w:ascii="仿宋" w:hAnsi="仿宋" w:eastAsia="仿宋" w:cs="仿宋"/>
          <w:color w:val="auto"/>
          <w:sz w:val="28"/>
          <w:szCs w:val="28"/>
          <w:highlight w:val="none"/>
        </w:rPr>
        <w:t>子基金管理人应当具备与子基金运作方式相适应的专业能力、投资能力和管理能力。子基金管理人应当符合以下条件：</w:t>
      </w:r>
    </w:p>
    <w:p>
      <w:pPr>
        <w:overflowPunct w:val="0"/>
        <w:spacing w:line="360" w:lineRule="auto"/>
        <w:ind w:firstLine="560" w:firstLineChars="200"/>
        <w:rPr>
          <w:rFonts w:eastAsia="仿宋" w:cs="Times New Roman"/>
          <w:color w:val="auto"/>
          <w:sz w:val="28"/>
          <w:szCs w:val="28"/>
          <w:highlight w:val="none"/>
        </w:rPr>
      </w:pPr>
      <w:r>
        <w:rPr>
          <w:rFonts w:eastAsia="仿宋" w:cs="Times New Roman"/>
          <w:color w:val="auto"/>
          <w:sz w:val="28"/>
          <w:szCs w:val="28"/>
          <w:highlight w:val="none"/>
        </w:rPr>
        <w:t>（1）在中国大陆依法设立的公司或合伙企业，实缴货币出资不低于人民币1,000万元且与所管理基金规模相匹配；</w:t>
      </w:r>
    </w:p>
    <w:p>
      <w:pPr>
        <w:overflowPunct w:val="0"/>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w:t>
      </w:r>
      <w:r>
        <w:rPr>
          <w:rFonts w:hint="eastAsia" w:ascii="仿宋" w:hAnsi="仿宋" w:eastAsia="仿宋" w:cs="仿宋"/>
          <w:color w:val="auto"/>
          <w:kern w:val="0"/>
          <w:sz w:val="28"/>
          <w:szCs w:val="28"/>
          <w:highlight w:val="none"/>
          <w:lang w:bidi="ar"/>
        </w:rPr>
        <w:t>对子基金出资比例持续不低于基金认缴规模的1%；</w:t>
      </w:r>
    </w:p>
    <w:p>
      <w:pPr>
        <w:overflowPunct w:val="0"/>
        <w:spacing w:line="360" w:lineRule="auto"/>
        <w:ind w:firstLine="560" w:firstLineChars="200"/>
        <w:rPr>
          <w:rFonts w:eastAsia="仿宋" w:cs="Times New Roman"/>
          <w:color w:val="auto"/>
          <w:sz w:val="28"/>
          <w:szCs w:val="28"/>
          <w:highlight w:val="none"/>
        </w:rPr>
      </w:pPr>
      <w:r>
        <w:rPr>
          <w:rFonts w:eastAsia="仿宋" w:cs="Times New Roman"/>
          <w:color w:val="auto"/>
          <w:sz w:val="28"/>
          <w:szCs w:val="28"/>
          <w:highlight w:val="none"/>
        </w:rPr>
        <w:t>（</w:t>
      </w:r>
      <w:r>
        <w:rPr>
          <w:rFonts w:hint="eastAsia" w:eastAsia="仿宋" w:cs="Times New Roman"/>
          <w:color w:val="auto"/>
          <w:sz w:val="28"/>
          <w:szCs w:val="28"/>
          <w:highlight w:val="none"/>
        </w:rPr>
        <w:t>3</w:t>
      </w:r>
      <w:r>
        <w:rPr>
          <w:rFonts w:eastAsia="仿宋" w:cs="Times New Roman"/>
          <w:color w:val="auto"/>
          <w:sz w:val="28"/>
          <w:szCs w:val="28"/>
          <w:highlight w:val="none"/>
        </w:rPr>
        <w:t>）</w:t>
      </w:r>
      <w:r>
        <w:rPr>
          <w:rFonts w:hint="eastAsia" w:eastAsia="仿宋"/>
          <w:color w:val="auto"/>
          <w:sz w:val="28"/>
          <w:szCs w:val="28"/>
          <w:highlight w:val="none"/>
        </w:rPr>
        <w:t>已在中国证券投资基金业协会登记为私募基金管理人；</w:t>
      </w:r>
    </w:p>
    <w:p>
      <w:pPr>
        <w:overflowPunct w:val="0"/>
        <w:spacing w:line="360" w:lineRule="auto"/>
        <w:ind w:firstLine="560" w:firstLineChars="200"/>
        <w:rPr>
          <w:rFonts w:eastAsia="仿宋" w:cs="Times New Roman"/>
          <w:color w:val="auto"/>
          <w:sz w:val="28"/>
          <w:szCs w:val="28"/>
          <w:highlight w:val="none"/>
        </w:rPr>
      </w:pPr>
      <w:r>
        <w:rPr>
          <w:rFonts w:eastAsia="仿宋" w:cs="Times New Roman"/>
          <w:color w:val="auto"/>
          <w:sz w:val="28"/>
          <w:szCs w:val="28"/>
          <w:highlight w:val="none"/>
        </w:rPr>
        <w:t>（</w:t>
      </w:r>
      <w:r>
        <w:rPr>
          <w:rFonts w:hint="eastAsia" w:eastAsia="仿宋" w:cs="Times New Roman"/>
          <w:color w:val="auto"/>
          <w:sz w:val="28"/>
          <w:szCs w:val="28"/>
          <w:highlight w:val="none"/>
        </w:rPr>
        <w:t>4</w:t>
      </w:r>
      <w:r>
        <w:rPr>
          <w:rFonts w:eastAsia="仿宋" w:cs="Times New Roman"/>
          <w:color w:val="auto"/>
          <w:sz w:val="28"/>
          <w:szCs w:val="28"/>
          <w:highlight w:val="none"/>
        </w:rPr>
        <w:t>）有健全的股权投资管理和风险控制流程、规范的项目开发和投资决策制度；</w:t>
      </w:r>
    </w:p>
    <w:p>
      <w:pPr>
        <w:overflowPunct w:val="0"/>
        <w:spacing w:line="360" w:lineRule="auto"/>
        <w:ind w:firstLine="560" w:firstLineChars="200"/>
        <w:rPr>
          <w:rFonts w:eastAsia="仿宋"/>
          <w:color w:val="auto"/>
          <w:sz w:val="28"/>
          <w:szCs w:val="28"/>
          <w:highlight w:val="none"/>
        </w:rPr>
      </w:pPr>
      <w:r>
        <w:rPr>
          <w:rFonts w:eastAsia="仿宋" w:cs="Times New Roman"/>
          <w:color w:val="auto"/>
          <w:sz w:val="28"/>
          <w:szCs w:val="28"/>
          <w:highlight w:val="none"/>
        </w:rPr>
        <w:t>（</w:t>
      </w:r>
      <w:r>
        <w:rPr>
          <w:rFonts w:hint="eastAsia" w:eastAsia="仿宋" w:cs="Times New Roman"/>
          <w:color w:val="auto"/>
          <w:sz w:val="28"/>
          <w:szCs w:val="28"/>
          <w:highlight w:val="none"/>
        </w:rPr>
        <w:t>5</w:t>
      </w:r>
      <w:r>
        <w:rPr>
          <w:rFonts w:eastAsia="仿宋" w:cs="Times New Roman"/>
          <w:color w:val="auto"/>
          <w:sz w:val="28"/>
          <w:szCs w:val="28"/>
          <w:highlight w:val="none"/>
        </w:rPr>
        <w:t>）</w:t>
      </w:r>
      <w:r>
        <w:rPr>
          <w:rFonts w:hint="eastAsia" w:eastAsia="仿宋" w:cs="Times New Roman"/>
          <w:color w:val="auto"/>
          <w:sz w:val="28"/>
          <w:szCs w:val="28"/>
          <w:highlight w:val="none"/>
        </w:rPr>
        <w:t>子基金管理团队至少有</w:t>
      </w:r>
      <w:r>
        <w:rPr>
          <w:rFonts w:eastAsia="仿宋" w:cs="Times New Roman"/>
          <w:color w:val="auto"/>
          <w:sz w:val="28"/>
          <w:szCs w:val="28"/>
          <w:highlight w:val="none"/>
        </w:rPr>
        <w:t>5</w:t>
      </w:r>
      <w:r>
        <w:rPr>
          <w:rFonts w:hint="eastAsia" w:eastAsia="仿宋" w:cs="Times New Roman"/>
          <w:color w:val="auto"/>
          <w:sz w:val="28"/>
          <w:szCs w:val="28"/>
          <w:highlight w:val="none"/>
        </w:rPr>
        <w:t>名具备</w:t>
      </w:r>
      <w:r>
        <w:rPr>
          <w:rFonts w:eastAsia="仿宋" w:cs="Times New Roman"/>
          <w:color w:val="auto"/>
          <w:sz w:val="28"/>
          <w:szCs w:val="28"/>
          <w:highlight w:val="none"/>
        </w:rPr>
        <w:t>3</w:t>
      </w:r>
      <w:r>
        <w:rPr>
          <w:rFonts w:hint="eastAsia" w:eastAsia="仿宋" w:cs="Times New Roman"/>
          <w:color w:val="auto"/>
          <w:sz w:val="28"/>
          <w:szCs w:val="28"/>
          <w:highlight w:val="none"/>
        </w:rPr>
        <w:t>年以上股权投资或基金管理工作经验、具备良好管理业绩和职业操守信誉的专职高级管理人员</w:t>
      </w:r>
      <w:r>
        <w:rPr>
          <w:rFonts w:hint="eastAsia" w:eastAsia="仿宋"/>
          <w:color w:val="auto"/>
          <w:sz w:val="28"/>
          <w:szCs w:val="28"/>
          <w:highlight w:val="none"/>
        </w:rPr>
        <w:t>，至少主导过</w:t>
      </w:r>
      <w:r>
        <w:rPr>
          <w:rFonts w:eastAsia="仿宋"/>
          <w:color w:val="auto"/>
          <w:sz w:val="28"/>
          <w:szCs w:val="28"/>
          <w:highlight w:val="none"/>
        </w:rPr>
        <w:t>3</w:t>
      </w:r>
      <w:r>
        <w:rPr>
          <w:rFonts w:hint="eastAsia" w:eastAsia="仿宋"/>
          <w:color w:val="auto"/>
          <w:sz w:val="28"/>
          <w:szCs w:val="28"/>
          <w:highlight w:val="none"/>
        </w:rPr>
        <w:t>个以上股权投资成功退出案例，其中子基金锁定的关键人士至少主导过</w:t>
      </w:r>
      <w:r>
        <w:rPr>
          <w:rFonts w:eastAsia="仿宋"/>
          <w:color w:val="auto"/>
          <w:sz w:val="28"/>
          <w:szCs w:val="28"/>
          <w:highlight w:val="none"/>
        </w:rPr>
        <w:t>1</w:t>
      </w:r>
      <w:r>
        <w:rPr>
          <w:rFonts w:hint="eastAsia" w:eastAsia="仿宋"/>
          <w:color w:val="auto"/>
          <w:sz w:val="28"/>
          <w:szCs w:val="28"/>
          <w:highlight w:val="none"/>
        </w:rPr>
        <w:t>个股权投资成功退出案例；</w:t>
      </w:r>
    </w:p>
    <w:p>
      <w:pPr>
        <w:overflowPunct w:val="0"/>
        <w:spacing w:line="360" w:lineRule="auto"/>
        <w:ind w:firstLine="560" w:firstLineChars="200"/>
        <w:rPr>
          <w:rFonts w:hint="eastAsia" w:eastAsia="仿宋"/>
          <w:color w:val="auto"/>
          <w:sz w:val="28"/>
          <w:szCs w:val="28"/>
          <w:highlight w:val="none"/>
        </w:rPr>
      </w:pPr>
      <w:r>
        <w:rPr>
          <w:rFonts w:hint="eastAsia" w:eastAsia="仿宋"/>
          <w:color w:val="auto"/>
          <w:sz w:val="28"/>
          <w:szCs w:val="28"/>
          <w:highlight w:val="none"/>
        </w:rPr>
        <w:t>成功退出案例是指：子基金投资方向的过往投资项目，所投项目以IPO、并购、回购、清算、股权转让等方式实现80%以上退出，且退出部分年化收益率不低于10%。</w:t>
      </w:r>
    </w:p>
    <w:p>
      <w:pPr>
        <w:overflowPunct w:val="0"/>
        <w:spacing w:line="360" w:lineRule="auto"/>
        <w:ind w:firstLine="560" w:firstLineChars="200"/>
        <w:rPr>
          <w:rFonts w:hint="eastAsia" w:eastAsia="仿宋" w:cs="Times New Roman"/>
          <w:color w:val="auto"/>
          <w:sz w:val="28"/>
          <w:szCs w:val="28"/>
          <w:highlight w:val="none"/>
        </w:rPr>
      </w:pPr>
      <w:r>
        <w:rPr>
          <w:rFonts w:hint="eastAsia" w:eastAsia="仿宋"/>
          <w:color w:val="auto"/>
          <w:sz w:val="28"/>
          <w:szCs w:val="28"/>
          <w:highlight w:val="none"/>
        </w:rPr>
        <w:t>经普通合伙人一致同意，子基金管理人为央企、上市公司、行业龙头、产业资本或前述主体实际控制的管理机构的，可对成功退出相关要求进行适当放宽。</w:t>
      </w:r>
    </w:p>
    <w:p>
      <w:pPr>
        <w:overflowPunct w:val="0"/>
        <w:spacing w:line="360" w:lineRule="auto"/>
        <w:ind w:firstLine="560" w:firstLineChars="200"/>
        <w:rPr>
          <w:rFonts w:eastAsia="仿宋"/>
          <w:color w:val="auto"/>
          <w:sz w:val="28"/>
          <w:szCs w:val="28"/>
          <w:highlight w:val="none"/>
        </w:rPr>
      </w:pPr>
      <w:r>
        <w:rPr>
          <w:rFonts w:eastAsia="仿宋" w:cs="Times New Roman"/>
          <w:color w:val="auto"/>
          <w:sz w:val="28"/>
          <w:szCs w:val="28"/>
          <w:highlight w:val="none"/>
        </w:rPr>
        <w:t>（</w:t>
      </w:r>
      <w:r>
        <w:rPr>
          <w:rFonts w:hint="eastAsia" w:eastAsia="仿宋" w:cs="Times New Roman"/>
          <w:color w:val="auto"/>
          <w:sz w:val="28"/>
          <w:szCs w:val="28"/>
          <w:highlight w:val="none"/>
        </w:rPr>
        <w:t>6</w:t>
      </w:r>
      <w:r>
        <w:rPr>
          <w:rFonts w:eastAsia="仿宋" w:cs="Times New Roman"/>
          <w:color w:val="auto"/>
          <w:sz w:val="28"/>
          <w:szCs w:val="28"/>
          <w:highlight w:val="none"/>
        </w:rPr>
        <w:t>）</w:t>
      </w:r>
      <w:r>
        <w:rPr>
          <w:rFonts w:eastAsia="仿宋"/>
          <w:color w:val="auto"/>
          <w:sz w:val="28"/>
          <w:szCs w:val="28"/>
          <w:highlight w:val="none"/>
        </w:rPr>
        <w:t>有固定的营业场所和与其业务相适应的软硬件设施</w:t>
      </w:r>
      <w:r>
        <w:rPr>
          <w:rFonts w:hint="eastAsia" w:eastAsia="仿宋"/>
          <w:color w:val="auto"/>
          <w:sz w:val="28"/>
          <w:szCs w:val="28"/>
          <w:highlight w:val="none"/>
        </w:rPr>
        <w:t>；</w:t>
      </w:r>
    </w:p>
    <w:p>
      <w:pPr>
        <w:overflowPunct w:val="0"/>
        <w:spacing w:line="360" w:lineRule="auto"/>
        <w:ind w:firstLine="560" w:firstLineChars="200"/>
        <w:rPr>
          <w:rFonts w:eastAsia="仿宋" w:cs="Times New Roman"/>
          <w:color w:val="auto"/>
          <w:sz w:val="28"/>
          <w:szCs w:val="28"/>
          <w:highlight w:val="none"/>
        </w:rPr>
      </w:pPr>
      <w:r>
        <w:rPr>
          <w:rFonts w:hint="eastAsia" w:eastAsia="仿宋"/>
          <w:color w:val="auto"/>
          <w:sz w:val="28"/>
          <w:szCs w:val="28"/>
          <w:highlight w:val="none"/>
        </w:rPr>
        <w:t>（7）有与母基金投资领域和方向相匹配的项目储备；</w:t>
      </w:r>
    </w:p>
    <w:p>
      <w:pPr>
        <w:overflowPunct w:val="0"/>
        <w:spacing w:line="360" w:lineRule="auto"/>
        <w:ind w:firstLine="560" w:firstLineChars="200"/>
        <w:rPr>
          <w:rFonts w:eastAsia="仿宋" w:cs="Times New Roman"/>
          <w:color w:val="auto"/>
          <w:sz w:val="28"/>
          <w:szCs w:val="28"/>
          <w:highlight w:val="none"/>
        </w:rPr>
      </w:pPr>
      <w:r>
        <w:rPr>
          <w:rFonts w:hint="eastAsia" w:eastAsia="仿宋"/>
          <w:color w:val="auto"/>
          <w:sz w:val="28"/>
          <w:szCs w:val="28"/>
          <w:highlight w:val="none"/>
        </w:rPr>
        <w:t>（8）有子基金规模相匹配的资金募集能力；</w:t>
      </w:r>
    </w:p>
    <w:p>
      <w:pPr>
        <w:overflowPunct w:val="0"/>
        <w:spacing w:line="360" w:lineRule="auto"/>
        <w:ind w:firstLine="560" w:firstLineChars="200"/>
        <w:rPr>
          <w:rFonts w:eastAsia="仿宋"/>
          <w:color w:val="auto"/>
          <w:sz w:val="28"/>
          <w:szCs w:val="28"/>
          <w:highlight w:val="none"/>
        </w:rPr>
      </w:pPr>
      <w:r>
        <w:rPr>
          <w:rFonts w:hint="eastAsia" w:eastAsia="仿宋"/>
          <w:color w:val="auto"/>
          <w:sz w:val="28"/>
          <w:szCs w:val="28"/>
          <w:highlight w:val="none"/>
        </w:rPr>
        <w:t>（9）基金管理人及其董事、监事、高级管理人员及其他从业人员不存在尚未了结的重大未决诉讼、仲裁，不存在尚未履行完毕的重大债务，不存在被列入失信被执行人的情形；</w:t>
      </w:r>
    </w:p>
    <w:p>
      <w:pPr>
        <w:overflowPunct w:val="0"/>
        <w:spacing w:line="360" w:lineRule="auto"/>
        <w:ind w:firstLine="560" w:firstLineChars="200"/>
        <w:rPr>
          <w:rFonts w:eastAsia="仿宋" w:cs="Times New Roman"/>
          <w:color w:val="auto"/>
          <w:sz w:val="28"/>
          <w:szCs w:val="28"/>
          <w:highlight w:val="none"/>
        </w:rPr>
      </w:pPr>
      <w:r>
        <w:rPr>
          <w:rFonts w:hint="eastAsia" w:eastAsia="仿宋"/>
          <w:color w:val="auto"/>
          <w:sz w:val="28"/>
          <w:szCs w:val="28"/>
          <w:highlight w:val="none"/>
        </w:rPr>
        <w:t>（10）基金管理人及其董事、监事、高级管理人员及其他从业人员在最近3年无重大违法违规行为、无被中国证券监督管理委员会采取监管措施情形、无被中国证券投资基金业协会采取纪律处分情形；</w:t>
      </w:r>
    </w:p>
    <w:p>
      <w:pPr>
        <w:overflowPunct w:val="0"/>
        <w:spacing w:line="360" w:lineRule="auto"/>
        <w:ind w:firstLine="560" w:firstLineChars="200"/>
        <w:rPr>
          <w:rFonts w:ascii="仿宋" w:hAnsi="仿宋" w:eastAsia="仿宋" w:cs="仿宋"/>
          <w:color w:val="auto"/>
          <w:sz w:val="28"/>
          <w:szCs w:val="28"/>
          <w:highlight w:val="none"/>
        </w:rPr>
      </w:pPr>
      <w:r>
        <w:rPr>
          <w:rFonts w:hint="eastAsia" w:eastAsia="仿宋"/>
          <w:color w:val="auto"/>
          <w:sz w:val="28"/>
          <w:szCs w:val="28"/>
          <w:highlight w:val="none"/>
        </w:rPr>
        <w:t>（11）法律法规、中国证券投资基金业协会规定的其他条件。</w:t>
      </w:r>
    </w:p>
    <w:p>
      <w:pPr>
        <w:spacing w:line="360" w:lineRule="auto"/>
        <w:ind w:firstLine="560" w:firstLineChars="200"/>
        <w:rPr>
          <w:rFonts w:eastAsia="仿宋" w:cs="Times New Roman"/>
          <w:color w:val="auto"/>
          <w:sz w:val="28"/>
          <w:szCs w:val="28"/>
          <w:highlight w:val="none"/>
        </w:rPr>
      </w:pPr>
      <w:r>
        <w:rPr>
          <w:rFonts w:eastAsia="仿宋" w:cs="Times New Roman"/>
          <w:color w:val="auto"/>
          <w:sz w:val="28"/>
          <w:szCs w:val="28"/>
          <w:highlight w:val="none"/>
        </w:rPr>
        <w:t>2、母基金重点投资于有产业经验及背景的投资人所管理的子基金，对以下机构所管理的子基金优先考虑</w:t>
      </w:r>
      <w:r>
        <w:rPr>
          <w:rFonts w:hint="eastAsia" w:eastAsia="仿宋" w:cs="Times New Roman"/>
          <w:color w:val="auto"/>
          <w:sz w:val="28"/>
          <w:szCs w:val="28"/>
          <w:highlight w:val="none"/>
        </w:rPr>
        <w:t>：</w:t>
      </w:r>
    </w:p>
    <w:p>
      <w:pPr>
        <w:spacing w:line="360" w:lineRule="auto"/>
        <w:ind w:firstLine="560" w:firstLineChars="200"/>
        <w:rPr>
          <w:rFonts w:eastAsia="仿宋" w:cs="Times New Roman"/>
          <w:color w:val="auto"/>
          <w:sz w:val="28"/>
          <w:szCs w:val="28"/>
          <w:highlight w:val="none"/>
        </w:rPr>
      </w:pPr>
      <w:r>
        <w:rPr>
          <w:rFonts w:eastAsia="仿宋" w:cs="Times New Roman"/>
          <w:color w:val="auto"/>
          <w:sz w:val="28"/>
          <w:szCs w:val="28"/>
          <w:highlight w:val="none"/>
        </w:rPr>
        <w:t>（1）符合南通市崇川区重点产业发展规划的国内产业集团或上市公司发起设立的管理机构；</w:t>
      </w:r>
    </w:p>
    <w:p>
      <w:pPr>
        <w:ind w:firstLine="560" w:firstLineChars="200"/>
        <w:rPr>
          <w:rFonts w:eastAsia="仿宋" w:cs="Times New Roman"/>
          <w:color w:val="auto"/>
          <w:sz w:val="28"/>
          <w:szCs w:val="28"/>
          <w:highlight w:val="none"/>
        </w:rPr>
      </w:pPr>
      <w:r>
        <w:rPr>
          <w:rFonts w:eastAsia="仿宋" w:cs="Times New Roman"/>
          <w:color w:val="auto"/>
          <w:sz w:val="28"/>
          <w:szCs w:val="28"/>
          <w:highlight w:val="none"/>
        </w:rPr>
        <w:t>（2）有出色投资记录、行业排名在前50名的机构（具体参考清科、投中、中国风险投资研究院等第三方知名机构或中国证券投资基金业协会等行业自律组织近三年发布的相关行业排名）。</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（二）人员配置</w:t>
      </w:r>
    </w:p>
    <w:p>
      <w:pPr>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1、子基金管理人应当保持管理团队的充足、稳定，保障子基金管理运作的专业性和专注度。</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2、注册在南通市崇川区的子基金，子基金管理人须在崇川区设置固定的办公场所并配备专属且稳定的管理团队。</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（三）专注度</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在子基金完成70%的投资进度之前，子基金管理机构不得募集、管理与子基金投资领域、投资地域相同的其他基金。</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（四）禁止行为</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子基金管理人及其从业人员不得有下列行为：</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1、将其固有财产或者他人财产混同于子基金财产；</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2、利用子基金财产或者职务便利，为出资人以外的人牟取利益，或违规代持被投公司股权；</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3、侵占、挪用或违规出借子基金资产；</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4、泄露因职务便利获取的未公开信息，利用该信息从事或者明示、暗示他人从事相关的证券、期货交易活动；</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5、偏离子基金设立目标、违反投资决策程序或未按投资决策结果开展投资活动；</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6、隐瞒子基金运营中重大问题或风险；</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7、通过签订虚假合同、阴阳合同等方式损害子基金出资人利益；</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8、法律法规、国务院证券监督管理机构规定和基金协议或公司章程约定的其他禁止行为。</w:t>
      </w:r>
    </w:p>
    <w:p>
      <w:pPr>
        <w:spacing w:before="312" w:beforeLines="100" w:line="360" w:lineRule="auto"/>
        <w:ind w:firstLine="562" w:firstLineChars="200"/>
        <w:outlineLvl w:val="0"/>
        <w:rPr>
          <w:rFonts w:eastAsia="仿宋" w:cs="Times New Roman"/>
          <w:b/>
          <w:color w:val="auto"/>
          <w:sz w:val="28"/>
          <w:szCs w:val="28"/>
          <w:highlight w:val="none"/>
        </w:rPr>
      </w:pPr>
      <w:r>
        <w:rPr>
          <w:rFonts w:hint="eastAsia" w:eastAsia="仿宋" w:cs="Times New Roman"/>
          <w:b/>
          <w:color w:val="auto"/>
          <w:sz w:val="28"/>
          <w:szCs w:val="28"/>
          <w:highlight w:val="none"/>
        </w:rPr>
        <w:t>三、子基金的设立条件</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母基金参与投资的子基金须符合下列条件：</w:t>
      </w:r>
    </w:p>
    <w:p>
      <w:pPr>
        <w:spacing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（一）注册区域</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母基金认缴出资20%及以上的子基金</w:t>
      </w:r>
      <w:r>
        <w:rPr>
          <w:rFonts w:hint="eastAsia" w:eastAsia="仿宋" w:cs="Times New Roman"/>
          <w:color w:val="auto"/>
          <w:sz w:val="28"/>
          <w:szCs w:val="28"/>
          <w:highlight w:val="none"/>
          <w:lang w:val="en-US" w:eastAsia="zh-CN"/>
        </w:rPr>
        <w:t>原则上</w:t>
      </w:r>
      <w:r>
        <w:rPr>
          <w:rFonts w:hint="eastAsia" w:eastAsia="仿宋" w:cs="Times New Roman"/>
          <w:color w:val="auto"/>
          <w:sz w:val="28"/>
          <w:szCs w:val="28"/>
          <w:highlight w:val="none"/>
        </w:rPr>
        <w:t>应当在崇川区注册登记。</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（二）基金规模</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1、子基金规模原则上应与其管理机构的投资能力相匹配；</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子基金管理人及其具有控制关系或者受同一控股股东、实际控制人控制的关联方对子基金的出资比例应持续不低于子基金总规模的1%；子基金采用有限合伙制设立的，子基金管理人及其具有控制关系或者受同一控股股东、实际控制人控制的关联方作为子基金普通合伙人对子基金的出资比例应持续不低于子基金总规模的1%。</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（三）出资比例</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1、子基金向母基金申请出资的金额原则上不超过子基金认缴出资总金额的30%，注册在南通市崇川区以外的子基金向母基金申请出资的金额原则上不超过子基金认缴出资总额的20%；</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2、母基金对单支子基金出资规模原则上不超过母基金认缴总规模的10%。</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（四）管理机构</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应当委托申请机构进行管理；子基金如委托申请机构关联方担任的，申请机构与该关联方应当具有控制关系或者受同一控股股东、实际控制人控制，该关联方实际由申请机构控制、管理，且该关联方应当符合本遴选办法第二条第（1）-（3）项、第（5）-（9）项的要求；</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子基金如采用基金管理人与执行事务合伙人相分离架构的，基金管理人与执行事务合伙人之间应当具备控制关系或者受同一控股股东、实际控制人控制，且明确划分基金管理人与执行事务合伙人之间权利、义务、职责。</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（五）存续期限</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1、子基金存续期限原则上不超过8年，</w:t>
      </w:r>
      <w:r>
        <w:rPr>
          <w:rFonts w:hint="eastAsia" w:ascii="仿宋" w:hAnsi="仿宋" w:eastAsia="仿宋" w:cs="仿宋"/>
          <w:color w:val="auto"/>
          <w:sz w:val="28"/>
          <w:szCs w:val="28"/>
          <w:highlight w:val="none"/>
        </w:rPr>
        <w:t>子基金存续期满后如需延长且延长的存续期限超过</w:t>
      </w:r>
      <w:r>
        <w:rPr>
          <w:rFonts w:ascii="仿宋" w:hAnsi="仿宋" w:eastAsia="仿宋" w:cs="仿宋"/>
          <w:color w:val="auto"/>
          <w:sz w:val="28"/>
          <w:szCs w:val="28"/>
          <w:highlight w:val="none"/>
        </w:rPr>
        <w:t>8年的，</w:t>
      </w:r>
      <w:r>
        <w:rPr>
          <w:rFonts w:hint="eastAsia" w:ascii="仿宋" w:hAnsi="仿宋" w:eastAsia="仿宋" w:cs="仿宋"/>
          <w:color w:val="auto"/>
          <w:sz w:val="28"/>
          <w:szCs w:val="28"/>
          <w:highlight w:val="none"/>
        </w:rPr>
        <w:t>应当由子基金按照子基金协议约定的方式决策通过</w:t>
      </w:r>
      <w:r>
        <w:rPr>
          <w:rFonts w:ascii="仿宋" w:hAnsi="仿宋" w:eastAsia="仿宋" w:cs="仿宋"/>
          <w:color w:val="auto"/>
          <w:sz w:val="28"/>
          <w:szCs w:val="28"/>
          <w:highlight w:val="none"/>
        </w:rPr>
        <w:t>，但延长后的子基金存续期</w:t>
      </w:r>
      <w:r>
        <w:rPr>
          <w:rFonts w:hint="eastAsia" w:ascii="仿宋" w:hAnsi="仿宋" w:eastAsia="仿宋" w:cs="仿宋"/>
          <w:color w:val="auto"/>
          <w:sz w:val="28"/>
          <w:szCs w:val="28"/>
          <w:highlight w:val="none"/>
        </w:rPr>
        <w:t>原则上</w:t>
      </w:r>
      <w:r>
        <w:rPr>
          <w:rFonts w:ascii="仿宋" w:hAnsi="仿宋" w:eastAsia="仿宋" w:cs="仿宋"/>
          <w:color w:val="auto"/>
          <w:sz w:val="28"/>
          <w:szCs w:val="28"/>
          <w:highlight w:val="none"/>
        </w:rPr>
        <w:t>不得超过母基金的存续期限。</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（六）缴付出资</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1、原则上母基金应在其他拟出资人对子基金出资到位后出资；如与国家级、省市级政府产业引导基金等共同参股发起设立子基金的，按照最高级地区的有关规定执行；</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2、母基金应当按照子基金合伙协议的约定出资进度进行实缴出资；母基金的出资应当与子基金其他出资人按比例同步到位；</w:t>
      </w:r>
      <w:r>
        <w:rPr>
          <w:rFonts w:hint="eastAsia" w:ascii="仿宋" w:hAnsi="仿宋" w:eastAsia="仿宋" w:cs="仿宋"/>
          <w:color w:val="auto"/>
          <w:sz w:val="28"/>
          <w:szCs w:val="28"/>
          <w:highlight w:val="none"/>
        </w:rPr>
        <w:t>原则上母基金的出资进度不得快于其他出资人</w:t>
      </w:r>
      <w:r>
        <w:rPr>
          <w:rFonts w:hint="eastAsia" w:eastAsia="仿宋" w:cs="Times New Roman"/>
          <w:color w:val="auto"/>
          <w:sz w:val="28"/>
          <w:szCs w:val="28"/>
          <w:highlight w:val="none"/>
        </w:rPr>
        <w:t>。</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（七）资金托管</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1、子基金应委托具有一定资质、具有基金托管经验的商业银行进行托管。托管银行应当符合以下条件：</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（1）成立时间在5年以上的商业银行；</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（2）具有股权投资基金托管资格和经验；</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（3）有完善的基金托管、稽核监控和风险控制制度；</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（4）最近3年在基金托管业务方面无重大过失以及行政主管部门或司法机关处罚的不良记录。</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（八）投资领域</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子基金主要投资于医药健康、新一代信息技术、高端装备制造、新能源等国家战略新兴产业。</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（九）返投要求</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子基金可投实缴金额中投资于在南通市崇川区注册登记的企业的比例原则上不低于母基金对子基金实缴出资比例的</w:t>
      </w:r>
      <w:r>
        <w:rPr>
          <w:rFonts w:eastAsia="仿宋" w:cs="Times New Roman"/>
          <w:color w:val="auto"/>
          <w:sz w:val="28"/>
          <w:szCs w:val="28"/>
          <w:highlight w:val="none"/>
        </w:rPr>
        <w:t>1.5</w:t>
      </w:r>
      <w:r>
        <w:rPr>
          <w:rFonts w:hint="eastAsia" w:eastAsia="仿宋" w:cs="Times New Roman"/>
          <w:color w:val="auto"/>
          <w:sz w:val="28"/>
          <w:szCs w:val="28"/>
          <w:highlight w:val="none"/>
        </w:rPr>
        <w:t>倍。</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（十）投资限额</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1、子基金单个项目的投资金额原则上不超过子基金总规模的20%。</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2、在子基金投资期内，子基金可对其已投项目进行追加投资，用于追加投资的额度不超过子基金总规模的10%，追加投资后单个项目累计投资额不超过子基金总规模的30%。</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（十一）管理费用</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宝月湖母基金出资部分的管理费在投资期以实缴出资金额为计提基数，退出期以未退出原始投资成本为计提基数，投资期与退出期均不超过1.5%/年（天使类创投基金可放宽至1.8%/年），延长期、清算期不收取管理费。</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2、子基金管理人对母基金收取管理费的标准不得高于其他出资人；</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3、如子基金执行事务合伙人收取执行事务合伙人报酬的，则子基金管理人收取的管理费以及子基金执行事务合伙人收取的执行事务合伙人报酬合计不应当超过上述标准。</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4、母基金管理人应当与子基金管理人或执行事务合伙人设立绩效评价机制，母基金出资部分管理费的计提应当与绩效评价结果挂钩，即每年实际计提的管理费为当年度应计提金额的80%；10%与当年度绩效评价结果挂钩，当年度绩效评价结果为差的不予计提；剩余10%在子基金清算时一次性计提，子基金清算时未完全收回本金的不予计提。</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（十二）收益分配</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子基金投资项目退出后，投资回收资金不得再用于对外投资，须及时按合伙协议（或公司章程）约定向投资人进行分配。分配采取整体“先回本后分利”方式，投资回收资金先按照子基金各出资人实缴出资比例分配给各出资人，直至各出资人收回全部实缴出资，剩余的投资收益再按照子基金合伙协议（或公司章程）等约定的方式予以分配。</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（十三）投资决策</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采取市场化机制运作，由子基金管理机构依据合伙协议（或公司章程）等相关约定进行投资决策。母基金在子基金中出资比例超过10%（含）的，母基金管理人有权要求加强管控，包括委派观察员、委派投委会成员。</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（十四）基金关键人士</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1、原则上认缴总金额在2亿及以下的子基金须至少</w:t>
      </w:r>
      <w:r>
        <w:rPr>
          <w:rFonts w:eastAsia="仿宋" w:cs="Times New Roman"/>
          <w:color w:val="auto"/>
          <w:sz w:val="28"/>
          <w:szCs w:val="28"/>
          <w:highlight w:val="none"/>
        </w:rPr>
        <w:t>锁定</w:t>
      </w:r>
      <w:r>
        <w:rPr>
          <w:rFonts w:hint="eastAsia" w:eastAsia="仿宋" w:cs="Times New Roman"/>
          <w:color w:val="auto"/>
          <w:sz w:val="28"/>
          <w:szCs w:val="28"/>
          <w:highlight w:val="none"/>
        </w:rPr>
        <w:t>一名基金关键人士，认缴总金额在2亿以上的子基金须至少</w:t>
      </w:r>
      <w:r>
        <w:rPr>
          <w:rFonts w:eastAsia="仿宋" w:cs="Times New Roman"/>
          <w:color w:val="auto"/>
          <w:sz w:val="28"/>
          <w:szCs w:val="28"/>
          <w:highlight w:val="none"/>
        </w:rPr>
        <w:t>锁定</w:t>
      </w:r>
      <w:r>
        <w:rPr>
          <w:rFonts w:hint="eastAsia" w:eastAsia="仿宋" w:cs="Times New Roman"/>
          <w:color w:val="auto"/>
          <w:sz w:val="28"/>
          <w:szCs w:val="28"/>
          <w:highlight w:val="none"/>
        </w:rPr>
        <w:t>二名基金关键人士。</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2、被锁定的基金关键人士如发生变动须经合伙人大会或股东（大）会等子基金相关权利机构表决通过。</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3、在子基金完成70%的投资进度之前，被锁定的基金关键人士不得作为与子基金投资领域、投资地域相同的其他基金的关键人士。</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（十五）信息披露</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1、子基金管理人应当建立子基金重大事项信息披露制度。子基金管理人须定期向母基金管理人提交子基金运营报告、经审计的子基金财务报告和银行托管报告等。</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2、母基金管理人视实际需要可委托专业机构对子基金进行审计，子基金管理人应当予以配合。</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（十六）风险控制</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1、子基金不得从事以下业务：</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（1）从事担保、抵押、委托贷款等业务;</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（2）投资二级市场股票（参与上市公司定向增发除外）、期货、房地产、证券投资基金、企业债、信托产品、理财产品、保险计划及其他金融衍生品;</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（3）向任何第三方提供赞助、捐赠;</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（4）吸收或变相吸收存款，或向第三方提供贷款和资金拆借；</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（5）进行承担无限连带责任的对外投资；</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（6）发行信托或集合理财产品等方式违规募集资金；</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（7）名股实债、名基实储；</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（8）投向国家禁止、限制投资或者不符合国家相关产业政策的项目；</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（9）将基金投资作为招商引资优惠条件；</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（10）其他法律法规禁止从事的业务。</w:t>
      </w:r>
    </w:p>
    <w:p>
      <w:pPr>
        <w:widowControl/>
        <w:numPr>
          <w:ilvl w:val="255"/>
          <w:numId w:val="0"/>
        </w:numPr>
        <w:ind w:firstLine="560" w:firstLineChars="200"/>
        <w:rPr>
          <w:rFonts w:ascii="仿宋" w:hAnsi="仿宋" w:eastAsia="仿宋" w:cs="仿宋"/>
          <w:color w:val="auto"/>
          <w:sz w:val="28"/>
          <w:szCs w:val="28"/>
          <w:highlight w:val="none"/>
        </w:rPr>
      </w:pPr>
      <w:r>
        <w:rPr>
          <w:rFonts w:hint="eastAsia" w:eastAsia="仿宋" w:cs="Times New Roman"/>
          <w:color w:val="auto"/>
          <w:sz w:val="28"/>
          <w:szCs w:val="28"/>
          <w:highlight w:val="none"/>
        </w:rPr>
        <w:t>3</w:t>
      </w:r>
      <w:r>
        <w:rPr>
          <w:rFonts w:hint="eastAsia" w:ascii="仿宋" w:hAnsi="仿宋" w:eastAsia="仿宋" w:cs="仿宋"/>
          <w:color w:val="auto"/>
          <w:kern w:val="0"/>
          <w:sz w:val="28"/>
          <w:szCs w:val="28"/>
          <w:highlight w:val="none"/>
          <w:lang w:bidi="ar"/>
        </w:rPr>
        <w:t>.子基金有下列情况之一的，宝月湖母基金有权暂停出资或要求退出：</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申报材料存在虚假信息；</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子基金未按合伙协议（或公司章程）约定投资且未能有效整改的</w:t>
      </w:r>
      <w:r>
        <w:rPr>
          <w:rFonts w:ascii="仿宋" w:hAnsi="仿宋" w:eastAsia="仿宋" w:cs="仿宋"/>
          <w:color w:val="auto"/>
          <w:sz w:val="28"/>
          <w:szCs w:val="28"/>
          <w:highlight w:val="none"/>
        </w:rPr>
        <w:t>；</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子基金合伙协议或公司章程签署后2个月内未完成子基金工商设立登记的；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子基金合伙协议或公司章程签署后，子基金所有出资人未在6个月之内完成首期出资的及子基金未在中国证券投资基金业协会基金完成备案的；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母基金出资资金拨付至子基金账户后6个月及以上，子基金未开展投资业务的（以投资项目完成交割为准）</w:t>
      </w:r>
      <w:r>
        <w:rPr>
          <w:rFonts w:ascii="仿宋" w:hAnsi="仿宋" w:eastAsia="仿宋" w:cs="仿宋"/>
          <w:color w:val="auto"/>
          <w:sz w:val="28"/>
          <w:szCs w:val="28"/>
          <w:highlight w:val="none"/>
        </w:rPr>
        <w:t>；</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子基金投资项目不符合母基金投资政策目标的；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子基金未能完成返投要求的；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因子基金管理人、执行事务合伙人、其他出资人故意或重大过失行为严重损害母基金利益的，或出现重大风险事项未按规定主动向母基金披露的；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子基金运营过程中有违法违规行为并被依法查处的；</w:t>
      </w:r>
    </w:p>
    <w:p>
      <w:pPr>
        <w:pStyle w:val="20"/>
        <w:widowControl/>
        <w:numPr>
          <w:ilvl w:val="0"/>
          <w:numId w:val="2"/>
        </w:numPr>
        <w:spacing w:before="156" w:beforeAutospacing="0" w:afterAutospacing="0"/>
        <w:ind w:firstLine="560" w:firstLineChars="200"/>
        <w:jc w:val="both"/>
        <w:rPr>
          <w:rFonts w:ascii="仿宋" w:hAnsi="仿宋" w:eastAsia="仿宋" w:cs="仿宋"/>
          <w:color w:val="auto"/>
          <w:sz w:val="28"/>
          <w:szCs w:val="28"/>
          <w:highlight w:val="none"/>
        </w:rPr>
      </w:pPr>
      <w:r>
        <w:rPr>
          <w:rFonts w:hint="eastAsia" w:eastAsia="仿宋"/>
          <w:color w:val="auto"/>
          <w:sz w:val="28"/>
          <w:szCs w:val="28"/>
          <w:highlight w:val="none"/>
        </w:rPr>
        <w:t>子基金管理机构发生实质性变化且未经子基金相关权力机构决策通过的。实质变化包括但不限于：</w:t>
      </w:r>
    </w:p>
    <w:p>
      <w:pPr>
        <w:pStyle w:val="20"/>
        <w:widowControl/>
        <w:numPr>
          <w:ilvl w:val="4"/>
          <w:numId w:val="3"/>
        </w:numPr>
        <w:tabs>
          <w:tab w:val="left" w:pos="1134"/>
        </w:tabs>
        <w:spacing w:before="156" w:beforeAutospacing="0" w:afterAutospacing="0"/>
        <w:ind w:left="1069" w:leftChars="266" w:hanging="431" w:hangingChars="154"/>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子基金管理人的主要股东（公司制）或普通合伙人（合伙制）发生实质性变化，或者子基金管理人的实际控制人发生变化的；</w:t>
      </w:r>
    </w:p>
    <w:p>
      <w:pPr>
        <w:pStyle w:val="20"/>
        <w:widowControl/>
        <w:numPr>
          <w:ilvl w:val="4"/>
          <w:numId w:val="3"/>
        </w:numPr>
        <w:tabs>
          <w:tab w:val="left" w:pos="1134"/>
        </w:tabs>
        <w:spacing w:before="156" w:beforeAutospacing="0" w:afterAutospacing="0"/>
        <w:ind w:left="1069" w:leftChars="266" w:hanging="431" w:hangingChars="154"/>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子基金管理人出现被中国证券投资基金业协会列入异常经营机构名单持续超过3个月，或者被采取暂停办理备案、限制相关业务活动超过3个月，或者被注销基金管理人资质的；</w:t>
      </w:r>
    </w:p>
    <w:p>
      <w:pPr>
        <w:pStyle w:val="20"/>
        <w:widowControl/>
        <w:numPr>
          <w:ilvl w:val="4"/>
          <w:numId w:val="3"/>
        </w:numPr>
        <w:tabs>
          <w:tab w:val="left" w:pos="1134"/>
        </w:tabs>
        <w:spacing w:before="156" w:beforeAutospacing="0" w:afterAutospacing="0"/>
        <w:ind w:left="1069" w:leftChars="266" w:hanging="431" w:hangingChars="154"/>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锁定的基金关键人士或管理团队核心人员半数（含）以上发生变化等情况。</w:t>
      </w:r>
    </w:p>
    <w:p>
      <w:pPr>
        <w:pStyle w:val="20"/>
        <w:widowControl/>
        <w:spacing w:before="156" w:beforeAutospacing="0" w:afterAutospacing="0"/>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4.履约保证。子基金管理机构在提交申报材料的同时，应向母基金管理人提交《承诺函》，子基金运营中存在前述所列违规行为的，母基金可视情节严重程度采取公开曝光、行业谴责、强制退出等措施，并追究其相应责任；并自该等行为发生之日五年内，子基金管理机构及相关人员皆不得向母基金申请设立新的子基金。</w:t>
      </w:r>
    </w:p>
    <w:p>
      <w:pPr>
        <w:spacing w:before="312" w:beforeLines="100" w:line="360" w:lineRule="auto"/>
        <w:ind w:firstLine="562" w:firstLineChars="200"/>
        <w:outlineLvl w:val="0"/>
        <w:rPr>
          <w:rFonts w:eastAsia="仿宋" w:cs="Times New Roman"/>
          <w:b/>
          <w:color w:val="auto"/>
          <w:sz w:val="28"/>
          <w:szCs w:val="28"/>
          <w:highlight w:val="none"/>
        </w:rPr>
      </w:pPr>
      <w:r>
        <w:rPr>
          <w:rFonts w:hint="eastAsia" w:eastAsia="仿宋" w:cs="Times New Roman"/>
          <w:b/>
          <w:color w:val="auto"/>
          <w:sz w:val="28"/>
          <w:szCs w:val="28"/>
          <w:highlight w:val="none"/>
        </w:rPr>
        <w:t>四、子基金遴选流程</w:t>
      </w:r>
    </w:p>
    <w:p>
      <w:pPr>
        <w:spacing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（一）征集</w:t>
      </w:r>
    </w:p>
    <w:p>
      <w:pPr>
        <w:spacing w:line="360" w:lineRule="auto"/>
        <w:ind w:firstLine="560" w:firstLineChars="200"/>
        <w:rPr>
          <w:rFonts w:eastAsia="仿宋" w:cs="Times New Roman"/>
          <w:color w:val="auto"/>
          <w:sz w:val="28"/>
          <w:szCs w:val="28"/>
          <w:highlight w:val="none"/>
        </w:rPr>
      </w:pPr>
      <w:r>
        <w:rPr>
          <w:rFonts w:hint="eastAsia" w:ascii="仿宋" w:hAnsi="仿宋" w:eastAsia="仿宋" w:cs="仿宋"/>
          <w:color w:val="auto"/>
          <w:kern w:val="0"/>
          <w:sz w:val="28"/>
          <w:szCs w:val="28"/>
          <w:highlight w:val="none"/>
          <w:lang w:bidi="ar"/>
        </w:rPr>
        <w:t>由母基金管理人按照年度投资计划和投资方向，在母基金管理人微信公众号发布征集公告</w:t>
      </w:r>
      <w:r>
        <w:rPr>
          <w:rFonts w:hint="eastAsia" w:eastAsia="仿宋" w:cs="Times New Roman"/>
          <w:color w:val="auto"/>
          <w:sz w:val="28"/>
          <w:szCs w:val="28"/>
          <w:highlight w:val="none"/>
        </w:rPr>
        <w:t>。</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（二）机构申报</w:t>
      </w:r>
    </w:p>
    <w:p>
      <w:pPr>
        <w:spacing w:line="360" w:lineRule="auto"/>
        <w:ind w:firstLine="560" w:firstLineChars="200"/>
        <w:rPr>
          <w:rFonts w:eastAsia="仿宋" w:cs="Times New Roman"/>
          <w:color w:val="auto"/>
          <w:sz w:val="28"/>
          <w:szCs w:val="28"/>
          <w:highlight w:val="none"/>
        </w:rPr>
      </w:pPr>
      <w:r>
        <w:rPr>
          <w:rFonts w:hint="eastAsia" w:ascii="仿宋" w:hAnsi="仿宋" w:eastAsia="仿宋" w:cs="仿宋"/>
          <w:color w:val="auto"/>
          <w:kern w:val="0"/>
          <w:sz w:val="28"/>
          <w:szCs w:val="28"/>
          <w:highlight w:val="none"/>
          <w:lang w:bidi="ar"/>
        </w:rPr>
        <w:t>子基金申请机构向母基金管理人提交子基金设立合作方案和相关申请材料，母基金管理人根据母基金投资方向、投资条件等要求进行初步筛选</w:t>
      </w:r>
      <w:r>
        <w:rPr>
          <w:rFonts w:hint="eastAsia" w:eastAsia="仿宋" w:cs="Times New Roman"/>
          <w:color w:val="auto"/>
          <w:sz w:val="28"/>
          <w:szCs w:val="28"/>
          <w:highlight w:val="none"/>
        </w:rPr>
        <w:t>。</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（三）尽职调查</w:t>
      </w:r>
    </w:p>
    <w:p>
      <w:pPr>
        <w:spacing w:line="360" w:lineRule="auto"/>
        <w:ind w:firstLine="560" w:firstLineChars="200"/>
        <w:rPr>
          <w:rFonts w:eastAsia="仿宋" w:cs="Times New Roman"/>
          <w:color w:val="auto"/>
          <w:sz w:val="28"/>
          <w:szCs w:val="28"/>
          <w:highlight w:val="none"/>
        </w:rPr>
      </w:pPr>
      <w:r>
        <w:rPr>
          <w:rFonts w:hint="eastAsia" w:ascii="仿宋" w:hAnsi="仿宋" w:eastAsia="仿宋" w:cs="仿宋"/>
          <w:color w:val="auto"/>
          <w:kern w:val="0"/>
          <w:sz w:val="28"/>
          <w:szCs w:val="28"/>
          <w:highlight w:val="none"/>
          <w:lang w:bidi="ar"/>
        </w:rPr>
        <w:t>母基金管理人对符合条件的子基金申请机构、管理机构开展尽职调查，编制尽职调查报告，形成投资建议书</w:t>
      </w:r>
      <w:r>
        <w:rPr>
          <w:rFonts w:hint="eastAsia" w:eastAsia="仿宋" w:cs="Times New Roman"/>
          <w:color w:val="auto"/>
          <w:sz w:val="28"/>
          <w:szCs w:val="28"/>
          <w:highlight w:val="none"/>
        </w:rPr>
        <w:t>。</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（五）投资决策</w:t>
      </w:r>
    </w:p>
    <w:p>
      <w:pPr>
        <w:spacing w:line="360" w:lineRule="auto"/>
        <w:ind w:firstLine="560" w:firstLineChars="200"/>
        <w:rPr>
          <w:rFonts w:eastAsia="仿宋" w:cs="Times New Roman"/>
          <w:color w:val="auto"/>
          <w:sz w:val="28"/>
          <w:szCs w:val="28"/>
          <w:highlight w:val="none"/>
        </w:rPr>
      </w:pPr>
      <w:r>
        <w:rPr>
          <w:rFonts w:hint="eastAsia" w:ascii="仿宋" w:hAnsi="仿宋" w:eastAsia="仿宋" w:cs="仿宋"/>
          <w:color w:val="auto"/>
          <w:kern w:val="0"/>
          <w:sz w:val="28"/>
          <w:szCs w:val="28"/>
          <w:highlight w:val="none"/>
          <w:lang w:bidi="ar"/>
        </w:rPr>
        <w:t>母基金管理人履行决策流程后确定遴选结果</w:t>
      </w:r>
      <w:r>
        <w:rPr>
          <w:rFonts w:hint="eastAsia" w:eastAsia="仿宋" w:cs="Times New Roman"/>
          <w:color w:val="auto"/>
          <w:sz w:val="28"/>
          <w:szCs w:val="28"/>
          <w:highlight w:val="none"/>
        </w:rPr>
        <w:t>。</w:t>
      </w:r>
    </w:p>
    <w:p>
      <w:pPr>
        <w:spacing w:before="312" w:beforeLines="100" w:line="360" w:lineRule="auto"/>
        <w:ind w:firstLine="562" w:firstLineChars="200"/>
        <w:outlineLvl w:val="1"/>
        <w:rPr>
          <w:rFonts w:eastAsia="仿宋" w:cs="Times New Roman"/>
          <w:b/>
          <w:bCs/>
          <w:color w:val="auto"/>
          <w:sz w:val="28"/>
          <w:szCs w:val="28"/>
          <w:highlight w:val="none"/>
        </w:rPr>
      </w:pPr>
      <w:r>
        <w:rPr>
          <w:rFonts w:hint="eastAsia" w:eastAsia="仿宋" w:cs="Times New Roman"/>
          <w:b/>
          <w:bCs/>
          <w:color w:val="auto"/>
          <w:sz w:val="28"/>
          <w:szCs w:val="28"/>
          <w:highlight w:val="none"/>
        </w:rPr>
        <w:t>（五）法律文件签署</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母基金管理人将及时与子基金管理人开展子基金合伙协议（或公司章程）等各项法律文件的起草、谈判、修订工作，形成最终版本后由母基金签署盖章，并按照合伙协议或公司章程的约定缴付出资。</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自母基金投资决策委员会对子基金方案表决通过后6个月内，子基金管理人未与母基金签署合伙协议或公司章程的，母基金投资决策文件失效。</w:t>
      </w: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母基金相关投资决策文件失效的，子基金管理人可另行申请。</w:t>
      </w:r>
    </w:p>
    <w:p>
      <w:pPr>
        <w:spacing w:line="360" w:lineRule="auto"/>
        <w:ind w:firstLine="560" w:firstLineChars="200"/>
        <w:rPr>
          <w:rFonts w:eastAsia="仿宋" w:cs="Times New Roman"/>
          <w:color w:val="auto"/>
          <w:sz w:val="28"/>
          <w:szCs w:val="28"/>
          <w:highlight w:val="none"/>
        </w:rPr>
      </w:pPr>
    </w:p>
    <w:p>
      <w:pPr>
        <w:spacing w:line="360" w:lineRule="auto"/>
        <w:ind w:firstLine="560" w:firstLineChars="200"/>
        <w:rPr>
          <w:rFonts w:eastAsia="仿宋" w:cs="Times New Roman"/>
          <w:color w:val="auto"/>
          <w:sz w:val="28"/>
          <w:szCs w:val="28"/>
          <w:highlight w:val="none"/>
        </w:rPr>
      </w:pPr>
      <w:r>
        <w:rPr>
          <w:rFonts w:hint="eastAsia" w:eastAsia="仿宋" w:cs="Times New Roman"/>
          <w:color w:val="auto"/>
          <w:sz w:val="28"/>
          <w:szCs w:val="28"/>
          <w:highlight w:val="none"/>
        </w:rPr>
        <w:t>本遴选办法自发布之日起实施。母基金有权对本遴选办法进行解释和修订。</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PMingLiU">
    <w:altName w:val="宋体-繁"/>
    <w:panose1 w:val="02020500000000000000"/>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uto" w:vAnchor="text" w:hAnchor="margin" w:xAlign="center" w:y="1"/>
      <w:rPr>
        <w:rStyle w:val="26"/>
      </w:rPr>
    </w:pPr>
    <w:r>
      <w:rPr>
        <w:rStyle w:val="26"/>
        <w:rFonts w:hint="eastAsia"/>
      </w:rPr>
      <w:t xml:space="preserve">第 </w:t>
    </w:r>
    <w:sdt>
      <w:sdtPr>
        <w:rPr>
          <w:rStyle w:val="26"/>
        </w:rPr>
        <w:id w:val="375820726"/>
      </w:sdtPr>
      <w:sdtEndPr>
        <w:rPr>
          <w:rStyle w:val="26"/>
        </w:rPr>
      </w:sdtEndPr>
      <w:sdtContent>
        <w:r>
          <w:rPr>
            <w:rStyle w:val="26"/>
          </w:rPr>
          <w:fldChar w:fldCharType="begin"/>
        </w:r>
        <w:r>
          <w:rPr>
            <w:rStyle w:val="26"/>
          </w:rPr>
          <w:instrText xml:space="preserve"> PAGE </w:instrText>
        </w:r>
        <w:r>
          <w:rPr>
            <w:rStyle w:val="26"/>
          </w:rPr>
          <w:fldChar w:fldCharType="separate"/>
        </w:r>
        <w:r>
          <w:rPr>
            <w:rStyle w:val="26"/>
          </w:rPr>
          <w:t>2</w:t>
        </w:r>
        <w:r>
          <w:rPr>
            <w:rStyle w:val="26"/>
          </w:rPr>
          <w:fldChar w:fldCharType="end"/>
        </w:r>
        <w:r>
          <w:rPr>
            <w:rStyle w:val="26"/>
            <w:rFonts w:hint="eastAsia"/>
          </w:rPr>
          <w:t xml:space="preserve"> 页</w:t>
        </w:r>
      </w:sdtContent>
    </w:sdt>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Pr>
      <w:id w:val="305825293"/>
    </w:sdtPr>
    <w:sdtEndPr>
      <w:rPr>
        <w:rStyle w:val="26"/>
      </w:rPr>
    </w:sdtEndPr>
    <w:sdtContent>
      <w:p>
        <w:pPr>
          <w:pStyle w:val="15"/>
          <w:framePr w:wrap="auto" w:vAnchor="text" w:hAnchor="margin" w:xAlign="center" w:y="1"/>
          <w:rPr>
            <w:rStyle w:val="26"/>
          </w:rPr>
        </w:pPr>
        <w:r>
          <w:rPr>
            <w:rStyle w:val="26"/>
          </w:rPr>
          <w:fldChar w:fldCharType="begin"/>
        </w:r>
        <w:r>
          <w:rPr>
            <w:rStyle w:val="26"/>
          </w:rPr>
          <w:instrText xml:space="preserve"> PAGE </w:instrText>
        </w:r>
        <w:r>
          <w:rPr>
            <w:rStyle w:val="26"/>
          </w:rP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E2CC6"/>
    <w:multiLevelType w:val="multilevel"/>
    <w:tmpl w:val="211E2CC6"/>
    <w:lvl w:ilvl="0" w:tentative="0">
      <w:start w:val="1"/>
      <w:numFmt w:val="chineseCounting"/>
      <w:pStyle w:val="2"/>
      <w:suff w:val="space"/>
      <w:lvlText w:val="第%1节"/>
      <w:lvlJc w:val="left"/>
      <w:pPr>
        <w:ind w:left="0" w:firstLine="0"/>
      </w:pPr>
      <w:rPr>
        <w:rFonts w:hint="eastAsia" w:ascii="黑体" w:hAnsi="黑体" w:eastAsia="黑体"/>
        <w:b w:val="0"/>
        <w:i w:val="0"/>
        <w:sz w:val="32"/>
      </w:rPr>
    </w:lvl>
    <w:lvl w:ilvl="1" w:tentative="0">
      <w:start w:val="1"/>
      <w:numFmt w:val="chineseCounting"/>
      <w:pStyle w:val="4"/>
      <w:suff w:val="nothing"/>
      <w:lvlText w:val="%2、"/>
      <w:lvlJc w:val="left"/>
      <w:pPr>
        <w:ind w:left="0" w:firstLine="0"/>
      </w:pPr>
      <w:rPr>
        <w:rFonts w:hint="default"/>
        <w:b w:val="0"/>
        <w:i w:val="0"/>
        <w:sz w:val="28"/>
      </w:rPr>
    </w:lvl>
    <w:lvl w:ilvl="2" w:tentative="0">
      <w:start w:val="1"/>
      <w:numFmt w:val="chineseCounting"/>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5639B46"/>
    <w:multiLevelType w:val="singleLevel"/>
    <w:tmpl w:val="45639B46"/>
    <w:lvl w:ilvl="0" w:tentative="0">
      <w:start w:val="1"/>
      <w:numFmt w:val="decimal"/>
      <w:suff w:val="nothing"/>
      <w:lvlText w:val="（%1）"/>
      <w:lvlJc w:val="left"/>
      <w:pPr>
        <w:ind w:left="0" w:firstLine="0"/>
      </w:pPr>
    </w:lvl>
  </w:abstractNum>
  <w:abstractNum w:abstractNumId="2">
    <w:nsid w:val="7EDCBA6D"/>
    <w:multiLevelType w:val="multilevel"/>
    <w:tmpl w:val="7EDCBA6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DC"/>
    <w:rsid w:val="00003434"/>
    <w:rsid w:val="00006937"/>
    <w:rsid w:val="00017D49"/>
    <w:rsid w:val="000463C1"/>
    <w:rsid w:val="000721BD"/>
    <w:rsid w:val="00087737"/>
    <w:rsid w:val="00087F5D"/>
    <w:rsid w:val="00105214"/>
    <w:rsid w:val="00125EFC"/>
    <w:rsid w:val="0017649F"/>
    <w:rsid w:val="001A0CA0"/>
    <w:rsid w:val="001C5963"/>
    <w:rsid w:val="001C5CE7"/>
    <w:rsid w:val="001E0218"/>
    <w:rsid w:val="00221BF8"/>
    <w:rsid w:val="00241AE8"/>
    <w:rsid w:val="00252422"/>
    <w:rsid w:val="00254E96"/>
    <w:rsid w:val="002C2EA9"/>
    <w:rsid w:val="002C56F6"/>
    <w:rsid w:val="002D3E69"/>
    <w:rsid w:val="00301862"/>
    <w:rsid w:val="0030757A"/>
    <w:rsid w:val="0031037B"/>
    <w:rsid w:val="0031468A"/>
    <w:rsid w:val="003349AC"/>
    <w:rsid w:val="00335048"/>
    <w:rsid w:val="00340763"/>
    <w:rsid w:val="003549CD"/>
    <w:rsid w:val="00392A51"/>
    <w:rsid w:val="003D68D7"/>
    <w:rsid w:val="003E2E84"/>
    <w:rsid w:val="003E3581"/>
    <w:rsid w:val="00410A1F"/>
    <w:rsid w:val="004303DC"/>
    <w:rsid w:val="0043595C"/>
    <w:rsid w:val="004548A8"/>
    <w:rsid w:val="0047753B"/>
    <w:rsid w:val="00485CBC"/>
    <w:rsid w:val="004A09A3"/>
    <w:rsid w:val="004A14EA"/>
    <w:rsid w:val="004A73D7"/>
    <w:rsid w:val="004B1074"/>
    <w:rsid w:val="004B6A97"/>
    <w:rsid w:val="004C6343"/>
    <w:rsid w:val="004E6939"/>
    <w:rsid w:val="00542DD6"/>
    <w:rsid w:val="00556977"/>
    <w:rsid w:val="0056046A"/>
    <w:rsid w:val="00572D00"/>
    <w:rsid w:val="00577BCD"/>
    <w:rsid w:val="005C1FBC"/>
    <w:rsid w:val="005D2F41"/>
    <w:rsid w:val="005E2D58"/>
    <w:rsid w:val="00611D00"/>
    <w:rsid w:val="00614719"/>
    <w:rsid w:val="006177E3"/>
    <w:rsid w:val="006212AF"/>
    <w:rsid w:val="00630214"/>
    <w:rsid w:val="00641B67"/>
    <w:rsid w:val="0065122E"/>
    <w:rsid w:val="00672B06"/>
    <w:rsid w:val="006906A7"/>
    <w:rsid w:val="006A3160"/>
    <w:rsid w:val="006A52CD"/>
    <w:rsid w:val="006A6347"/>
    <w:rsid w:val="006B07C6"/>
    <w:rsid w:val="006B6478"/>
    <w:rsid w:val="006C3CC6"/>
    <w:rsid w:val="006E15DD"/>
    <w:rsid w:val="006E3040"/>
    <w:rsid w:val="00701200"/>
    <w:rsid w:val="00715A07"/>
    <w:rsid w:val="00726805"/>
    <w:rsid w:val="0073322F"/>
    <w:rsid w:val="00734BE6"/>
    <w:rsid w:val="00760932"/>
    <w:rsid w:val="0076144B"/>
    <w:rsid w:val="007650DC"/>
    <w:rsid w:val="0079266B"/>
    <w:rsid w:val="00797315"/>
    <w:rsid w:val="007E1548"/>
    <w:rsid w:val="007F3296"/>
    <w:rsid w:val="008066E7"/>
    <w:rsid w:val="008202E0"/>
    <w:rsid w:val="00833CC8"/>
    <w:rsid w:val="00834B5A"/>
    <w:rsid w:val="00835E69"/>
    <w:rsid w:val="0088215C"/>
    <w:rsid w:val="00884224"/>
    <w:rsid w:val="008A399F"/>
    <w:rsid w:val="008A56D5"/>
    <w:rsid w:val="008B6395"/>
    <w:rsid w:val="008B7831"/>
    <w:rsid w:val="008C1457"/>
    <w:rsid w:val="008D22FB"/>
    <w:rsid w:val="008D56D5"/>
    <w:rsid w:val="008E4294"/>
    <w:rsid w:val="00901C9E"/>
    <w:rsid w:val="009135C9"/>
    <w:rsid w:val="009239D2"/>
    <w:rsid w:val="00927F8C"/>
    <w:rsid w:val="00934D41"/>
    <w:rsid w:val="009503D3"/>
    <w:rsid w:val="00962D3E"/>
    <w:rsid w:val="00973872"/>
    <w:rsid w:val="009851E5"/>
    <w:rsid w:val="0099085E"/>
    <w:rsid w:val="00993997"/>
    <w:rsid w:val="009A37A1"/>
    <w:rsid w:val="009C0746"/>
    <w:rsid w:val="009C6425"/>
    <w:rsid w:val="009D1834"/>
    <w:rsid w:val="009E26BA"/>
    <w:rsid w:val="009E33F5"/>
    <w:rsid w:val="009F18C9"/>
    <w:rsid w:val="00A0229E"/>
    <w:rsid w:val="00A10F3E"/>
    <w:rsid w:val="00A21B70"/>
    <w:rsid w:val="00A25EE8"/>
    <w:rsid w:val="00A3142C"/>
    <w:rsid w:val="00A349DC"/>
    <w:rsid w:val="00A36504"/>
    <w:rsid w:val="00A44B01"/>
    <w:rsid w:val="00A71C19"/>
    <w:rsid w:val="00A730E8"/>
    <w:rsid w:val="00A77D34"/>
    <w:rsid w:val="00A961B7"/>
    <w:rsid w:val="00AB1842"/>
    <w:rsid w:val="00AC7233"/>
    <w:rsid w:val="00AD0821"/>
    <w:rsid w:val="00AD3106"/>
    <w:rsid w:val="00AE2E86"/>
    <w:rsid w:val="00AE7D1F"/>
    <w:rsid w:val="00AF2045"/>
    <w:rsid w:val="00AF2771"/>
    <w:rsid w:val="00B112EF"/>
    <w:rsid w:val="00B16710"/>
    <w:rsid w:val="00B21855"/>
    <w:rsid w:val="00B45C73"/>
    <w:rsid w:val="00BA65E3"/>
    <w:rsid w:val="00BC10E9"/>
    <w:rsid w:val="00C1198B"/>
    <w:rsid w:val="00C248C8"/>
    <w:rsid w:val="00C32296"/>
    <w:rsid w:val="00C3409F"/>
    <w:rsid w:val="00C917AD"/>
    <w:rsid w:val="00C96C02"/>
    <w:rsid w:val="00C97EBD"/>
    <w:rsid w:val="00CB0ECF"/>
    <w:rsid w:val="00CD511B"/>
    <w:rsid w:val="00CE7728"/>
    <w:rsid w:val="00CF031A"/>
    <w:rsid w:val="00CF7196"/>
    <w:rsid w:val="00D0340A"/>
    <w:rsid w:val="00D14D4C"/>
    <w:rsid w:val="00D166B7"/>
    <w:rsid w:val="00D20DB5"/>
    <w:rsid w:val="00D277B9"/>
    <w:rsid w:val="00D40ABB"/>
    <w:rsid w:val="00D4188A"/>
    <w:rsid w:val="00D5396A"/>
    <w:rsid w:val="00D96BA1"/>
    <w:rsid w:val="00DA0CEA"/>
    <w:rsid w:val="00DB0589"/>
    <w:rsid w:val="00DB7970"/>
    <w:rsid w:val="00DC5D00"/>
    <w:rsid w:val="00DF07E7"/>
    <w:rsid w:val="00E1308E"/>
    <w:rsid w:val="00E148D2"/>
    <w:rsid w:val="00E3283D"/>
    <w:rsid w:val="00E376FB"/>
    <w:rsid w:val="00E50F4B"/>
    <w:rsid w:val="00E63352"/>
    <w:rsid w:val="00E80272"/>
    <w:rsid w:val="00E85534"/>
    <w:rsid w:val="00E946F0"/>
    <w:rsid w:val="00EA14F1"/>
    <w:rsid w:val="00EA4DCB"/>
    <w:rsid w:val="00EB4E15"/>
    <w:rsid w:val="00EB7D12"/>
    <w:rsid w:val="00EE0117"/>
    <w:rsid w:val="00EF3D19"/>
    <w:rsid w:val="00F03CE5"/>
    <w:rsid w:val="00F05EF2"/>
    <w:rsid w:val="00F07AFE"/>
    <w:rsid w:val="00F1454F"/>
    <w:rsid w:val="00F22152"/>
    <w:rsid w:val="00F30603"/>
    <w:rsid w:val="00F6511E"/>
    <w:rsid w:val="00F76897"/>
    <w:rsid w:val="00F8450E"/>
    <w:rsid w:val="00FA36D7"/>
    <w:rsid w:val="00FC4232"/>
    <w:rsid w:val="00FD666B"/>
    <w:rsid w:val="00FE3A01"/>
    <w:rsid w:val="00FF5481"/>
    <w:rsid w:val="3E377BED"/>
    <w:rsid w:val="5736D3F0"/>
    <w:rsid w:val="75EF13D8"/>
    <w:rsid w:val="7954D393"/>
    <w:rsid w:val="7FA7D93E"/>
    <w:rsid w:val="9DBCA1DC"/>
    <w:rsid w:val="DF6F0032"/>
    <w:rsid w:val="E7CD6554"/>
    <w:rsid w:val="EFFE7401"/>
    <w:rsid w:val="F7BF8E3B"/>
    <w:rsid w:val="FEDC80C3"/>
    <w:rsid w:val="FFCD3A37"/>
    <w:rsid w:val="FFDE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next w:val="3"/>
    <w:link w:val="28"/>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sz w:val="32"/>
      <w:szCs w:val="44"/>
      <w:lang w:val="en-US" w:eastAsia="zh-CN" w:bidi="ar-SA"/>
    </w:rPr>
  </w:style>
  <w:style w:type="paragraph" w:styleId="4">
    <w:name w:val="heading 2"/>
    <w:next w:val="3"/>
    <w:link w:val="29"/>
    <w:qFormat/>
    <w:uiPriority w:val="1"/>
    <w:pPr>
      <w:keepNext/>
      <w:keepLines/>
      <w:numPr>
        <w:ilvl w:val="1"/>
        <w:numId w:val="1"/>
      </w:numPr>
      <w:spacing w:before="50" w:beforeLines="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30"/>
    <w:qFormat/>
    <w:uiPriority w:val="1"/>
    <w:pPr>
      <w:keepNext/>
      <w:keepLines/>
      <w:numPr>
        <w:ilvl w:val="2"/>
        <w:numId w:val="1"/>
      </w:numPr>
      <w:spacing w:before="50" w:beforeLines="50" w:afterLines="50" w:line="360" w:lineRule="auto"/>
      <w:jc w:val="both"/>
      <w:outlineLvl w:val="2"/>
    </w:pPr>
    <w:rPr>
      <w:rFonts w:ascii="Times New Roman" w:hAnsi="Times New Roman" w:eastAsia="黑体" w:cs="Times New Roman"/>
      <w:bCs/>
      <w:color w:val="000000"/>
      <w:sz w:val="24"/>
      <w:szCs w:val="24"/>
      <w:lang w:val="en-US" w:eastAsia="ar-SA" w:bidi="ar-SA"/>
    </w:rPr>
  </w:style>
  <w:style w:type="paragraph" w:styleId="6">
    <w:name w:val="heading 4"/>
    <w:next w:val="3"/>
    <w:link w:val="31"/>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32"/>
    <w:qFormat/>
    <w:uiPriority w:val="1"/>
    <w:pPr>
      <w:keepNext/>
      <w:keepLines/>
      <w:numPr>
        <w:ilvl w:val="4"/>
        <w:numId w:val="1"/>
      </w:numPr>
      <w:spacing w:before="50" w:beforeLines="50" w:after="50" w:afterLines="50" w:line="360" w:lineRule="auto"/>
      <w:ind w:firstLine="482"/>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33"/>
    <w:qFormat/>
    <w:uiPriority w:val="1"/>
    <w:pPr>
      <w:numPr>
        <w:ilvl w:val="5"/>
        <w:numId w:val="1"/>
      </w:numPr>
      <w:spacing w:before="50" w:beforeLines="50" w:after="50" w:afterLines="50" w:line="360" w:lineRule="auto"/>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34"/>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paragraph" w:styleId="10">
    <w:name w:val="heading 8"/>
    <w:basedOn w:val="1"/>
    <w:next w:val="1"/>
    <w:link w:val="3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2">
    <w:name w:val="annotation text"/>
    <w:basedOn w:val="1"/>
    <w:link w:val="50"/>
    <w:semiHidden/>
    <w:unhideWhenUsed/>
    <w:qFormat/>
    <w:uiPriority w:val="0"/>
    <w:pPr>
      <w:jc w:val="left"/>
    </w:pPr>
    <w:rPr>
      <w:rFonts w:asciiTheme="minorHAnsi" w:hAnsiTheme="minorHAnsi" w:eastAsiaTheme="minorEastAsia"/>
      <w:sz w:val="21"/>
      <w:szCs w:val="24"/>
    </w:rPr>
  </w:style>
  <w:style w:type="paragraph" w:styleId="13">
    <w:name w:val="Body Text"/>
    <w:basedOn w:val="1"/>
    <w:link w:val="51"/>
    <w:semiHidden/>
    <w:unhideWhenUsed/>
    <w:qFormat/>
    <w:uiPriority w:val="99"/>
    <w:pPr>
      <w:spacing w:after="120"/>
    </w:pPr>
  </w:style>
  <w:style w:type="paragraph" w:styleId="14">
    <w:name w:val="toc 3"/>
    <w:basedOn w:val="1"/>
    <w:next w:val="1"/>
    <w:unhideWhenUsed/>
    <w:qFormat/>
    <w:uiPriority w:val="39"/>
    <w:pPr>
      <w:ind w:left="840" w:leftChars="400"/>
    </w:pPr>
    <w:rPr>
      <w:rFonts w:eastAsia="黑体"/>
    </w:rPr>
  </w:style>
  <w:style w:type="paragraph" w:styleId="15">
    <w:name w:val="footer"/>
    <w:basedOn w:val="1"/>
    <w:link w:val="54"/>
    <w:unhideWhenUsed/>
    <w:qFormat/>
    <w:uiPriority w:val="99"/>
    <w:pPr>
      <w:tabs>
        <w:tab w:val="center" w:pos="4153"/>
        <w:tab w:val="right" w:pos="8306"/>
      </w:tabs>
      <w:snapToGrid w:val="0"/>
      <w:jc w:val="left"/>
    </w:pPr>
    <w:rPr>
      <w:sz w:val="18"/>
      <w:szCs w:val="18"/>
    </w:rPr>
  </w:style>
  <w:style w:type="paragraph" w:styleId="16">
    <w:name w:val="header"/>
    <w:basedOn w:val="1"/>
    <w:link w:val="53"/>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rPr>
      <w:rFonts w:eastAsia="黑体"/>
    </w:rPr>
  </w:style>
  <w:style w:type="paragraph" w:styleId="18">
    <w:name w:val="Subtitle"/>
    <w:basedOn w:val="1"/>
    <w:next w:val="1"/>
    <w:link w:val="4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ind w:left="420" w:leftChars="200"/>
    </w:pPr>
    <w:rPr>
      <w:rFonts w:eastAsia="黑体"/>
    </w:rPr>
  </w:style>
  <w:style w:type="paragraph" w:styleId="20">
    <w:name w:val="Normal (Web)"/>
    <w:basedOn w:val="1"/>
    <w:qFormat/>
    <w:uiPriority w:val="0"/>
    <w:pPr>
      <w:spacing w:beforeAutospacing="1" w:afterAutospacing="1"/>
      <w:jc w:val="left"/>
    </w:pPr>
    <w:rPr>
      <w:rFonts w:cs="Times New Roman" w:asciiTheme="minorHAnsi" w:hAnsiTheme="minorHAnsi" w:eastAsiaTheme="minorEastAsia"/>
      <w:kern w:val="0"/>
      <w:szCs w:val="24"/>
    </w:rPr>
  </w:style>
  <w:style w:type="paragraph" w:styleId="21">
    <w:name w:val="Title"/>
    <w:basedOn w:val="1"/>
    <w:next w:val="1"/>
    <w:link w:val="4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2"/>
    <w:next w:val="12"/>
    <w:link w:val="55"/>
    <w:semiHidden/>
    <w:unhideWhenUsed/>
    <w:qFormat/>
    <w:uiPriority w:val="99"/>
    <w:rPr>
      <w:rFonts w:ascii="Times New Roman" w:hAnsi="Times New Roman" w:eastAsia="宋体"/>
      <w:b/>
      <w:bCs/>
      <w:sz w:val="24"/>
      <w:szCs w:val="21"/>
    </w:rPr>
  </w:style>
  <w:style w:type="paragraph" w:styleId="23">
    <w:name w:val="Body Text First Indent"/>
    <w:basedOn w:val="13"/>
    <w:link w:val="52"/>
    <w:unhideWhenUsed/>
    <w:qFormat/>
    <w:uiPriority w:val="99"/>
    <w:pPr>
      <w:ind w:firstLine="420" w:firstLineChars="100"/>
      <w:jc w:val="left"/>
    </w:pPr>
    <w:rPr>
      <w:rFonts w:eastAsia="PMingLiU" w:cs="Times New Roman"/>
      <w:szCs w:val="20"/>
      <w:lang w:eastAsia="zh-TW"/>
    </w:rPr>
  </w:style>
  <w:style w:type="character" w:styleId="26">
    <w:name w:val="page number"/>
    <w:basedOn w:val="25"/>
    <w:semiHidden/>
    <w:unhideWhenUsed/>
    <w:qFormat/>
    <w:uiPriority w:val="99"/>
  </w:style>
  <w:style w:type="character" w:styleId="27">
    <w:name w:val="annotation reference"/>
    <w:basedOn w:val="25"/>
    <w:semiHidden/>
    <w:unhideWhenUsed/>
    <w:qFormat/>
    <w:uiPriority w:val="0"/>
    <w:rPr>
      <w:sz w:val="21"/>
      <w:szCs w:val="21"/>
    </w:rPr>
  </w:style>
  <w:style w:type="character" w:customStyle="1" w:styleId="28">
    <w:name w:val="标题 1 字符"/>
    <w:basedOn w:val="25"/>
    <w:link w:val="2"/>
    <w:qFormat/>
    <w:uiPriority w:val="1"/>
    <w:rPr>
      <w:rFonts w:ascii="Times New Roman" w:hAnsi="Times New Roman" w:eastAsia="黑体" w:cs="Times New Roman"/>
      <w:bCs/>
      <w:kern w:val="0"/>
      <w:sz w:val="32"/>
      <w:szCs w:val="44"/>
    </w:rPr>
  </w:style>
  <w:style w:type="character" w:customStyle="1" w:styleId="29">
    <w:name w:val="标题 2 字符"/>
    <w:basedOn w:val="25"/>
    <w:link w:val="4"/>
    <w:qFormat/>
    <w:uiPriority w:val="1"/>
    <w:rPr>
      <w:rFonts w:ascii="Times New Roman" w:hAnsi="Times New Roman" w:eastAsia="黑体" w:cs="Times New Roman"/>
      <w:bCs/>
      <w:sz w:val="28"/>
      <w:szCs w:val="32"/>
    </w:rPr>
  </w:style>
  <w:style w:type="character" w:customStyle="1" w:styleId="30">
    <w:name w:val="标题 3 字符"/>
    <w:basedOn w:val="25"/>
    <w:link w:val="5"/>
    <w:qFormat/>
    <w:uiPriority w:val="1"/>
    <w:rPr>
      <w:rFonts w:ascii="Times New Roman" w:hAnsi="Times New Roman" w:eastAsia="黑体" w:cs="Times New Roman"/>
      <w:bCs/>
      <w:color w:val="000000"/>
      <w:kern w:val="0"/>
      <w:sz w:val="24"/>
      <w:szCs w:val="24"/>
      <w:lang w:eastAsia="ar-SA"/>
    </w:rPr>
  </w:style>
  <w:style w:type="character" w:customStyle="1" w:styleId="31">
    <w:name w:val="标题 4 字符"/>
    <w:basedOn w:val="25"/>
    <w:link w:val="6"/>
    <w:qFormat/>
    <w:uiPriority w:val="1"/>
    <w:rPr>
      <w:rFonts w:ascii="Times New Roman" w:hAnsi="Times New Roman" w:eastAsia="宋体" w:cs="Times New Roman"/>
      <w:b/>
      <w:bCs/>
      <w:sz w:val="24"/>
      <w:szCs w:val="28"/>
    </w:rPr>
  </w:style>
  <w:style w:type="character" w:customStyle="1" w:styleId="32">
    <w:name w:val="标题 5 字符"/>
    <w:basedOn w:val="25"/>
    <w:link w:val="7"/>
    <w:qFormat/>
    <w:uiPriority w:val="1"/>
    <w:rPr>
      <w:rFonts w:ascii="Times New Roman" w:hAnsi="Times New Roman" w:eastAsia="宋体" w:cs="Times New Roman"/>
      <w:bCs/>
      <w:sz w:val="24"/>
      <w:szCs w:val="28"/>
    </w:rPr>
  </w:style>
  <w:style w:type="character" w:customStyle="1" w:styleId="33">
    <w:name w:val="标题 6 字符"/>
    <w:basedOn w:val="25"/>
    <w:link w:val="8"/>
    <w:qFormat/>
    <w:uiPriority w:val="1"/>
    <w:rPr>
      <w:rFonts w:ascii="Times New Roman" w:hAnsi="Times New Roman" w:eastAsia="宋体" w:cs="Times New Roman"/>
      <w:bCs/>
      <w:sz w:val="24"/>
      <w:szCs w:val="24"/>
    </w:rPr>
  </w:style>
  <w:style w:type="character" w:customStyle="1" w:styleId="34">
    <w:name w:val="标题 7 字符"/>
    <w:basedOn w:val="25"/>
    <w:link w:val="9"/>
    <w:qFormat/>
    <w:uiPriority w:val="2"/>
    <w:rPr>
      <w:rFonts w:ascii="Times New Roman" w:hAnsi="Times New Roman" w:eastAsia="宋体" w:cs="Times New Roman"/>
      <w:bCs/>
      <w:sz w:val="24"/>
      <w:szCs w:val="24"/>
    </w:rPr>
  </w:style>
  <w:style w:type="paragraph" w:customStyle="1" w:styleId="35">
    <w:name w:val="表格后说明"/>
    <w:next w:val="3"/>
    <w:qFormat/>
    <w:uiPriority w:val="3"/>
    <w:pPr>
      <w:jc w:val="both"/>
    </w:pPr>
    <w:rPr>
      <w:rFonts w:ascii="Times New Roman" w:hAnsi="Times New Roman" w:eastAsia="宋体" w:cs="Times New Roman"/>
      <w:kern w:val="2"/>
      <w:sz w:val="24"/>
      <w:szCs w:val="24"/>
      <w:lang w:val="en-US" w:eastAsia="zh-CN" w:bidi="ar-SA"/>
    </w:rPr>
  </w:style>
  <w:style w:type="paragraph" w:customStyle="1" w:styleId="36">
    <w:name w:val="表格前单位"/>
    <w:next w:val="3"/>
    <w:qFormat/>
    <w:uiPriority w:val="2"/>
    <w:pPr>
      <w:keepNext/>
      <w:jc w:val="right"/>
    </w:pPr>
    <w:rPr>
      <w:rFonts w:ascii="Times New Roman" w:hAnsi="Times New Roman" w:eastAsia="宋体" w:cs="Times New Roman"/>
      <w:kern w:val="2"/>
      <w:sz w:val="24"/>
      <w:szCs w:val="24"/>
      <w:lang w:val="en-US" w:eastAsia="zh-CN" w:bidi="ar-SA"/>
    </w:rPr>
  </w:style>
  <w:style w:type="table" w:customStyle="1" w:styleId="37">
    <w:name w:val="报告表格"/>
    <w:basedOn w:val="24"/>
    <w:qFormat/>
    <w:uiPriority w:val="99"/>
    <w:rPr>
      <w:sz w:val="18"/>
    </w:rPr>
  </w:style>
  <w:style w:type="paragraph" w:customStyle="1" w:styleId="38">
    <w:name w:val="TOC 标题1"/>
    <w:basedOn w:val="2"/>
    <w:next w:val="1"/>
    <w:unhideWhenUsed/>
    <w:qFormat/>
    <w:uiPriority w:val="39"/>
    <w:pPr>
      <w:pageBreakBefore w:val="0"/>
      <w:numPr>
        <w:numId w:val="0"/>
      </w:numPr>
      <w:snapToGrid w:val="0"/>
      <w:spacing w:before="240" w:beforeLines="0" w:after="0" w:afterLines="0" w:line="259" w:lineRule="auto"/>
      <w:outlineLvl w:val="9"/>
    </w:pPr>
    <w:rPr>
      <w:bCs w:val="0"/>
      <w:szCs w:val="32"/>
    </w:rPr>
  </w:style>
  <w:style w:type="character" w:customStyle="1" w:styleId="39">
    <w:name w:val="标题 8 字符"/>
    <w:basedOn w:val="25"/>
    <w:link w:val="10"/>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9 字符"/>
    <w:basedOn w:val="25"/>
    <w:link w:val="11"/>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42">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basedOn w:val="25"/>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明显强调1"/>
    <w:basedOn w:val="25"/>
    <w:qFormat/>
    <w:uiPriority w:val="21"/>
    <w:rPr>
      <w:i/>
      <w:iCs/>
      <w:color w:val="2F5597" w:themeColor="accent1" w:themeShade="BF"/>
    </w:rPr>
  </w:style>
  <w:style w:type="paragraph" w:styleId="47">
    <w:name w:val="Intense Quote"/>
    <w:basedOn w:val="1"/>
    <w:next w:val="1"/>
    <w:link w:val="4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8">
    <w:name w:val="明显引用 字符"/>
    <w:basedOn w:val="25"/>
    <w:link w:val="47"/>
    <w:qFormat/>
    <w:uiPriority w:val="30"/>
    <w:rPr>
      <w:i/>
      <w:iCs/>
      <w:color w:val="2F5597" w:themeColor="accent1" w:themeShade="BF"/>
    </w:rPr>
  </w:style>
  <w:style w:type="character" w:customStyle="1" w:styleId="49">
    <w:name w:val="明显参考1"/>
    <w:basedOn w:val="25"/>
    <w:qFormat/>
    <w:uiPriority w:val="32"/>
    <w:rPr>
      <w:b/>
      <w:bCs/>
      <w:smallCaps/>
      <w:color w:val="2F5597" w:themeColor="accent1" w:themeShade="BF"/>
      <w:spacing w:val="5"/>
    </w:rPr>
  </w:style>
  <w:style w:type="character" w:customStyle="1" w:styleId="50">
    <w:name w:val="批注文字 字符"/>
    <w:basedOn w:val="25"/>
    <w:link w:val="12"/>
    <w:semiHidden/>
    <w:qFormat/>
    <w:uiPriority w:val="0"/>
    <w:rPr>
      <w:rFonts w:asciiTheme="minorHAnsi" w:hAnsiTheme="minorHAnsi" w:eastAsiaTheme="minorEastAsia"/>
      <w:sz w:val="21"/>
      <w:szCs w:val="24"/>
    </w:rPr>
  </w:style>
  <w:style w:type="character" w:customStyle="1" w:styleId="51">
    <w:name w:val="正文文本 字符"/>
    <w:basedOn w:val="25"/>
    <w:link w:val="13"/>
    <w:semiHidden/>
    <w:qFormat/>
    <w:uiPriority w:val="99"/>
  </w:style>
  <w:style w:type="character" w:customStyle="1" w:styleId="52">
    <w:name w:val="正文文本首行缩进 字符"/>
    <w:basedOn w:val="51"/>
    <w:link w:val="23"/>
    <w:qFormat/>
    <w:uiPriority w:val="99"/>
    <w:rPr>
      <w:rFonts w:eastAsia="PMingLiU" w:cs="Times New Roman"/>
      <w:szCs w:val="20"/>
      <w:lang w:eastAsia="zh-TW"/>
    </w:rPr>
  </w:style>
  <w:style w:type="character" w:customStyle="1" w:styleId="53">
    <w:name w:val="页眉 字符"/>
    <w:basedOn w:val="25"/>
    <w:link w:val="16"/>
    <w:qFormat/>
    <w:uiPriority w:val="99"/>
    <w:rPr>
      <w:sz w:val="18"/>
      <w:szCs w:val="18"/>
    </w:rPr>
  </w:style>
  <w:style w:type="character" w:customStyle="1" w:styleId="54">
    <w:name w:val="页脚 字符"/>
    <w:basedOn w:val="25"/>
    <w:link w:val="15"/>
    <w:qFormat/>
    <w:uiPriority w:val="99"/>
    <w:rPr>
      <w:sz w:val="18"/>
      <w:szCs w:val="18"/>
    </w:rPr>
  </w:style>
  <w:style w:type="character" w:customStyle="1" w:styleId="55">
    <w:name w:val="批注主题 字符"/>
    <w:basedOn w:val="50"/>
    <w:link w:val="22"/>
    <w:semiHidden/>
    <w:qFormat/>
    <w:uiPriority w:val="99"/>
    <w:rPr>
      <w:rFonts w:asciiTheme="minorHAnsi" w:hAnsiTheme="minorHAnsi" w:eastAsiaTheme="minorEastAsia"/>
      <w:b/>
      <w:bCs/>
      <w:sz w:val="21"/>
      <w:szCs w:val="24"/>
    </w:rPr>
  </w:style>
  <w:style w:type="paragraph" w:customStyle="1" w:styleId="56">
    <w:name w:val="修订1"/>
    <w:hidden/>
    <w:semiHidden/>
    <w:qFormat/>
    <w:uiPriority w:val="99"/>
    <w:rPr>
      <w:rFonts w:ascii="Times New Roman" w:hAnsi="Times New Roman" w:eastAsia="宋体" w:cstheme="minorBidi"/>
      <w:kern w:val="2"/>
      <w:sz w:val="24"/>
      <w:szCs w:val="21"/>
      <w:lang w:val="en-US" w:eastAsia="zh-CN" w:bidi="ar-SA"/>
    </w:rPr>
  </w:style>
  <w:style w:type="paragraph" w:customStyle="1" w:styleId="57">
    <w:name w:val="修订2"/>
    <w:hidden/>
    <w:unhideWhenUsed/>
    <w:qFormat/>
    <w:uiPriority w:val="99"/>
    <w:rPr>
      <w:rFonts w:ascii="Times New Roman" w:hAnsi="Times New Roman" w:eastAsia="宋体" w:cstheme="minorBidi"/>
      <w:kern w:val="2"/>
      <w:sz w:val="24"/>
      <w:szCs w:val="21"/>
      <w:lang w:val="en-US" w:eastAsia="zh-CN" w:bidi="ar-SA"/>
    </w:rPr>
  </w:style>
  <w:style w:type="paragraph" w:customStyle="1" w:styleId="58">
    <w:name w:val="Revision"/>
    <w:hidden/>
    <w:unhideWhenUsed/>
    <w:qFormat/>
    <w:uiPriority w:val="99"/>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1384</Words>
  <Characters>7892</Characters>
  <Lines>65</Lines>
  <Paragraphs>18</Paragraphs>
  <TotalTime>101</TotalTime>
  <ScaleCrop>false</ScaleCrop>
  <LinksUpToDate>false</LinksUpToDate>
  <CharactersWithSpaces>9258</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2024-10-13T18:42:00Z</dcterms:created>
  <dc:creator>季杨杨</dc:creator>
  <cp:lastModifiedBy>Sunnie Xie</cp:lastModifiedBy>
  <dcterms:modified xsi:type="dcterms:W3CDTF">2025-05-19T11:13:45Z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0DA14533961A08CDBCBAB6678D39A9C3_42</vt:lpwstr>
  </property>
</Properties>
</file>