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90DDD">
      <w:pPr>
        <w:adjustRightInd w:val="0"/>
        <w:snapToGrid w:val="0"/>
        <w:spacing w:before="312" w:beforeLines="100" w:line="600" w:lineRule="exact"/>
        <w:jc w:val="center"/>
        <w:rPr>
          <w:rFonts w:ascii="Times New Roman" w:hAnsi="Times New Roman" w:eastAsia="方正小标宋简体" w:cs="Times New Roman"/>
          <w:bCs/>
          <w:sz w:val="44"/>
          <w:szCs w:val="44"/>
        </w:rPr>
      </w:pPr>
      <w:r>
        <w:rPr>
          <w:rFonts w:hint="eastAsia" w:ascii="Times New Roman" w:hAnsi="Times New Roman" w:eastAsia="方正小标宋简体" w:cs="Times New Roman"/>
          <w:bCs/>
          <w:sz w:val="44"/>
          <w:szCs w:val="44"/>
        </w:rPr>
        <w:t>河南省赋豫国企改革发展股权投资基金</w:t>
      </w:r>
    </w:p>
    <w:p w14:paraId="0CC5C01D">
      <w:pPr>
        <w:adjustRightInd w:val="0"/>
        <w:snapToGrid w:val="0"/>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子基金申报指南</w:t>
      </w:r>
    </w:p>
    <w:p w14:paraId="3EB3F922">
      <w:pPr>
        <w:adjustRightInd w:val="0"/>
        <w:snapToGrid w:val="0"/>
        <w:jc w:val="center"/>
        <w:rPr>
          <w:rFonts w:ascii="Times New Roman" w:hAnsi="Times New Roman" w:eastAsia="方正小标宋简体" w:cs="Times New Roman"/>
          <w:b/>
          <w:bCs/>
          <w:sz w:val="28"/>
          <w:szCs w:val="44"/>
        </w:rPr>
      </w:pPr>
    </w:p>
    <w:p w14:paraId="196959C8">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河南省赋豫国企改革发展股权投资基金（以下简称“国改基金”、“母基金”）是河南国有资本运营集团有限公司（以下简称“</w:t>
      </w:r>
      <w:r>
        <w:rPr>
          <w:rFonts w:hint="eastAsia" w:ascii="Times New Roman" w:hAnsi="Times New Roman" w:eastAsia="仿宋" w:cs="Times New Roman"/>
          <w:sz w:val="32"/>
          <w:szCs w:val="32"/>
          <w:highlight w:val="none"/>
          <w:lang w:val="en-US" w:eastAsia="zh-CN"/>
        </w:rPr>
        <w:t>河南</w:t>
      </w:r>
      <w:r>
        <w:rPr>
          <w:rFonts w:ascii="Times New Roman" w:hAnsi="Times New Roman" w:eastAsia="仿宋" w:cs="Times New Roman"/>
          <w:sz w:val="32"/>
          <w:szCs w:val="32"/>
          <w:highlight w:val="none"/>
        </w:rPr>
        <w:t>资本集团”）发起设立的母基金，河南国有资本运营集团私募基金管理有限公司（以下简称“基金公司”）为基金管理人。整体采用“母子基金+直投”的架构，主要围绕落实深化河南省国有企业改革要求，调整存量结构、提高运营效率、优化资本布局，进一步提高我省国有企业资产质量、提升企业核心竞争力、加快实现高质量发展。</w:t>
      </w:r>
    </w:p>
    <w:p w14:paraId="79A60B9E">
      <w:pPr>
        <w:spacing w:line="600" w:lineRule="exact"/>
        <w:ind w:firstLine="640" w:firstLineChars="200"/>
        <w:rPr>
          <w:rFonts w:ascii="Times New Roman" w:hAnsi="Times New Roman" w:eastAsia="黑体" w:cs="Times New Roman"/>
          <w:bCs/>
          <w:sz w:val="32"/>
          <w:szCs w:val="32"/>
          <w:highlight w:val="none"/>
        </w:rPr>
      </w:pPr>
      <w:r>
        <w:rPr>
          <w:rFonts w:ascii="Times New Roman" w:hAnsi="Times New Roman" w:eastAsia="黑体" w:cs="Times New Roman"/>
          <w:bCs/>
          <w:sz w:val="32"/>
          <w:szCs w:val="32"/>
          <w:highlight w:val="none"/>
        </w:rPr>
        <w:t>一、拟设立子基金的领域</w:t>
      </w:r>
    </w:p>
    <w:p w14:paraId="7218B4E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根据国改基金功能定位，以国资国企资本市场孵化、河南省重点产业集群并购、战略新兴产业及新质生产力培育、国企主业聚焦等为重点投资方向，主要布局在豫优质产业项目，落实河南省委、省政府重大项目投资安排，以符合区域产业政策导向的战略新兴产业培育壮大为主，兼顾传统产业转型升级、优势产业提质跃升、基础产业固本增效等领域，重点投向新型显示和智能终端、生物医药、节能环保、新能源及网联汽车、新一代人工智能、网络安全、尼龙新材料、智能装备、智能传感器、5G等产业链。具体如下：</w:t>
      </w:r>
    </w:p>
    <w:p w14:paraId="38E1736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在母基金规模额度内，各领域产业子基金分期设立，由市场化管理机构自由申请，母基金综合考虑申请机构的专业能力、管理能力、募资能力、项目储备以及方案成熟度等因素，择优选择合作对象，成熟一期、设立一期。</w:t>
      </w:r>
    </w:p>
    <w:p w14:paraId="3C156D78">
      <w:pPr>
        <w:spacing w:line="600" w:lineRule="exact"/>
        <w:ind w:firstLine="640" w:firstLineChars="200"/>
        <w:rPr>
          <w:rFonts w:ascii="Times New Roman" w:hAnsi="Times New Roman" w:eastAsia="黑体" w:cs="Times New Roman"/>
          <w:bCs/>
          <w:sz w:val="32"/>
          <w:szCs w:val="32"/>
          <w:highlight w:val="none"/>
        </w:rPr>
      </w:pPr>
      <w:r>
        <w:rPr>
          <w:rFonts w:ascii="Times New Roman" w:hAnsi="Times New Roman" w:eastAsia="黑体" w:cs="Times New Roman"/>
          <w:bCs/>
          <w:sz w:val="32"/>
          <w:szCs w:val="32"/>
          <w:highlight w:val="none"/>
        </w:rPr>
        <w:t>二、子基金申请机构应具备的条件</w:t>
      </w:r>
    </w:p>
    <w:p w14:paraId="1D1564C5">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申请设立子基金的机构，应满足以下基本条件：</w:t>
      </w:r>
    </w:p>
    <w:p w14:paraId="58C79AAE">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（一）在中华人民共和国境内依法设立，且已在相关主管部门或行业自律组织登记备案，成立时间原则上不低于3年，实缴注册资本不低于1000万元，股东综合实力较强的，可适当放宽要求。</w:t>
      </w:r>
    </w:p>
    <w:p w14:paraId="7C85D921">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（二）申请机构及其董事、监事、高级管理人员及其他从业人员最近3年不存在重大违法违规行为，未受到相关监管部门行政处罚</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申请机构</w:t>
      </w:r>
      <w:r>
        <w:rPr>
          <w:rFonts w:hint="eastAsia" w:ascii="仿宋" w:hAnsi="仿宋" w:eastAsia="仿宋" w:cs="仿宋"/>
          <w:sz w:val="32"/>
          <w:szCs w:val="32"/>
          <w:highlight w:val="none"/>
        </w:rPr>
        <w:t>未被中国证券投资基金业协会列为异常机构且不存在不良诚信记录等情形</w:t>
      </w:r>
      <w:r>
        <w:rPr>
          <w:rFonts w:ascii="Times New Roman" w:hAnsi="Times New Roman" w:eastAsia="仿宋" w:cs="Times New Roman"/>
          <w:sz w:val="32"/>
          <w:szCs w:val="32"/>
          <w:highlight w:val="none"/>
        </w:rPr>
        <w:t>。</w:t>
      </w:r>
    </w:p>
    <w:p w14:paraId="35E7B19D">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（三）有完善的基金相关管理制度、决策流程、内控机制，资金募集合法合规。管理多支基金的，应建立完善的关联交易隔离机制和利益冲突防范机制，母基金优先与建立风险准备金制度的申请机构合作。</w:t>
      </w:r>
    </w:p>
    <w:p w14:paraId="59943E91">
      <w:pPr>
        <w:spacing w:line="600" w:lineRule="exact"/>
        <w:ind w:firstLine="640" w:firstLineChars="200"/>
        <w:rPr>
          <w:rFonts w:hint="eastAsia" w:ascii="Times New Roman" w:hAnsi="Times New Roman" w:eastAsia="仿宋" w:cs="Times New Roman"/>
          <w:sz w:val="32"/>
          <w:szCs w:val="32"/>
          <w:highlight w:val="none"/>
          <w:lang w:eastAsia="zh-CN"/>
        </w:rPr>
      </w:pPr>
      <w:r>
        <w:rPr>
          <w:rFonts w:ascii="Times New Roman" w:hAnsi="Times New Roman" w:eastAsia="仿宋" w:cs="Times New Roman"/>
          <w:sz w:val="32"/>
          <w:szCs w:val="32"/>
          <w:highlight w:val="none"/>
        </w:rPr>
        <w:t>（四）</w:t>
      </w:r>
      <w:r>
        <w:rPr>
          <w:rFonts w:hint="eastAsia" w:ascii="Times New Roman" w:hAnsi="Times New Roman" w:eastAsia="仿宋" w:cs="Times New Roman"/>
          <w:sz w:val="32"/>
          <w:szCs w:val="32"/>
          <w:highlight w:val="none"/>
        </w:rPr>
        <w:t>最近</w:t>
      </w:r>
      <w:r>
        <w:rPr>
          <w:rFonts w:hint="eastAsia" w:ascii="Times New Roman" w:hAnsi="Times New Roman" w:eastAsia="仿宋" w:cs="Times New Roman"/>
          <w:sz w:val="32"/>
          <w:szCs w:val="32"/>
          <w:highlight w:val="none"/>
          <w:lang w:val="en-US" w:eastAsia="zh-CN"/>
        </w:rPr>
        <w:t>3</w:t>
      </w:r>
      <w:r>
        <w:rPr>
          <w:rFonts w:hint="eastAsia" w:ascii="Times New Roman" w:hAnsi="Times New Roman" w:eastAsia="仿宋" w:cs="Times New Roman"/>
          <w:sz w:val="32"/>
          <w:szCs w:val="32"/>
          <w:highlight w:val="none"/>
        </w:rPr>
        <w:t>年以上持续稳健运营</w:t>
      </w:r>
      <w:r>
        <w:rPr>
          <w:rFonts w:hint="eastAsia" w:ascii="Times New Roman" w:hAnsi="Times New Roman" w:eastAsia="仿宋" w:cs="Times New Roman"/>
          <w:sz w:val="32"/>
          <w:szCs w:val="32"/>
          <w:highlight w:val="none"/>
          <w:lang w:eastAsia="zh-CN"/>
        </w:rPr>
        <w:t>。</w:t>
      </w:r>
    </w:p>
    <w:p w14:paraId="5B8E5927">
      <w:pPr>
        <w:spacing w:line="600" w:lineRule="exact"/>
        <w:ind w:firstLine="640" w:firstLineChars="200"/>
        <w:rPr>
          <w:rFonts w:hint="eastAsia" w:ascii="Times New Roman" w:hAnsi="Times New Roman" w:eastAsia="仿宋" w:cs="Times New Roman"/>
          <w:sz w:val="32"/>
          <w:szCs w:val="32"/>
          <w:highlight w:val="none"/>
          <w:lang w:eastAsia="zh-CN"/>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五</w:t>
      </w: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rPr>
        <w:t>有固定营业场所和与其业务相适应的软硬件设施</w:t>
      </w:r>
      <w:r>
        <w:rPr>
          <w:rFonts w:hint="eastAsia" w:ascii="Times New Roman" w:hAnsi="Times New Roman" w:eastAsia="仿宋" w:cs="Times New Roman"/>
          <w:sz w:val="32"/>
          <w:szCs w:val="32"/>
          <w:highlight w:val="none"/>
          <w:lang w:eastAsia="zh-CN"/>
        </w:rPr>
        <w:t>。</w:t>
      </w:r>
    </w:p>
    <w:p w14:paraId="19794273">
      <w:pPr>
        <w:spacing w:line="600" w:lineRule="exact"/>
        <w:ind w:firstLine="640" w:firstLineChars="200"/>
        <w:rPr>
          <w:rFonts w:hint="eastAsia" w:ascii="仿宋" w:hAnsi="仿宋" w:eastAsia="仿宋" w:cs="仿宋"/>
          <w:sz w:val="32"/>
          <w:szCs w:val="32"/>
          <w:highlight w:val="none"/>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六</w:t>
      </w:r>
      <w:r>
        <w:rPr>
          <w:rFonts w:ascii="Times New Roman" w:hAnsi="Times New Roman" w:eastAsia="仿宋" w:cs="Times New Roman"/>
          <w:sz w:val="32"/>
          <w:szCs w:val="32"/>
          <w:highlight w:val="none"/>
        </w:rPr>
        <w:t>）具备丰富的投资管理经验和良好的管理业绩，能够为被投资企业提供创业辅导、管理咨询等增值服务，</w:t>
      </w:r>
      <w:r>
        <w:rPr>
          <w:rFonts w:hint="eastAsia" w:ascii="Times New Roman" w:hAnsi="Times New Roman" w:eastAsia="仿宋" w:cs="Times New Roman"/>
          <w:sz w:val="32"/>
          <w:szCs w:val="32"/>
          <w:highlight w:val="none"/>
          <w:lang w:val="en-US" w:eastAsia="zh-CN"/>
        </w:rPr>
        <w:t>核心</w:t>
      </w:r>
      <w:r>
        <w:rPr>
          <w:rFonts w:ascii="Times New Roman" w:hAnsi="Times New Roman" w:eastAsia="仿宋" w:cs="Times New Roman"/>
          <w:sz w:val="32"/>
          <w:szCs w:val="32"/>
          <w:highlight w:val="none"/>
        </w:rPr>
        <w:t>管理团队过往管理规模不低于人民币5亿元</w:t>
      </w:r>
      <w:r>
        <w:rPr>
          <w:rFonts w:hint="eastAsia" w:ascii="Times New Roman" w:hAnsi="Times New Roman" w:eastAsia="仿宋" w:cs="Times New Roman"/>
          <w:sz w:val="32"/>
          <w:szCs w:val="32"/>
          <w:highlight w:val="none"/>
        </w:rPr>
        <w:t>，</w:t>
      </w:r>
      <w:r>
        <w:rPr>
          <w:rFonts w:hint="eastAsia" w:ascii="仿宋" w:hAnsi="仿宋" w:eastAsia="仿宋" w:cs="仿宋"/>
          <w:sz w:val="32"/>
          <w:szCs w:val="32"/>
          <w:highlight w:val="none"/>
        </w:rPr>
        <w:t>且至少有3个以上股权投资的成功退出案例（需提供详细案例资料）。</w:t>
      </w:r>
    </w:p>
    <w:p w14:paraId="4A39DEB5">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七</w:t>
      </w:r>
      <w:r>
        <w:rPr>
          <w:rFonts w:ascii="Times New Roman" w:hAnsi="Times New Roman" w:eastAsia="仿宋" w:cs="Times New Roman"/>
          <w:sz w:val="32"/>
          <w:szCs w:val="32"/>
          <w:highlight w:val="none"/>
        </w:rPr>
        <w:t>）至少有3名具备5年以上基金管理工作经验的高级管理人员，并承诺保持其管理团队核心成员的稳定性。</w:t>
      </w:r>
    </w:p>
    <w:p w14:paraId="2921970E">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lang w:val="en-US" w:eastAsia="zh-CN"/>
        </w:rPr>
        <w:t>八</w:t>
      </w:r>
      <w:r>
        <w:rPr>
          <w:rFonts w:ascii="Times New Roman" w:hAnsi="Times New Roman" w:eastAsia="仿宋" w:cs="Times New Roman"/>
          <w:sz w:val="32"/>
          <w:szCs w:val="32"/>
          <w:highlight w:val="none"/>
        </w:rPr>
        <w:t>）申请机构在提交合作方案时，应至少满足以下要求：</w:t>
      </w:r>
    </w:p>
    <w:p w14:paraId="08ACAAA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w:t>
      </w:r>
      <w:r>
        <w:rPr>
          <w:rFonts w:hint="eastAsia" w:ascii="Times New Roman" w:hAnsi="Times New Roman" w:eastAsia="仿宋" w:cs="Times New Roman"/>
          <w:sz w:val="32"/>
          <w:szCs w:val="32"/>
          <w:highlight w:val="none"/>
          <w:lang w:val="en-US" w:eastAsia="zh-CN"/>
        </w:rPr>
        <w:t>原则上，</w:t>
      </w:r>
      <w:r>
        <w:rPr>
          <w:rFonts w:ascii="Times New Roman" w:hAnsi="Times New Roman" w:eastAsia="仿宋" w:cs="Times New Roman"/>
          <w:sz w:val="32"/>
          <w:szCs w:val="32"/>
          <w:highlight w:val="none"/>
        </w:rPr>
        <w:t>已经取得拟设立子基金总规模</w:t>
      </w:r>
      <w:r>
        <w:rPr>
          <w:rFonts w:hint="eastAsia" w:ascii="Times New Roman" w:hAnsi="Times New Roman" w:eastAsia="仿宋" w:cs="Times New Roman"/>
          <w:sz w:val="32"/>
          <w:szCs w:val="32"/>
          <w:highlight w:val="none"/>
          <w:lang w:val="en-US" w:eastAsia="zh-CN"/>
        </w:rPr>
        <w:t>不低于</w:t>
      </w:r>
      <w:r>
        <w:rPr>
          <w:rFonts w:ascii="Times New Roman" w:hAnsi="Times New Roman" w:eastAsia="仿宋" w:cs="Times New Roman"/>
          <w:sz w:val="32"/>
          <w:szCs w:val="32"/>
          <w:highlight w:val="none"/>
        </w:rPr>
        <w:t>50%</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含50%）</w:t>
      </w:r>
      <w:r>
        <w:rPr>
          <w:rFonts w:ascii="Times New Roman" w:hAnsi="Times New Roman" w:eastAsia="仿宋" w:cs="Times New Roman"/>
          <w:sz w:val="32"/>
          <w:szCs w:val="32"/>
          <w:highlight w:val="none"/>
        </w:rPr>
        <w:t>的出资意向（不含母基金出资部分），并提供拟出资人的出资意向函、出资能力证明等材料，鼓励申请机构募集更多社会资本，降低申请母基金出资比例；</w:t>
      </w:r>
    </w:p>
    <w:p w14:paraId="631AEBAE">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2.储备项目拟投金额应不低于拟设立子基金总规模的25%。</w:t>
      </w:r>
    </w:p>
    <w:p w14:paraId="1AD06275">
      <w:pPr>
        <w:spacing w:line="600" w:lineRule="exact"/>
        <w:ind w:firstLine="640" w:firstLineChars="200"/>
        <w:rPr>
          <w:rFonts w:ascii="Times New Roman" w:hAnsi="Times New Roman" w:eastAsia="黑体" w:cs="Times New Roman"/>
          <w:bCs/>
          <w:sz w:val="32"/>
          <w:szCs w:val="32"/>
          <w:highlight w:val="none"/>
        </w:rPr>
      </w:pPr>
      <w:r>
        <w:rPr>
          <w:rFonts w:ascii="Times New Roman" w:hAnsi="Times New Roman" w:eastAsia="黑体" w:cs="Times New Roman"/>
          <w:bCs/>
          <w:sz w:val="32"/>
          <w:szCs w:val="32"/>
          <w:highlight w:val="none"/>
        </w:rPr>
        <w:t>三、子基金设立的基本要求</w:t>
      </w:r>
    </w:p>
    <w:p w14:paraId="475DD9B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申请机构应提交拟设立子基金的设立方案，设立方案应满足以下基本要求：</w:t>
      </w:r>
    </w:p>
    <w:p w14:paraId="7676896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（一）组织形式。</w:t>
      </w:r>
      <w:r>
        <w:rPr>
          <w:rFonts w:hint="eastAsia" w:ascii="Times New Roman" w:hAnsi="Times New Roman" w:eastAsia="仿宋" w:cs="Times New Roman"/>
          <w:sz w:val="32"/>
          <w:szCs w:val="32"/>
          <w:highlight w:val="none"/>
        </w:rPr>
        <w:t>有限合伙型或公司型。</w:t>
      </w:r>
    </w:p>
    <w:p w14:paraId="7A455A82">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（二）存续期限。子基金存续期限不得超过母基金的存续期。</w:t>
      </w:r>
    </w:p>
    <w:p w14:paraId="1F33F6F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（三）</w:t>
      </w:r>
      <w:r>
        <w:rPr>
          <w:rFonts w:hint="eastAsia" w:ascii="Times New Roman" w:hAnsi="Times New Roman" w:eastAsia="仿宋" w:cs="Times New Roman"/>
          <w:sz w:val="32"/>
          <w:szCs w:val="32"/>
          <w:highlight w:val="none"/>
        </w:rPr>
        <w:t>出资要求</w:t>
      </w:r>
      <w:r>
        <w:rPr>
          <w:rFonts w:ascii="Times New Roman" w:hAnsi="Times New Roman" w:eastAsia="仿宋" w:cs="Times New Roman"/>
          <w:sz w:val="32"/>
          <w:szCs w:val="32"/>
          <w:highlight w:val="none"/>
        </w:rPr>
        <w:t>。</w:t>
      </w:r>
      <w:r>
        <w:rPr>
          <w:rFonts w:hint="eastAsia" w:ascii="Times New Roman" w:hAnsi="Times New Roman" w:eastAsia="仿宋" w:cs="Times New Roman"/>
          <w:sz w:val="32"/>
          <w:szCs w:val="32"/>
          <w:highlight w:val="none"/>
        </w:rPr>
        <w:t>子基金出资要求。子基金可采取一次募集、分期出资的方式。新设子基金备案完成后一年内完成首期出资，首期出资金额不低于总规模的10%；已完成备案的子基金，在国改基金完成增资后一年内完成首期缴款出资。申请机构及其关联方出资比例较大的，可优先合作。子基金在河南的返投比例高、产业带动效果好、为河南引入重大项目的，可优先合作。</w:t>
      </w:r>
    </w:p>
    <w:p w14:paraId="5FEFE7FA">
      <w:pPr>
        <w:spacing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原则上，母基金出资应于子基金落实完成募集基金规模50%及以上后方可出资。实缴出资不早于其他出资人。</w:t>
      </w:r>
    </w:p>
    <w:p w14:paraId="1638DD97">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（四）母基金投资子基金出资比例如下：</w:t>
      </w:r>
    </w:p>
    <w:p w14:paraId="1E99B5AF">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1.基金公司作为备案基金管理人或执行事务合伙人参与的子基金，母基金认缴出资比例不超过子基金认缴出资总额的50%；</w:t>
      </w:r>
    </w:p>
    <w:p w14:paraId="09DBCD86">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2.其他情况下，母基金认缴出资比例不超过子基金认缴出资总额的40%；</w:t>
      </w:r>
    </w:p>
    <w:p w14:paraId="4B088829">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（五）托管要求。</w:t>
      </w:r>
    </w:p>
    <w:p w14:paraId="215C5F05">
      <w:pPr>
        <w:spacing w:line="600" w:lineRule="exact"/>
        <w:ind w:firstLine="640" w:firstLineChars="200"/>
        <w:rPr>
          <w:rFonts w:ascii="Times New Roman" w:hAnsi="Times New Roman" w:eastAsia="仿宋_GB2312" w:cs="Times New Roman"/>
          <w:sz w:val="32"/>
          <w:szCs w:val="32"/>
          <w:highlight w:val="none"/>
        </w:rPr>
      </w:pPr>
      <w:r>
        <w:rPr>
          <w:rFonts w:ascii="Times New Roman" w:hAnsi="Times New Roman" w:eastAsia="仿宋" w:cs="Times New Roman"/>
          <w:sz w:val="32"/>
          <w:szCs w:val="32"/>
          <w:highlight w:val="none"/>
        </w:rPr>
        <w:t>子基金选择具有资质的商业银行（或分支机构）进行托管。</w:t>
      </w:r>
    </w:p>
    <w:p w14:paraId="6FB5F949">
      <w:pPr>
        <w:spacing w:line="600" w:lineRule="exact"/>
        <w:ind w:firstLine="640" w:firstLineChars="200"/>
        <w:rPr>
          <w:rFonts w:hint="eastAsia" w:ascii="仿宋" w:hAnsi="仿宋" w:eastAsia="仿宋" w:cs="仿宋"/>
          <w:sz w:val="32"/>
          <w:szCs w:val="32"/>
          <w:highlight w:val="none"/>
        </w:rPr>
      </w:pPr>
      <w:r>
        <w:rPr>
          <w:rFonts w:ascii="Times New Roman" w:hAnsi="Times New Roman" w:eastAsia="仿宋" w:cs="Times New Roman"/>
          <w:sz w:val="32"/>
          <w:szCs w:val="32"/>
          <w:highlight w:val="none"/>
        </w:rPr>
        <w:t>（六）管理要求。国改基金不干预子基金的日常管理运作，但有权通过委派投委会委员、观察员等市场化方式维护自身权益。</w:t>
      </w:r>
      <w:r>
        <w:rPr>
          <w:rFonts w:hint="eastAsia" w:ascii="仿宋" w:hAnsi="仿宋" w:eastAsia="仿宋" w:cs="仿宋"/>
          <w:sz w:val="32"/>
          <w:szCs w:val="32"/>
          <w:highlight w:val="none"/>
        </w:rPr>
        <w:t>若LP参与出资的子基金，出现返投到LP主体及其关联方的情况时，在子基金表决时，省国改基金保留</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rPr>
        <w:t>票否决的权利，并按照</w:t>
      </w:r>
      <w:r>
        <w:rPr>
          <w:rFonts w:hint="eastAsia" w:ascii="Times New Roman" w:hAnsi="Times New Roman" w:eastAsia="仿宋" w:cs="Times New Roman"/>
          <w:sz w:val="32"/>
          <w:szCs w:val="32"/>
          <w:highlight w:val="none"/>
          <w:lang w:val="en-US" w:eastAsia="zh-CN"/>
        </w:rPr>
        <w:t>河南</w:t>
      </w:r>
      <w:r>
        <w:rPr>
          <w:rFonts w:ascii="Times New Roman" w:hAnsi="Times New Roman" w:eastAsia="仿宋" w:cs="Times New Roman"/>
          <w:sz w:val="32"/>
          <w:szCs w:val="32"/>
          <w:highlight w:val="none"/>
        </w:rPr>
        <w:t>资本集团</w:t>
      </w:r>
      <w:r>
        <w:rPr>
          <w:rFonts w:hint="eastAsia" w:ascii="仿宋" w:hAnsi="仿宋" w:eastAsia="仿宋" w:cs="仿宋"/>
          <w:sz w:val="32"/>
          <w:szCs w:val="32"/>
          <w:highlight w:val="none"/>
        </w:rPr>
        <w:t>相关投资管理办法进行决策。</w:t>
      </w:r>
    </w:p>
    <w:p w14:paraId="75484032">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（七）基金管理费。</w:t>
      </w:r>
    </w:p>
    <w:p w14:paraId="5A7C9E4B">
      <w:pPr>
        <w:spacing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lang w:val="en-US" w:eastAsia="zh-CN"/>
        </w:rPr>
        <w:t>原则上，</w:t>
      </w:r>
      <w:r>
        <w:rPr>
          <w:rFonts w:ascii="Times New Roman" w:hAnsi="Times New Roman" w:eastAsia="仿宋" w:cs="Times New Roman"/>
          <w:sz w:val="32"/>
          <w:szCs w:val="32"/>
          <w:highlight w:val="none"/>
        </w:rPr>
        <w:t>子基金管理费（</w:t>
      </w:r>
      <w:r>
        <w:rPr>
          <w:rFonts w:hint="eastAsia" w:ascii="Times New Roman" w:hAnsi="Times New Roman" w:eastAsia="仿宋" w:cs="Times New Roman"/>
          <w:sz w:val="32"/>
          <w:szCs w:val="32"/>
          <w:highlight w:val="none"/>
          <w:lang w:val="en-US" w:eastAsia="zh-CN"/>
        </w:rPr>
        <w:t>及执伙</w:t>
      </w:r>
      <w:r>
        <w:rPr>
          <w:rFonts w:ascii="Times New Roman" w:hAnsi="Times New Roman" w:eastAsia="仿宋" w:cs="Times New Roman"/>
          <w:sz w:val="32"/>
          <w:szCs w:val="32"/>
          <w:highlight w:val="none"/>
        </w:rPr>
        <w:t>费）最高不超过2%/年</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具体计提方式协商确定。</w:t>
      </w:r>
    </w:p>
    <w:p w14:paraId="34E8EAEB">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（八）投资要求。子基金投资应满足以下要求：</w:t>
      </w:r>
    </w:p>
    <w:p w14:paraId="66890978">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1.子基金应优先投资于申报材料中目标产业领域，且投资于目标产业领域的资金应不低于其募集资金总额的80%；</w:t>
      </w:r>
    </w:p>
    <w:p w14:paraId="03252321">
      <w:pPr>
        <w:spacing w:line="600" w:lineRule="exact"/>
        <w:ind w:firstLine="640" w:firstLineChars="200"/>
        <w:rPr>
          <w:rFonts w:hint="eastAsia" w:ascii="仿宋" w:hAnsi="仿宋" w:eastAsia="仿宋" w:cs="仿宋"/>
          <w:sz w:val="32"/>
          <w:szCs w:val="32"/>
          <w:highlight w:val="none"/>
        </w:rPr>
      </w:pPr>
      <w:r>
        <w:rPr>
          <w:rFonts w:ascii="Times New Roman" w:hAnsi="Times New Roman" w:eastAsia="仿宋" w:cs="Times New Roman"/>
          <w:sz w:val="32"/>
          <w:szCs w:val="32"/>
          <w:highlight w:val="none"/>
        </w:rPr>
        <w:t>2.</w:t>
      </w:r>
      <w:r>
        <w:rPr>
          <w:rFonts w:hint="eastAsia" w:ascii="仿宋" w:hAnsi="仿宋" w:eastAsia="仿宋" w:cs="仿宋"/>
          <w:sz w:val="32"/>
          <w:szCs w:val="32"/>
          <w:highlight w:val="none"/>
        </w:rPr>
        <w:t>子基金对单个企业的投资额不得超过子基金认缴规模的20%，且对单个被投企业及其关联方的累计投资额不超过该被投资企业投后股权比例的20%，且原则上不做被投资企业的第一大股东，基于收购、并购目的的投资或项目运营需要控制型投资或政策性项目等具有特殊目的的除外；</w:t>
      </w:r>
    </w:p>
    <w:p w14:paraId="1E9E114C">
      <w:pPr>
        <w:spacing w:line="600" w:lineRule="exact"/>
        <w:ind w:firstLine="640" w:firstLineChars="200"/>
        <w:rPr>
          <w:rFonts w:ascii="Times New Roman" w:hAnsi="Times New Roman" w:eastAsia="仿宋_GB2312" w:cs="Times New Roman"/>
          <w:sz w:val="32"/>
          <w:szCs w:val="32"/>
          <w:highlight w:val="none"/>
        </w:rPr>
      </w:pPr>
      <w:r>
        <w:rPr>
          <w:rFonts w:hint="eastAsia" w:ascii="Times New Roman" w:hAnsi="Times New Roman" w:eastAsia="仿宋" w:cs="Times New Roman"/>
          <w:sz w:val="32"/>
          <w:szCs w:val="32"/>
          <w:highlight w:val="none"/>
        </w:rPr>
        <w:t>3</w:t>
      </w:r>
      <w:r>
        <w:rPr>
          <w:rFonts w:ascii="Times New Roman" w:hAnsi="Times New Roman" w:eastAsia="仿宋" w:cs="Times New Roman"/>
          <w:sz w:val="32"/>
          <w:szCs w:val="32"/>
          <w:highlight w:val="none"/>
        </w:rPr>
        <w:t>.子基金投资于河南省企业的资金应不低于母基金出资额的1倍。</w:t>
      </w:r>
      <w:r>
        <w:rPr>
          <w:rFonts w:ascii="Times New Roman" w:hAnsi="Times New Roman" w:eastAsia="仿宋_GB2312" w:cs="Times New Roman"/>
          <w:sz w:val="32"/>
          <w:szCs w:val="32"/>
          <w:highlight w:val="none"/>
        </w:rPr>
        <w:t xml:space="preserve"> </w:t>
      </w:r>
    </w:p>
    <w:p w14:paraId="310A59F7">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注：以下情形均可被认定为投资于河南省域内企业资金：</w:t>
      </w:r>
    </w:p>
    <w:p w14:paraId="752A2BE6">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(1)直接投资注册地为河南省的企业；</w:t>
      </w:r>
    </w:p>
    <w:p w14:paraId="6DE30838">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(2)为河南省引进落地法人企业并有实质性经营活动的；</w:t>
      </w:r>
    </w:p>
    <w:p w14:paraId="39BF3B50">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(3)投资的河南省外企业以股权投资方式投资河南省已有企业的；</w:t>
      </w:r>
    </w:p>
    <w:p w14:paraId="78534659">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(4)投资的河南省外企业在河南省投资设立新企业的；</w:t>
      </w:r>
    </w:p>
    <w:p w14:paraId="2DBEBFD1">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(5)子基金管理人在管的其他基金新增投资河南省内企业或为河南省引进落地的企业；</w:t>
      </w:r>
    </w:p>
    <w:p w14:paraId="09D17598">
      <w:pPr>
        <w:spacing w:line="600" w:lineRule="exact"/>
        <w:ind w:firstLine="640" w:firstLineChars="200"/>
        <w:rPr>
          <w:rFonts w:ascii="Times New Roman" w:hAnsi="Times New Roman" w:eastAsia="楷体" w:cs="Times New Roman"/>
          <w:sz w:val="32"/>
          <w:szCs w:val="32"/>
          <w:highlight w:val="none"/>
        </w:rPr>
      </w:pPr>
      <w:r>
        <w:rPr>
          <w:rFonts w:ascii="Times New Roman" w:hAnsi="Times New Roman" w:eastAsia="楷体" w:cs="Times New Roman"/>
          <w:sz w:val="32"/>
          <w:szCs w:val="32"/>
          <w:highlight w:val="none"/>
        </w:rPr>
        <w:t>(6)其他可认定为投资河南省企业的。</w:t>
      </w:r>
    </w:p>
    <w:p w14:paraId="4398F254">
      <w:pPr>
        <w:spacing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4</w:t>
      </w:r>
      <w:r>
        <w:rPr>
          <w:rFonts w:ascii="Times New Roman" w:hAnsi="Times New Roman" w:eastAsia="仿宋" w:cs="Times New Roman"/>
          <w:sz w:val="32"/>
          <w:szCs w:val="32"/>
          <w:highlight w:val="none"/>
        </w:rPr>
        <w:t>.投资进度考核要求。</w:t>
      </w:r>
      <w:bookmarkStart w:id="0" w:name="_Hlk166714307"/>
    </w:p>
    <w:p w14:paraId="5D955D80">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子基金实缴出资部分原则上应在每期出资到位后</w:t>
      </w:r>
      <w:r>
        <w:rPr>
          <w:rFonts w:hint="eastAsia" w:ascii="Times New Roman" w:hAnsi="Times New Roman" w:eastAsia="仿宋" w:cs="Times New Roman"/>
          <w:sz w:val="32"/>
          <w:szCs w:val="32"/>
          <w:highlight w:val="none"/>
          <w:lang w:val="en-US" w:eastAsia="zh-CN"/>
        </w:rPr>
        <w:t>3</w:t>
      </w:r>
      <w:r>
        <w:rPr>
          <w:rFonts w:ascii="Times New Roman" w:hAnsi="Times New Roman" w:eastAsia="仿宋" w:cs="Times New Roman"/>
          <w:sz w:val="32"/>
          <w:szCs w:val="32"/>
          <w:highlight w:val="none"/>
        </w:rPr>
        <w:t>年内对外投资完毕，其中子基金成立后</w:t>
      </w:r>
      <w:r>
        <w:rPr>
          <w:rFonts w:hint="eastAsia" w:ascii="Times New Roman" w:hAnsi="Times New Roman" w:eastAsia="仿宋" w:cs="Times New Roman"/>
          <w:sz w:val="32"/>
          <w:szCs w:val="32"/>
          <w:highlight w:val="none"/>
          <w:lang w:val="en-US" w:eastAsia="zh-CN"/>
        </w:rPr>
        <w:t>1</w:t>
      </w:r>
      <w:r>
        <w:rPr>
          <w:rFonts w:ascii="Times New Roman" w:hAnsi="Times New Roman" w:eastAsia="仿宋" w:cs="Times New Roman"/>
          <w:sz w:val="32"/>
          <w:szCs w:val="32"/>
          <w:highlight w:val="none"/>
        </w:rPr>
        <w:t>年内对外投资金额不低于当期基金实缴出资的20%，第</w:t>
      </w:r>
      <w:r>
        <w:rPr>
          <w:rFonts w:hint="eastAsia" w:ascii="Times New Roman" w:hAnsi="Times New Roman" w:eastAsia="仿宋" w:cs="Times New Roman"/>
          <w:sz w:val="32"/>
          <w:szCs w:val="32"/>
          <w:highlight w:val="none"/>
          <w:lang w:val="en-US" w:eastAsia="zh-CN"/>
        </w:rPr>
        <w:t>2</w:t>
      </w:r>
      <w:r>
        <w:rPr>
          <w:rFonts w:ascii="Times New Roman" w:hAnsi="Times New Roman" w:eastAsia="仿宋" w:cs="Times New Roman"/>
          <w:sz w:val="32"/>
          <w:szCs w:val="32"/>
          <w:highlight w:val="none"/>
        </w:rPr>
        <w:t>年不低于50%。</w:t>
      </w:r>
    </w:p>
    <w:bookmarkEnd w:id="0"/>
    <w:p w14:paraId="5C400CBB">
      <w:pPr>
        <w:spacing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5．</w:t>
      </w:r>
      <w:r>
        <w:rPr>
          <w:rFonts w:ascii="Times New Roman" w:hAnsi="Times New Roman" w:eastAsia="仿宋" w:cs="Times New Roman"/>
          <w:sz w:val="32"/>
          <w:szCs w:val="32"/>
          <w:highlight w:val="none"/>
        </w:rPr>
        <w:t>原则上设立的子基金应备案为创投基金，直接进行项目投资。</w:t>
      </w:r>
    </w:p>
    <w:p w14:paraId="20353FE5">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（九）负面清单。子基金不得从事以下业务：</w:t>
      </w:r>
    </w:p>
    <w:p w14:paraId="35E1057D">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1.不得投资不动产（含基础设施）；</w:t>
      </w:r>
    </w:p>
    <w:p w14:paraId="149C695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2.不得投资上市公司股票，但所投资公司上市后基金所持股份的未转让及其配售部分除外；</w:t>
      </w:r>
    </w:p>
    <w:p w14:paraId="4F81519E">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3.不得投资期货、房地产、证券投资基金、评级AAA以下的企业债、信托产品、非保本型理财产品、保险计划及其他金融衍生品；</w:t>
      </w:r>
    </w:p>
    <w:p w14:paraId="2F250AA4">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4.不得投资首发企业股票、存托凭证；</w:t>
      </w:r>
    </w:p>
    <w:p w14:paraId="3B16132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5.不得投资上市公司可转换债券和可交换债券；</w:t>
      </w:r>
    </w:p>
    <w:p w14:paraId="58EA071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6.不得投资公开募集基础设施证券投资基金份额；</w:t>
      </w:r>
    </w:p>
    <w:p w14:paraId="251E556C">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7.不得投资资产支持证券；</w:t>
      </w:r>
    </w:p>
    <w:p w14:paraId="17BFCAD5">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8.不得向任何第三人提供赞助、捐赠（经批准的公益性捐赠除外）；</w:t>
      </w:r>
    </w:p>
    <w:p w14:paraId="33D50281">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9.不得非法募集资金，不得吸收及变相吸收存款，不得向任何第三人提供委托贷款、直接贷款和进行资金拆借的借入、借出（</w:t>
      </w:r>
      <w:r>
        <w:rPr>
          <w:rFonts w:hint="eastAsia" w:ascii="仿宋" w:hAnsi="仿宋" w:eastAsia="仿宋" w:cs="仿宋"/>
          <w:sz w:val="32"/>
          <w:szCs w:val="32"/>
          <w:highlight w:val="none"/>
        </w:rPr>
        <w:t>以股权投资为目的的</w:t>
      </w:r>
      <w:r>
        <w:rPr>
          <w:rFonts w:hint="eastAsia" w:ascii="仿宋" w:hAnsi="仿宋" w:eastAsia="仿宋" w:cs="仿宋"/>
          <w:sz w:val="32"/>
          <w:szCs w:val="32"/>
          <w:highlight w:val="none"/>
          <w:lang w:val="en-US" w:eastAsia="zh-CN"/>
        </w:rPr>
        <w:t>非公开市场发行的</w:t>
      </w:r>
      <w:r>
        <w:rPr>
          <w:rFonts w:hint="eastAsia" w:ascii="仿宋" w:hAnsi="仿宋" w:eastAsia="仿宋" w:cs="仿宋"/>
          <w:sz w:val="32"/>
          <w:szCs w:val="32"/>
          <w:highlight w:val="none"/>
        </w:rPr>
        <w:t>可转债投资除外</w:t>
      </w:r>
      <w:r>
        <w:rPr>
          <w:rFonts w:ascii="Times New Roman" w:hAnsi="Times New Roman" w:eastAsia="仿宋" w:cs="Times New Roman"/>
          <w:sz w:val="32"/>
          <w:szCs w:val="32"/>
          <w:highlight w:val="none"/>
        </w:rPr>
        <w:t>）；</w:t>
      </w:r>
    </w:p>
    <w:p w14:paraId="0DCDE06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10.不得以发行信托或集合理财产品的形式募集资金；</w:t>
      </w:r>
    </w:p>
    <w:p w14:paraId="2E26016B">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11.不得举借融资性债务；</w:t>
      </w:r>
    </w:p>
    <w:p w14:paraId="03113C58">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12.不得进行承担无限连带责任的对外投资；</w:t>
      </w:r>
    </w:p>
    <w:p w14:paraId="4744A09C">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13.不得从事国家和河南省其他法规、政策规定（包括但不限于国家产业政策、环境保护政策、土地管理政策等）及</w:t>
      </w:r>
      <w:r>
        <w:rPr>
          <w:rFonts w:hint="eastAsia" w:ascii="Times New Roman" w:hAnsi="Times New Roman" w:eastAsia="仿宋" w:cs="Times New Roman"/>
          <w:sz w:val="32"/>
          <w:szCs w:val="32"/>
          <w:highlight w:val="none"/>
        </w:rPr>
        <w:t>子基金合伙协议或基金章程</w:t>
      </w:r>
      <w:r>
        <w:rPr>
          <w:rFonts w:ascii="Times New Roman" w:hAnsi="Times New Roman" w:eastAsia="仿宋" w:cs="Times New Roman"/>
          <w:sz w:val="32"/>
          <w:szCs w:val="32"/>
          <w:highlight w:val="none"/>
        </w:rPr>
        <w:t>禁止从事的业务；</w:t>
      </w:r>
    </w:p>
    <w:p w14:paraId="2ED253B2">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14.其他国家法律法规禁止从事的业务。</w:t>
      </w:r>
    </w:p>
    <w:p w14:paraId="4ACD9AB9">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 xml:space="preserve">（十）强制退出： </w:t>
      </w:r>
    </w:p>
    <w:p w14:paraId="55E1A808">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子基金合伙协议或基金章程中应约定，子基金有下列情况之一的，母基金可以提前退出：</w:t>
      </w:r>
    </w:p>
    <w:p w14:paraId="4CF828F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1.母基金投资决策机构作出有效投资决议之日起超过6个月，未按照规定程序完成子基金募集、设立工作的；</w:t>
      </w:r>
    </w:p>
    <w:p w14:paraId="6748D22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 母基金</w:t>
      </w:r>
      <w:r>
        <w:rPr>
          <w:rFonts w:hint="eastAsia" w:ascii="Times New Roman" w:hAnsi="Times New Roman" w:eastAsia="仿宋" w:cs="Times New Roman"/>
          <w:sz w:val="32"/>
          <w:szCs w:val="32"/>
          <w:highlight w:val="none"/>
        </w:rPr>
        <w:t>除备案资金外，实缴</w:t>
      </w:r>
      <w:r>
        <w:rPr>
          <w:rFonts w:ascii="Times New Roman" w:hAnsi="Times New Roman" w:eastAsia="仿宋" w:cs="Times New Roman"/>
          <w:sz w:val="32"/>
          <w:szCs w:val="32"/>
          <w:highlight w:val="none"/>
        </w:rPr>
        <w:t>出资</w:t>
      </w:r>
      <w:r>
        <w:rPr>
          <w:rFonts w:hint="eastAsia" w:ascii="Times New Roman" w:hAnsi="Times New Roman" w:eastAsia="仿宋" w:cs="Times New Roman"/>
          <w:sz w:val="32"/>
          <w:szCs w:val="32"/>
          <w:highlight w:val="none"/>
        </w:rPr>
        <w:t>部分</w:t>
      </w:r>
      <w:r>
        <w:rPr>
          <w:rFonts w:ascii="Times New Roman" w:hAnsi="Times New Roman" w:eastAsia="仿宋" w:cs="Times New Roman"/>
          <w:sz w:val="32"/>
          <w:szCs w:val="32"/>
          <w:highlight w:val="none"/>
        </w:rPr>
        <w:t>拨付至子基金账户6个月以上，子基金未开展实质性投资业务的；</w:t>
      </w:r>
    </w:p>
    <w:p w14:paraId="6FB28851">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3.子基金投资领域和方向不符合母基金政策目标的；</w:t>
      </w:r>
    </w:p>
    <w:p w14:paraId="2F247214">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4.子基金未按协议或章程约定投资的；</w:t>
      </w:r>
    </w:p>
    <w:p w14:paraId="24393D6A">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5.子基金管理机构发生重大变化的；</w:t>
      </w:r>
    </w:p>
    <w:p w14:paraId="42F5BE4F">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6.其他不符合</w:t>
      </w:r>
      <w:r>
        <w:rPr>
          <w:rFonts w:hint="eastAsia" w:ascii="Times New Roman" w:hAnsi="Times New Roman" w:eastAsia="仿宋" w:cs="Times New Roman"/>
          <w:sz w:val="32"/>
          <w:szCs w:val="32"/>
          <w:highlight w:val="none"/>
        </w:rPr>
        <w:t>子基金合伙</w:t>
      </w:r>
      <w:r>
        <w:rPr>
          <w:rFonts w:ascii="Times New Roman" w:hAnsi="Times New Roman" w:eastAsia="仿宋" w:cs="Times New Roman"/>
          <w:sz w:val="32"/>
          <w:szCs w:val="32"/>
          <w:highlight w:val="none"/>
        </w:rPr>
        <w:t>协议或</w:t>
      </w:r>
      <w:r>
        <w:rPr>
          <w:rFonts w:hint="eastAsia" w:ascii="Times New Roman" w:hAnsi="Times New Roman" w:eastAsia="仿宋" w:cs="Times New Roman"/>
          <w:sz w:val="32"/>
          <w:szCs w:val="32"/>
          <w:highlight w:val="none"/>
        </w:rPr>
        <w:t>基金</w:t>
      </w:r>
      <w:r>
        <w:rPr>
          <w:rFonts w:ascii="Times New Roman" w:hAnsi="Times New Roman" w:eastAsia="仿宋" w:cs="Times New Roman"/>
          <w:sz w:val="32"/>
          <w:szCs w:val="32"/>
          <w:highlight w:val="none"/>
        </w:rPr>
        <w:t>章程约定情形的。</w:t>
      </w:r>
    </w:p>
    <w:p w14:paraId="5765B72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十一）收益分配。子基金收益分配应遵循“先本金后收益，即退即分，不滚动投资”的原则，并设置门槛收益率，超过门槛收益率的部分，子基金管理人可提取一定比例的绩效奖励。原则上，子基金应设置门槛收益率不低于6%/年，高于6%/年部分，20%向子基金管理人分配，80%按实缴出资比例向全体合伙人分配。</w:t>
      </w:r>
    </w:p>
    <w:p w14:paraId="742F92A7">
      <w:pPr>
        <w:pStyle w:val="2"/>
        <w:numPr>
          <w:ilvl w:val="0"/>
          <w:numId w:val="0"/>
        </w:numPr>
        <w:spacing w:before="0" w:after="0"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b w:val="0"/>
          <w:sz w:val="32"/>
          <w:szCs w:val="32"/>
          <w:highlight w:val="none"/>
        </w:rPr>
        <w:t>子基金预期收益率原则上为6%年。</w:t>
      </w:r>
    </w:p>
    <w:p w14:paraId="601A01CF">
      <w:pPr>
        <w:spacing w:line="600" w:lineRule="exact"/>
        <w:ind w:firstLine="640" w:firstLineChars="200"/>
        <w:contextualSpacing/>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子基金在河南的返投比例高、产业带动效果好、为河南引入重大项目的，母基金出资部分收益的一定比例可奖励子基金管理人，具体标准另行协商确定。</w:t>
      </w:r>
    </w:p>
    <w:p w14:paraId="3E3404B3">
      <w:pPr>
        <w:adjustRightInd w:val="0"/>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（十二）考核评价。申请机构应承诺接受并配合母基金对子基金进行审计、检查及考核监督</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 xml:space="preserve"> 考核结果可作为调整管理费的依据。</w:t>
      </w:r>
    </w:p>
    <w:p w14:paraId="6CA50C1C">
      <w:pPr>
        <w:adjustRightInd w:val="0"/>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母基金对子基金考核分为子基金的整体考核和子基金的年度考核两部分，必要时可邀请外部专家等进行评审或打分：</w:t>
      </w:r>
    </w:p>
    <w:p w14:paraId="12CE7A26">
      <w:pPr>
        <w:adjustRightInd w:val="0"/>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1.子基金的整体考核。在子基金清算结束后，基金公司对子基金管理机构进行整体考核。考核内容包括</w:t>
      </w:r>
      <w:r>
        <w:rPr>
          <w:rFonts w:hint="eastAsia" w:ascii="Times New Roman" w:hAnsi="Times New Roman" w:eastAsia="仿宋" w:cs="Times New Roman"/>
          <w:sz w:val="32"/>
          <w:szCs w:val="32"/>
          <w:highlight w:val="none"/>
          <w:lang w:val="en-US" w:eastAsia="zh-CN"/>
        </w:rPr>
        <w:t>三</w:t>
      </w:r>
      <w:r>
        <w:rPr>
          <w:rFonts w:ascii="Times New Roman" w:hAnsi="Times New Roman" w:eastAsia="仿宋" w:cs="Times New Roman"/>
          <w:sz w:val="32"/>
          <w:szCs w:val="32"/>
          <w:highlight w:val="none"/>
        </w:rPr>
        <w:t>个方面：社会资本的募集和放大效果、子基金运营管理的规范性、子基金的投资效益、子基金目标落实情况(社会效益)。子基金的考核指标在子基金设立决策时细化明确。</w:t>
      </w:r>
    </w:p>
    <w:p w14:paraId="1630AD8B">
      <w:pPr>
        <w:adjustRightInd w:val="0"/>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子基金年度绩效考核。根据基子金发展的不同阶段和年度运行情况，对子基金管理机构进行年度绩效考核。考核指标为子基金制度建设、决策流程的执行程度、目标进度的达成情况和信息报送情况，子基金的考核指标在子基金设立决策时细化明确。</w:t>
      </w:r>
    </w:p>
    <w:p w14:paraId="37FADCC8">
      <w:pPr>
        <w:spacing w:line="600" w:lineRule="exact"/>
        <w:ind w:firstLine="640" w:firstLineChars="200"/>
        <w:jc w:val="left"/>
        <w:outlineLvl w:val="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3.</w:t>
      </w:r>
      <w:r>
        <w:rPr>
          <w:rFonts w:ascii="Times New Roman" w:hAnsi="Times New Roman" w:eastAsia="仿宋" w:cs="Times New Roman"/>
          <w:sz w:val="32"/>
          <w:szCs w:val="32"/>
          <w:highlight w:val="none"/>
        </w:rPr>
        <w:t>根据子基金考核情况，给予子基金管理机构一定的激励或处罚</w:t>
      </w:r>
      <w:r>
        <w:rPr>
          <w:rFonts w:hint="eastAsia" w:ascii="Times New Roman" w:hAnsi="Times New Roman" w:eastAsia="仿宋" w:cs="Times New Roman"/>
          <w:sz w:val="32"/>
          <w:szCs w:val="32"/>
          <w:highlight w:val="none"/>
        </w:rPr>
        <w:t>，</w:t>
      </w:r>
      <w:r>
        <w:rPr>
          <w:rFonts w:ascii="Times New Roman" w:hAnsi="Times New Roman" w:eastAsia="仿宋" w:cs="Times New Roman"/>
          <w:sz w:val="32"/>
          <w:szCs w:val="32"/>
          <w:highlight w:val="none"/>
        </w:rPr>
        <w:t>具体标准另行协商确定</w:t>
      </w:r>
      <w:r>
        <w:rPr>
          <w:rFonts w:hint="eastAsia" w:ascii="Times New Roman" w:hAnsi="Times New Roman" w:eastAsia="仿宋" w:cs="Times New Roman"/>
          <w:sz w:val="32"/>
          <w:szCs w:val="32"/>
          <w:highlight w:val="none"/>
        </w:rPr>
        <w:t>。</w:t>
      </w:r>
    </w:p>
    <w:p w14:paraId="17E855A6">
      <w:pPr>
        <w:adjustRightInd w:val="0"/>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（十三）</w:t>
      </w:r>
      <w:r>
        <w:rPr>
          <w:rFonts w:hint="eastAsia" w:ascii="Times New Roman" w:hAnsi="Times New Roman" w:eastAsia="仿宋" w:cs="Times New Roman"/>
          <w:sz w:val="32"/>
          <w:szCs w:val="32"/>
          <w:highlight w:val="none"/>
        </w:rPr>
        <w:t>其他事项。子基金层面，若非</w:t>
      </w:r>
      <w:r>
        <w:rPr>
          <w:rFonts w:hint="eastAsia" w:ascii="Times New Roman" w:hAnsi="Times New Roman" w:eastAsia="仿宋" w:cs="Times New Roman"/>
          <w:sz w:val="32"/>
          <w:szCs w:val="32"/>
          <w:highlight w:val="none"/>
          <w:lang w:val="en-US" w:eastAsia="zh-CN"/>
        </w:rPr>
        <w:t>河南</w:t>
      </w:r>
      <w:r>
        <w:rPr>
          <w:rFonts w:ascii="Times New Roman" w:hAnsi="Times New Roman" w:eastAsia="仿宋" w:cs="Times New Roman"/>
          <w:sz w:val="32"/>
          <w:szCs w:val="32"/>
          <w:highlight w:val="none"/>
        </w:rPr>
        <w:t>资本集团</w:t>
      </w:r>
      <w:r>
        <w:rPr>
          <w:rFonts w:hint="eastAsia" w:ascii="Times New Roman" w:hAnsi="Times New Roman" w:eastAsia="仿宋" w:cs="Times New Roman"/>
          <w:sz w:val="32"/>
          <w:szCs w:val="32"/>
          <w:highlight w:val="none"/>
        </w:rPr>
        <w:t>基金公司作为备案管理人或执行事务合伙人，且无委派投委的情况下，要求设置观察员，观察员有“一票否决权”。但仅对于基金合规性问题（例如是否违反基金投资方向、是否投资基金限制类事项）享有一票否决的权利。</w:t>
      </w:r>
      <w:r>
        <w:rPr>
          <w:rFonts w:ascii="Times New Roman" w:hAnsi="Times New Roman" w:eastAsia="仿宋" w:cs="Times New Roman"/>
          <w:sz w:val="32"/>
          <w:szCs w:val="32"/>
          <w:highlight w:val="none"/>
        </w:rPr>
        <w:t>具体情况如下：</w:t>
      </w:r>
    </w:p>
    <w:p w14:paraId="472A8A82">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1.</w:t>
      </w:r>
      <w:r>
        <w:rPr>
          <w:rFonts w:ascii="Times New Roman" w:hAnsi="Times New Roman" w:eastAsia="仿宋" w:cs="Times New Roman"/>
          <w:sz w:val="32"/>
          <w:szCs w:val="32"/>
          <w:highlight w:val="none"/>
          <w:lang w:val="zh-CN"/>
        </w:rPr>
        <w:t>出资到子基金比例不</w:t>
      </w:r>
      <w:r>
        <w:rPr>
          <w:rFonts w:hint="eastAsia" w:ascii="Times New Roman" w:hAnsi="Times New Roman" w:eastAsia="仿宋" w:cs="Times New Roman"/>
          <w:sz w:val="32"/>
          <w:szCs w:val="32"/>
          <w:highlight w:val="none"/>
          <w:lang w:val="zh-CN"/>
        </w:rPr>
        <w:t>低</w:t>
      </w:r>
      <w:r>
        <w:rPr>
          <w:rFonts w:ascii="Times New Roman" w:hAnsi="Times New Roman" w:eastAsia="仿宋" w:cs="Times New Roman"/>
          <w:sz w:val="32"/>
          <w:szCs w:val="32"/>
          <w:highlight w:val="none"/>
          <w:lang w:val="zh-CN"/>
        </w:rPr>
        <w:t>于30%的情况；</w:t>
      </w:r>
    </w:p>
    <w:p w14:paraId="461088D3">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2.</w:t>
      </w:r>
      <w:r>
        <w:rPr>
          <w:rFonts w:ascii="Times New Roman" w:hAnsi="Times New Roman" w:eastAsia="仿宋" w:cs="Times New Roman"/>
          <w:sz w:val="32"/>
          <w:szCs w:val="32"/>
          <w:highlight w:val="none"/>
          <w:lang w:val="zh-CN"/>
        </w:rPr>
        <w:t>基金管理人或执行事务合伙人为非国资的投资机构；</w:t>
      </w:r>
    </w:p>
    <w:p w14:paraId="035DDA34">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3.</w:t>
      </w:r>
      <w:r>
        <w:rPr>
          <w:rFonts w:ascii="Times New Roman" w:hAnsi="Times New Roman" w:eastAsia="仿宋" w:cs="Times New Roman"/>
          <w:sz w:val="32"/>
          <w:szCs w:val="32"/>
          <w:highlight w:val="none"/>
          <w:lang w:val="zh-CN"/>
        </w:rPr>
        <w:t>存在</w:t>
      </w:r>
      <w:r>
        <w:rPr>
          <w:rFonts w:ascii="Times New Roman" w:hAnsi="Times New Roman" w:eastAsia="仿宋" w:cs="Times New Roman"/>
          <w:sz w:val="32"/>
          <w:szCs w:val="32"/>
          <w:highlight w:val="none"/>
        </w:rPr>
        <w:t>子</w:t>
      </w:r>
      <w:r>
        <w:rPr>
          <w:rFonts w:ascii="Times New Roman" w:hAnsi="Times New Roman" w:eastAsia="仿宋" w:cs="Times New Roman"/>
          <w:sz w:val="32"/>
          <w:szCs w:val="32"/>
          <w:highlight w:val="none"/>
          <w:lang w:val="zh-CN"/>
        </w:rPr>
        <w:t>基金LP</w:t>
      </w:r>
      <w:r>
        <w:rPr>
          <w:rFonts w:ascii="Times New Roman" w:hAnsi="Times New Roman" w:eastAsia="仿宋" w:cs="Times New Roman"/>
          <w:sz w:val="32"/>
          <w:szCs w:val="32"/>
          <w:highlight w:val="none"/>
        </w:rPr>
        <w:t>为</w:t>
      </w:r>
      <w:r>
        <w:rPr>
          <w:rFonts w:ascii="Times New Roman" w:hAnsi="Times New Roman" w:eastAsia="仿宋" w:cs="Times New Roman"/>
          <w:sz w:val="32"/>
          <w:szCs w:val="32"/>
          <w:highlight w:val="none"/>
          <w:lang w:val="zh-CN"/>
        </w:rPr>
        <w:t>实体企业的情况；</w:t>
      </w:r>
    </w:p>
    <w:p w14:paraId="42889E4F">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4.子</w:t>
      </w:r>
      <w:r>
        <w:rPr>
          <w:rFonts w:ascii="Times New Roman" w:hAnsi="Times New Roman" w:eastAsia="仿宋" w:cs="Times New Roman"/>
          <w:sz w:val="32"/>
          <w:szCs w:val="32"/>
          <w:highlight w:val="none"/>
          <w:lang w:val="zh-CN"/>
        </w:rPr>
        <w:t>基金投向纾困、并购等重大投资</w:t>
      </w:r>
      <w:r>
        <w:rPr>
          <w:rFonts w:ascii="Times New Roman" w:hAnsi="Times New Roman" w:eastAsia="仿宋" w:cs="Times New Roman"/>
          <w:sz w:val="32"/>
          <w:szCs w:val="32"/>
          <w:highlight w:val="none"/>
        </w:rPr>
        <w:t>类型的情况</w:t>
      </w:r>
      <w:r>
        <w:rPr>
          <w:rFonts w:ascii="Times New Roman" w:hAnsi="Times New Roman" w:eastAsia="仿宋" w:cs="Times New Roman"/>
          <w:sz w:val="32"/>
          <w:szCs w:val="32"/>
          <w:highlight w:val="none"/>
          <w:lang w:val="zh-CN"/>
        </w:rPr>
        <w:t>；</w:t>
      </w:r>
    </w:p>
    <w:p w14:paraId="0E2E16FE">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5.子</w:t>
      </w:r>
      <w:r>
        <w:rPr>
          <w:rFonts w:ascii="Times New Roman" w:hAnsi="Times New Roman" w:eastAsia="仿宋" w:cs="Times New Roman"/>
          <w:sz w:val="32"/>
          <w:szCs w:val="32"/>
          <w:highlight w:val="none"/>
          <w:lang w:val="zh-CN"/>
        </w:rPr>
        <w:t>基金定位为S基金的情况；</w:t>
      </w:r>
    </w:p>
    <w:p w14:paraId="1934BD08">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6.</w:t>
      </w:r>
      <w:r>
        <w:rPr>
          <w:rFonts w:ascii="Times New Roman" w:hAnsi="Times New Roman" w:eastAsia="仿宋" w:cs="Times New Roman"/>
          <w:sz w:val="32"/>
          <w:szCs w:val="32"/>
          <w:highlight w:val="none"/>
          <w:lang w:val="zh-CN"/>
        </w:rPr>
        <w:t>子基金投向可转债的</w:t>
      </w:r>
      <w:r>
        <w:rPr>
          <w:rFonts w:ascii="Times New Roman" w:hAnsi="Times New Roman" w:eastAsia="仿宋" w:cs="Times New Roman"/>
          <w:sz w:val="32"/>
          <w:szCs w:val="32"/>
          <w:highlight w:val="none"/>
        </w:rPr>
        <w:t>情况</w:t>
      </w:r>
      <w:r>
        <w:rPr>
          <w:rFonts w:ascii="Times New Roman" w:hAnsi="Times New Roman" w:eastAsia="仿宋" w:cs="Times New Roman"/>
          <w:sz w:val="32"/>
          <w:szCs w:val="32"/>
          <w:highlight w:val="none"/>
          <w:lang w:val="zh-CN"/>
        </w:rPr>
        <w:t>；</w:t>
      </w:r>
    </w:p>
    <w:p w14:paraId="17449C92">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7.</w:t>
      </w:r>
      <w:r>
        <w:rPr>
          <w:rFonts w:ascii="Times New Roman" w:hAnsi="Times New Roman" w:eastAsia="仿宋" w:cs="Times New Roman"/>
          <w:sz w:val="32"/>
          <w:szCs w:val="32"/>
          <w:highlight w:val="none"/>
          <w:lang w:val="zh-CN"/>
        </w:rPr>
        <w:t>省外资金占</w:t>
      </w:r>
      <w:r>
        <w:rPr>
          <w:rFonts w:ascii="Times New Roman" w:hAnsi="Times New Roman" w:eastAsia="仿宋" w:cs="Times New Roman"/>
          <w:sz w:val="32"/>
          <w:szCs w:val="32"/>
          <w:highlight w:val="none"/>
        </w:rPr>
        <w:t>子</w:t>
      </w:r>
      <w:r>
        <w:rPr>
          <w:rFonts w:ascii="Times New Roman" w:hAnsi="Times New Roman" w:eastAsia="仿宋" w:cs="Times New Roman"/>
          <w:sz w:val="32"/>
          <w:szCs w:val="32"/>
          <w:highlight w:val="none"/>
          <w:lang w:val="zh-CN"/>
        </w:rPr>
        <w:t>基金规模超过30%的</w:t>
      </w:r>
      <w:r>
        <w:rPr>
          <w:rFonts w:ascii="Times New Roman" w:hAnsi="Times New Roman" w:eastAsia="仿宋" w:cs="Times New Roman"/>
          <w:sz w:val="32"/>
          <w:szCs w:val="32"/>
          <w:highlight w:val="none"/>
        </w:rPr>
        <w:t>情况</w:t>
      </w:r>
      <w:r>
        <w:rPr>
          <w:rFonts w:ascii="Times New Roman" w:hAnsi="Times New Roman" w:eastAsia="仿宋" w:cs="Times New Roman"/>
          <w:sz w:val="32"/>
          <w:szCs w:val="32"/>
          <w:highlight w:val="none"/>
          <w:lang w:val="zh-CN"/>
        </w:rPr>
        <w:t>；</w:t>
      </w:r>
    </w:p>
    <w:p w14:paraId="3E375D83">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8.</w:t>
      </w:r>
      <w:r>
        <w:rPr>
          <w:rFonts w:ascii="Times New Roman" w:hAnsi="Times New Roman" w:eastAsia="仿宋" w:cs="Times New Roman"/>
          <w:sz w:val="32"/>
          <w:szCs w:val="32"/>
          <w:highlight w:val="none"/>
          <w:lang w:val="zh-CN"/>
        </w:rPr>
        <w:t>要求返投的资金合计超过</w:t>
      </w:r>
      <w:r>
        <w:rPr>
          <w:rFonts w:ascii="Times New Roman" w:hAnsi="Times New Roman" w:eastAsia="仿宋" w:cs="Times New Roman"/>
          <w:sz w:val="32"/>
          <w:szCs w:val="32"/>
          <w:highlight w:val="none"/>
        </w:rPr>
        <w:t>子</w:t>
      </w:r>
      <w:r>
        <w:rPr>
          <w:rFonts w:ascii="Times New Roman" w:hAnsi="Times New Roman" w:eastAsia="仿宋" w:cs="Times New Roman"/>
          <w:sz w:val="32"/>
          <w:szCs w:val="32"/>
          <w:highlight w:val="none"/>
          <w:lang w:val="zh-CN"/>
        </w:rPr>
        <w:t>基金规模60%的</w:t>
      </w:r>
      <w:r>
        <w:rPr>
          <w:rFonts w:ascii="Times New Roman" w:hAnsi="Times New Roman" w:eastAsia="仿宋" w:cs="Times New Roman"/>
          <w:sz w:val="32"/>
          <w:szCs w:val="32"/>
          <w:highlight w:val="none"/>
        </w:rPr>
        <w:t>情况</w:t>
      </w:r>
      <w:r>
        <w:rPr>
          <w:rFonts w:ascii="Times New Roman" w:hAnsi="Times New Roman" w:eastAsia="仿宋" w:cs="Times New Roman"/>
          <w:sz w:val="32"/>
          <w:szCs w:val="32"/>
          <w:highlight w:val="none"/>
          <w:lang w:val="zh-CN"/>
        </w:rPr>
        <w:t>；</w:t>
      </w:r>
    </w:p>
    <w:p w14:paraId="6D0B4793">
      <w:pPr>
        <w:adjustRightInd w:val="0"/>
        <w:spacing w:line="600" w:lineRule="exact"/>
        <w:ind w:firstLine="640" w:firstLineChars="200"/>
        <w:rPr>
          <w:rFonts w:ascii="Times New Roman" w:hAnsi="Times New Roman" w:eastAsia="仿宋" w:cs="Times New Roman"/>
          <w:sz w:val="32"/>
          <w:szCs w:val="32"/>
          <w:highlight w:val="none"/>
          <w:lang w:val="zh-CN"/>
        </w:rPr>
      </w:pPr>
      <w:r>
        <w:rPr>
          <w:rFonts w:ascii="Times New Roman" w:hAnsi="Times New Roman" w:eastAsia="仿宋" w:cs="Times New Roman"/>
          <w:sz w:val="32"/>
          <w:szCs w:val="32"/>
          <w:highlight w:val="none"/>
        </w:rPr>
        <w:t>9.</w:t>
      </w:r>
      <w:r>
        <w:rPr>
          <w:rFonts w:ascii="Times New Roman" w:hAnsi="Times New Roman" w:eastAsia="仿宋" w:cs="Times New Roman"/>
          <w:sz w:val="32"/>
          <w:szCs w:val="32"/>
          <w:highlight w:val="none"/>
          <w:lang w:val="zh-CN"/>
        </w:rPr>
        <w:t>主要投向</w:t>
      </w:r>
      <w:r>
        <w:rPr>
          <w:rFonts w:ascii="Times New Roman" w:hAnsi="Times New Roman" w:eastAsia="仿宋" w:cs="Times New Roman"/>
          <w:sz w:val="32"/>
          <w:szCs w:val="32"/>
          <w:highlight w:val="none"/>
        </w:rPr>
        <w:t>为</w:t>
      </w:r>
      <w:r>
        <w:rPr>
          <w:rFonts w:ascii="Times New Roman" w:hAnsi="Times New Roman" w:eastAsia="仿宋" w:cs="Times New Roman"/>
          <w:sz w:val="32"/>
          <w:szCs w:val="32"/>
          <w:highlight w:val="none"/>
          <w:lang w:val="zh-CN"/>
        </w:rPr>
        <w:t>天使期、初期的子基金。</w:t>
      </w:r>
    </w:p>
    <w:p w14:paraId="10D1DCA7">
      <w:pPr>
        <w:spacing w:line="600" w:lineRule="exact"/>
        <w:ind w:firstLine="640" w:firstLineChars="200"/>
        <w:rPr>
          <w:rFonts w:ascii="Times New Roman" w:hAnsi="Times New Roman" w:eastAsia="黑体" w:cs="Times New Roman"/>
          <w:bCs/>
          <w:sz w:val="32"/>
          <w:szCs w:val="32"/>
          <w:highlight w:val="none"/>
        </w:rPr>
      </w:pPr>
      <w:r>
        <w:rPr>
          <w:rFonts w:ascii="Times New Roman" w:hAnsi="Times New Roman" w:eastAsia="黑体" w:cs="Times New Roman"/>
          <w:bCs/>
          <w:sz w:val="32"/>
          <w:szCs w:val="32"/>
          <w:highlight w:val="none"/>
        </w:rPr>
        <w:t>四、申请方式</w:t>
      </w:r>
    </w:p>
    <w:p w14:paraId="5E0AAA43">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（一）申请渠道。申请机构可通过以下渠道与相关工作人员联系对接，并按照本指南要求报送申请材料，除此之外，国改基金未委托任何机构和单位代为开展子基金申报工作，也不接受任何中介机构的推荐。</w:t>
      </w:r>
    </w:p>
    <w:p w14:paraId="5A32C400">
      <w:pPr>
        <w:spacing w:line="600" w:lineRule="exact"/>
        <w:ind w:firstLine="640" w:firstLineChars="200"/>
        <w:rPr>
          <w:rFonts w:hint="eastAsia" w:ascii="仿宋" w:hAnsi="仿宋" w:eastAsia="仿宋" w:cs="仿宋"/>
          <w:sz w:val="32"/>
          <w:szCs w:val="32"/>
          <w:highlight w:val="none"/>
        </w:rPr>
      </w:pPr>
      <w:r>
        <w:rPr>
          <w:rFonts w:hint="eastAsia" w:ascii="Times New Roman" w:hAnsi="Times New Roman" w:eastAsia="仿宋" w:cs="Times New Roman"/>
          <w:sz w:val="32"/>
          <w:szCs w:val="32"/>
          <w:highlight w:val="none"/>
          <w:lang w:val="en-US" w:eastAsia="zh-CN"/>
        </w:rPr>
        <w:t>河南</w:t>
      </w:r>
      <w:r>
        <w:rPr>
          <w:rFonts w:ascii="Times New Roman" w:hAnsi="Times New Roman" w:eastAsia="仿宋" w:cs="Times New Roman"/>
          <w:sz w:val="32"/>
          <w:szCs w:val="32"/>
          <w:highlight w:val="none"/>
        </w:rPr>
        <w:t>资本集团</w:t>
      </w:r>
      <w:r>
        <w:rPr>
          <w:rFonts w:hint="eastAsia" w:ascii="仿宋" w:hAnsi="仿宋" w:eastAsia="仿宋" w:cs="仿宋"/>
          <w:sz w:val="32"/>
          <w:szCs w:val="32"/>
          <w:highlight w:val="none"/>
        </w:rPr>
        <w:t>基金公司</w:t>
      </w:r>
    </w:p>
    <w:p w14:paraId="689610E9">
      <w:pPr>
        <w:spacing w:line="60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联系人：赵老师</w:t>
      </w:r>
    </w:p>
    <w:p w14:paraId="60139D79">
      <w:pPr>
        <w:spacing w:line="60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电话：15324946093 </w:t>
      </w:r>
    </w:p>
    <w:p w14:paraId="6B8D1B33">
      <w:pPr>
        <w:spacing w:line="60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邮箱：jjgs@hnscg.cn </w:t>
      </w:r>
    </w:p>
    <w:p w14:paraId="1F59511D">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（二）材料要求。申请机构应按照《</w:t>
      </w:r>
      <w:bookmarkStart w:id="1" w:name="_Hlk22653244"/>
      <w:r>
        <w:rPr>
          <w:rFonts w:ascii="Times New Roman" w:hAnsi="Times New Roman" w:eastAsia="仿宋" w:cs="Times New Roman"/>
          <w:sz w:val="32"/>
          <w:szCs w:val="32"/>
          <w:highlight w:val="none"/>
        </w:rPr>
        <w:t>申请机构</w:t>
      </w:r>
      <w:bookmarkEnd w:id="1"/>
      <w:r>
        <w:rPr>
          <w:rFonts w:ascii="Times New Roman" w:hAnsi="Times New Roman" w:eastAsia="仿宋" w:cs="Times New Roman"/>
          <w:sz w:val="32"/>
          <w:szCs w:val="32"/>
          <w:highlight w:val="none"/>
        </w:rPr>
        <w:t>提交材料清单》（附件1）规定的内容编制申请材料，申请材料加盖申请机构公章</w:t>
      </w:r>
      <w:r>
        <w:rPr>
          <w:rFonts w:hint="eastAsia" w:ascii="Times New Roman" w:hAnsi="Times New Roman" w:eastAsia="仿宋" w:cs="Times New Roman"/>
          <w:sz w:val="32"/>
          <w:szCs w:val="32"/>
          <w:highlight w:val="none"/>
          <w:lang w:eastAsia="zh-CN"/>
        </w:rPr>
        <w:t>、</w:t>
      </w:r>
      <w:r>
        <w:rPr>
          <w:rFonts w:hint="eastAsia" w:ascii="Times New Roman" w:hAnsi="Times New Roman" w:eastAsia="仿宋" w:cs="Times New Roman"/>
          <w:sz w:val="32"/>
          <w:szCs w:val="32"/>
          <w:highlight w:val="none"/>
          <w:lang w:val="en-US" w:eastAsia="zh-CN"/>
        </w:rPr>
        <w:t>骑缝章</w:t>
      </w:r>
      <w:r>
        <w:rPr>
          <w:rFonts w:ascii="Times New Roman" w:hAnsi="Times New Roman" w:eastAsia="仿宋" w:cs="Times New Roman"/>
          <w:sz w:val="32"/>
          <w:szCs w:val="32"/>
          <w:highlight w:val="none"/>
        </w:rPr>
        <w:t>后电子版（盖章扫描件）发送至指定邮箱，纸质版一式3份，</w:t>
      </w:r>
      <w:r>
        <w:rPr>
          <w:rFonts w:hint="eastAsia" w:ascii="Times New Roman" w:hAnsi="Times New Roman" w:eastAsia="仿宋" w:cs="Times New Roman"/>
          <w:sz w:val="32"/>
          <w:szCs w:val="32"/>
          <w:highlight w:val="none"/>
        </w:rPr>
        <w:t>报送或邮寄至联系地址</w:t>
      </w:r>
      <w:r>
        <w:rPr>
          <w:rFonts w:ascii="Times New Roman" w:hAnsi="Times New Roman" w:eastAsia="仿宋" w:cs="Times New Roman"/>
          <w:sz w:val="32"/>
          <w:szCs w:val="32"/>
          <w:highlight w:val="none"/>
        </w:rPr>
        <w:t>，申请机构应承诺对申报材料的合法性、真实性、有效性、一致性负完全责任。</w:t>
      </w:r>
    </w:p>
    <w:p w14:paraId="40899A6E">
      <w:pPr>
        <w:spacing w:line="600" w:lineRule="exact"/>
        <w:ind w:firstLine="640" w:firstLineChars="200"/>
        <w:rPr>
          <w:rFonts w:ascii="Times New Roman" w:hAnsi="Times New Roman" w:eastAsia="黑体" w:cs="Times New Roman"/>
          <w:bCs/>
          <w:sz w:val="32"/>
          <w:szCs w:val="32"/>
          <w:highlight w:val="none"/>
        </w:rPr>
      </w:pPr>
      <w:r>
        <w:rPr>
          <w:rFonts w:ascii="Times New Roman" w:hAnsi="Times New Roman" w:eastAsia="黑体" w:cs="Times New Roman"/>
          <w:bCs/>
          <w:sz w:val="32"/>
          <w:szCs w:val="32"/>
          <w:highlight w:val="none"/>
        </w:rPr>
        <w:t>五、其他事宜</w:t>
      </w:r>
    </w:p>
    <w:p w14:paraId="52CCD9CC">
      <w:pPr>
        <w:spacing w:line="600" w:lineRule="exact"/>
        <w:ind w:firstLine="640" w:firstLineChars="200"/>
        <w:rPr>
          <w:rFonts w:hint="eastAsia"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申报机构应对申报材料的合法性、真实性、有效性、一致性负责，提供虚假材料的，将取消合作资格。</w:t>
      </w:r>
    </w:p>
    <w:p w14:paraId="31C1465B">
      <w:pPr>
        <w:spacing w:line="600" w:lineRule="exact"/>
        <w:ind w:firstLine="640" w:firstLineChars="200"/>
        <w:rPr>
          <w:rFonts w:ascii="Times New Roman" w:hAnsi="Times New Roman" w:eastAsia="仿宋" w:cs="Times New Roman"/>
          <w:sz w:val="32"/>
          <w:szCs w:val="32"/>
          <w:highlight w:val="none"/>
        </w:rPr>
      </w:pPr>
      <w:r>
        <w:rPr>
          <w:rFonts w:hint="eastAsia" w:ascii="Times New Roman" w:hAnsi="Times New Roman" w:eastAsia="仿宋" w:cs="Times New Roman"/>
          <w:sz w:val="32"/>
          <w:szCs w:val="32"/>
          <w:highlight w:val="none"/>
        </w:rPr>
        <w:t>本申报指南仅是一种邀请行为，并不构成法律上的要约。子基金管理机构根据上述程序择优确定，如未入选不再另行通知。申报材料不予退回。</w:t>
      </w:r>
    </w:p>
    <w:p w14:paraId="79F64014">
      <w:pPr>
        <w:spacing w:line="600" w:lineRule="exact"/>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本指南由</w:t>
      </w:r>
      <w:r>
        <w:rPr>
          <w:rFonts w:hint="eastAsia" w:ascii="Times New Roman" w:hAnsi="Times New Roman" w:eastAsia="仿宋" w:cs="Times New Roman"/>
          <w:sz w:val="32"/>
          <w:szCs w:val="32"/>
          <w:highlight w:val="none"/>
          <w:lang w:val="en-US" w:eastAsia="zh-CN"/>
        </w:rPr>
        <w:t>河南</w:t>
      </w:r>
      <w:r>
        <w:rPr>
          <w:rFonts w:ascii="Times New Roman" w:hAnsi="Times New Roman" w:eastAsia="仿宋" w:cs="Times New Roman"/>
          <w:sz w:val="32"/>
          <w:szCs w:val="32"/>
          <w:highlight w:val="none"/>
        </w:rPr>
        <w:t>资本集团基金公司制定并负责解释，并可根据产业子基金的规划及实际设立情况适时更新发布。</w:t>
      </w:r>
    </w:p>
    <w:p w14:paraId="77054276">
      <w:pPr>
        <w:spacing w:line="600" w:lineRule="exact"/>
        <w:rPr>
          <w:rFonts w:ascii="Times New Roman" w:hAnsi="Times New Roman" w:eastAsia="仿宋_GB2312" w:cs="Times New Roman"/>
          <w:sz w:val="32"/>
          <w:szCs w:val="32"/>
          <w:highlight w:val="none"/>
        </w:rPr>
      </w:pPr>
    </w:p>
    <w:p w14:paraId="1FD3AB2B">
      <w:pPr>
        <w:ind w:firstLine="640" w:firstLineChars="200"/>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附件：1</w:t>
      </w:r>
      <w:bookmarkStart w:id="2" w:name="_Hlk22657618"/>
      <w:r>
        <w:rPr>
          <w:rFonts w:ascii="Times New Roman" w:hAnsi="Times New Roman" w:eastAsia="仿宋" w:cs="Times New Roman"/>
          <w:sz w:val="32"/>
          <w:szCs w:val="32"/>
          <w:highlight w:val="none"/>
        </w:rPr>
        <w:t>．申请机构提交材料</w:t>
      </w:r>
      <w:bookmarkEnd w:id="2"/>
      <w:r>
        <w:rPr>
          <w:rFonts w:ascii="Times New Roman" w:hAnsi="Times New Roman" w:eastAsia="仿宋" w:cs="Times New Roman"/>
          <w:sz w:val="32"/>
          <w:szCs w:val="32"/>
          <w:highlight w:val="none"/>
        </w:rPr>
        <w:t>清单</w:t>
      </w:r>
    </w:p>
    <w:p w14:paraId="165A65AB">
      <w:pPr>
        <w:spacing w:line="600" w:lineRule="exact"/>
        <w:ind w:firstLine="1558" w:firstLineChars="487"/>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2</w:t>
      </w:r>
      <w:bookmarkStart w:id="3" w:name="_Hlk22653650"/>
      <w:r>
        <w:rPr>
          <w:rFonts w:ascii="Times New Roman" w:hAnsi="Times New Roman" w:eastAsia="仿宋" w:cs="Times New Roman"/>
          <w:sz w:val="32"/>
          <w:szCs w:val="32"/>
          <w:highlight w:val="none"/>
        </w:rPr>
        <w:t>．申请机构信息登记表</w:t>
      </w:r>
      <w:bookmarkEnd w:id="3"/>
    </w:p>
    <w:p w14:paraId="24FB0AD1">
      <w:pPr>
        <w:spacing w:line="600" w:lineRule="exact"/>
        <w:ind w:firstLine="1558" w:firstLineChars="487"/>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3．申请机构承诺函</w:t>
      </w:r>
    </w:p>
    <w:p w14:paraId="4DDAC885">
      <w:pPr>
        <w:spacing w:line="600" w:lineRule="exact"/>
        <w:ind w:firstLine="1558" w:firstLineChars="487"/>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4．申请机构投资业绩</w:t>
      </w:r>
    </w:p>
    <w:p w14:paraId="5D4B72ED">
      <w:pPr>
        <w:spacing w:line="600" w:lineRule="exact"/>
        <w:ind w:firstLine="1558" w:firstLineChars="487"/>
        <w:rPr>
          <w:rFonts w:ascii="Times New Roman" w:hAnsi="Times New Roman" w:eastAsia="仿宋" w:cs="Times New Roman"/>
          <w:sz w:val="32"/>
          <w:szCs w:val="32"/>
          <w:highlight w:val="none"/>
        </w:rPr>
      </w:pPr>
      <w:r>
        <w:rPr>
          <w:rFonts w:ascii="Times New Roman" w:hAnsi="Times New Roman" w:eastAsia="仿宋" w:cs="Times New Roman"/>
          <w:sz w:val="32"/>
          <w:szCs w:val="32"/>
          <w:highlight w:val="none"/>
        </w:rPr>
        <w:t>5．申请机构管理团队投资业绩</w:t>
      </w:r>
    </w:p>
    <w:p w14:paraId="3284DB6B">
      <w:pPr>
        <w:tabs>
          <w:tab w:val="left" w:pos="4905"/>
        </w:tabs>
        <w:spacing w:line="600" w:lineRule="exact"/>
        <w:ind w:firstLine="1600" w:firstLineChars="500"/>
        <w:rPr>
          <w:rFonts w:ascii="Times New Roman" w:hAnsi="Times New Roman" w:eastAsia="仿宋" w:cs="Times New Roman"/>
          <w:sz w:val="30"/>
          <w:szCs w:val="30"/>
          <w:highlight w:val="none"/>
        </w:rPr>
        <w:sectPr>
          <w:footerReference r:id="rId3" w:type="default"/>
          <w:pgSz w:w="11906" w:h="16838"/>
          <w:pgMar w:top="1440" w:right="1304" w:bottom="1304" w:left="1304" w:header="851" w:footer="992" w:gutter="0"/>
          <w:cols w:space="425" w:num="1"/>
          <w:docGrid w:type="lines" w:linePitch="312" w:charSpace="0"/>
        </w:sectPr>
      </w:pPr>
      <w:r>
        <w:rPr>
          <w:rFonts w:ascii="Times New Roman" w:hAnsi="Times New Roman" w:eastAsia="仿宋" w:cs="Times New Roman"/>
          <w:sz w:val="32"/>
          <w:szCs w:val="32"/>
          <w:highlight w:val="none"/>
        </w:rPr>
        <w:t>6．储备项目列表</w:t>
      </w:r>
    </w:p>
    <w:p w14:paraId="2DE2723C">
      <w:pPr>
        <w:spacing w:before="312" w:beforeLines="100" w:line="560" w:lineRule="exact"/>
        <w:rPr>
          <w:rFonts w:ascii="Times New Roman" w:hAnsi="Times New Roman" w:eastAsia="仿宋" w:cs="Times New Roman"/>
          <w:b/>
          <w:bCs/>
          <w:sz w:val="32"/>
          <w:szCs w:val="36"/>
          <w:highlight w:val="none"/>
        </w:rPr>
      </w:pPr>
      <w:r>
        <w:rPr>
          <w:rFonts w:ascii="Times New Roman" w:hAnsi="Times New Roman" w:eastAsia="仿宋" w:cs="Times New Roman"/>
          <w:b/>
          <w:bCs/>
          <w:sz w:val="32"/>
          <w:szCs w:val="36"/>
          <w:highlight w:val="none"/>
        </w:rPr>
        <w:t>附件1:</w:t>
      </w:r>
    </w:p>
    <w:p w14:paraId="634543E2">
      <w:pPr>
        <w:autoSpaceDN w:val="0"/>
        <w:spacing w:line="560" w:lineRule="exact"/>
        <w:jc w:val="center"/>
        <w:rPr>
          <w:rFonts w:ascii="Times New Roman" w:hAnsi="Times New Roman" w:eastAsia="方正小标宋简体" w:cs="Times New Roman"/>
          <w:sz w:val="44"/>
          <w:szCs w:val="44"/>
          <w:highlight w:val="none"/>
        </w:rPr>
      </w:pPr>
      <w:r>
        <w:rPr>
          <w:rFonts w:ascii="Times New Roman" w:hAnsi="Times New Roman" w:eastAsia="方正小标宋简体" w:cs="Times New Roman"/>
          <w:sz w:val="44"/>
          <w:szCs w:val="44"/>
          <w:highlight w:val="none"/>
        </w:rPr>
        <w:t>申请机构提交材料清单</w:t>
      </w:r>
    </w:p>
    <w:p w14:paraId="734A1801">
      <w:pPr>
        <w:autoSpaceDN w:val="0"/>
        <w:spacing w:line="480" w:lineRule="exact"/>
        <w:ind w:firstLine="548" w:firstLineChars="196"/>
        <w:rPr>
          <w:rFonts w:ascii="Times New Roman" w:hAnsi="Times New Roman" w:eastAsia="黑体" w:cs="Times New Roman"/>
          <w:sz w:val="28"/>
          <w:szCs w:val="30"/>
          <w:highlight w:val="none"/>
        </w:rPr>
      </w:pPr>
    </w:p>
    <w:p w14:paraId="7C87D592">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一、申请机构信息登记表（附件2）</w:t>
      </w:r>
    </w:p>
    <w:p w14:paraId="021941F2">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二、申请机构承诺函（附件3）</w:t>
      </w:r>
    </w:p>
    <w:p w14:paraId="1E0396CA">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三、基金组建方案。</w:t>
      </w:r>
    </w:p>
    <w:p w14:paraId="0ABC8DD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基金方案应至少包括以下要素：</w:t>
      </w:r>
    </w:p>
    <w:p w14:paraId="7E9B36E4">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基金名称（暂定名）；2．组织形式；3．存续期限；4．基金规模（总规模、缴款进度安排、申请母基金规模，是否分级）；5．出资结构（各意向出资人认缴金额及拟出资时间）；6．基金管理人及托管人；7．投资方式及投资策略；8．基金投向（拟投向的产业领域、地域及比例）；9．投资决策机制；10．管理费；11．收益分配；12．退出安排；13．信息披露制度；14．储备项目情况简介（附件6）</w:t>
      </w:r>
    </w:p>
    <w:p w14:paraId="2395C057">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四、申请机构简介</w:t>
      </w:r>
    </w:p>
    <w:p w14:paraId="430098A8">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（一）</w:t>
      </w:r>
      <w:r>
        <w:rPr>
          <w:rFonts w:ascii="Times New Roman" w:hAnsi="Times New Roman" w:eastAsia="仿宋" w:cs="Times New Roman"/>
          <w:sz w:val="32"/>
          <w:szCs w:val="32"/>
        </w:rPr>
        <w:t>申请机构简介（成立时间、注册资本、实收资本、股东及股权结构、过往及目前管理基金情况，部门设置及相应人员配置，优势简介）</w:t>
      </w:r>
    </w:p>
    <w:p w14:paraId="08ED30B6">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（二）</w:t>
      </w:r>
      <w:r>
        <w:rPr>
          <w:rFonts w:ascii="Times New Roman" w:hAnsi="Times New Roman" w:eastAsia="仿宋" w:cs="Times New Roman"/>
          <w:sz w:val="32"/>
          <w:szCs w:val="32"/>
        </w:rPr>
        <w:t>管理团队（团队核心人员简介，不包括兼职人员）</w:t>
      </w:r>
    </w:p>
    <w:p w14:paraId="0E727B21">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申请机构投资业绩（附件4）</w:t>
      </w:r>
    </w:p>
    <w:p w14:paraId="58EA5FA1">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申请机构管理团队投资业绩（附件5）</w:t>
      </w:r>
    </w:p>
    <w:p w14:paraId="326377A2">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w:t>
      </w:r>
      <w:r>
        <w:rPr>
          <w:rFonts w:ascii="Times New Roman" w:hAnsi="Times New Roman" w:eastAsia="仿宋" w:cs="Times New Roman"/>
          <w:sz w:val="32"/>
          <w:szCs w:val="32"/>
        </w:rPr>
        <w:t>三个以上已投项目案例介绍，没有相关案例的，请说明情况。</w:t>
      </w:r>
    </w:p>
    <w:p w14:paraId="2CF15B0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w:t>
      </w:r>
      <w:r>
        <w:rPr>
          <w:rFonts w:ascii="Times New Roman" w:hAnsi="Times New Roman" w:eastAsia="仿宋" w:cs="Times New Roman"/>
          <w:sz w:val="32"/>
          <w:szCs w:val="32"/>
        </w:rPr>
        <w:t>申请机构的风险约束和激励机制</w:t>
      </w:r>
    </w:p>
    <w:p w14:paraId="423D8823">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w:t>
      </w:r>
      <w:r>
        <w:rPr>
          <w:rFonts w:ascii="Times New Roman" w:hAnsi="Times New Roman" w:eastAsia="仿宋" w:cs="Times New Roman"/>
          <w:sz w:val="32"/>
          <w:szCs w:val="32"/>
        </w:rPr>
        <w:t>申请机构投后管理相关制度及工作方案</w:t>
      </w:r>
    </w:p>
    <w:p w14:paraId="4D9C7ED4">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五、其他证明性文件：</w:t>
      </w:r>
    </w:p>
    <w:p w14:paraId="07BA7C3C">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（一）</w:t>
      </w:r>
      <w:r>
        <w:rPr>
          <w:rFonts w:ascii="Times New Roman" w:hAnsi="Times New Roman" w:eastAsia="仿宋" w:cs="Times New Roman"/>
          <w:sz w:val="32"/>
          <w:szCs w:val="32"/>
        </w:rPr>
        <w:t>申请机构章程，</w:t>
      </w:r>
      <w:r>
        <w:rPr>
          <w:rFonts w:hint="eastAsia" w:ascii="Times New Roman" w:hAnsi="Times New Roman" w:eastAsia="仿宋" w:cs="Times New Roman"/>
          <w:sz w:val="32"/>
          <w:szCs w:val="32"/>
          <w:lang w:val="en-US" w:eastAsia="zh-CN"/>
        </w:rPr>
        <w:t>3</w:t>
      </w:r>
      <w:bookmarkStart w:id="5" w:name="_GoBack"/>
      <w:bookmarkEnd w:id="5"/>
      <w:r>
        <w:rPr>
          <w:rFonts w:ascii="Times New Roman" w:hAnsi="Times New Roman" w:eastAsia="仿宋" w:cs="Times New Roman"/>
          <w:sz w:val="32"/>
          <w:szCs w:val="32"/>
        </w:rPr>
        <w:t>年一期财务报表、审计报告、验资报告；</w:t>
      </w:r>
    </w:p>
    <w:p w14:paraId="183CCEE2">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（二）</w:t>
      </w:r>
      <w:r>
        <w:rPr>
          <w:rFonts w:ascii="Times New Roman" w:hAnsi="Times New Roman" w:eastAsia="仿宋" w:cs="Times New Roman"/>
          <w:sz w:val="32"/>
          <w:szCs w:val="32"/>
        </w:rPr>
        <w:t>申请机构投资决策、风险控制、激励机制等制度文件；</w:t>
      </w:r>
    </w:p>
    <w:p w14:paraId="6FD979B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申请机构团队核心人员的身份证明和履历材料；</w:t>
      </w:r>
    </w:p>
    <w:p w14:paraId="051F0B2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意向出资人出资意向函（明确拟出资金额及计划出资时间）、出资能力证明材料。</w:t>
      </w:r>
    </w:p>
    <w:p w14:paraId="12FB3D9F">
      <w:pPr>
        <w:spacing w:before="312" w:beforeLines="100" w:line="480" w:lineRule="exact"/>
        <w:rPr>
          <w:rFonts w:ascii="Times New Roman" w:hAnsi="Times New Roman" w:eastAsia="仿宋" w:cs="Times New Roman"/>
          <w:b/>
          <w:bCs/>
          <w:sz w:val="30"/>
          <w:szCs w:val="30"/>
        </w:rPr>
      </w:pPr>
      <w:r>
        <w:rPr>
          <w:rFonts w:ascii="Times New Roman" w:hAnsi="Times New Roman" w:eastAsia="仿宋" w:cs="Times New Roman"/>
          <w:sz w:val="28"/>
          <w:szCs w:val="32"/>
        </w:rPr>
        <w:br w:type="page"/>
      </w:r>
      <w:r>
        <w:rPr>
          <w:rFonts w:ascii="Times New Roman" w:hAnsi="Times New Roman" w:eastAsia="仿宋" w:cs="Times New Roman"/>
          <w:b/>
          <w:bCs/>
          <w:sz w:val="30"/>
          <w:szCs w:val="30"/>
        </w:rPr>
        <w:t>附件2:</w:t>
      </w:r>
    </w:p>
    <w:p w14:paraId="4B77B28F">
      <w:pPr>
        <w:spacing w:before="156" w:beforeLines="50" w:line="520" w:lineRule="exact"/>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申请机构信息登记表</w:t>
      </w:r>
    </w:p>
    <w:p w14:paraId="4A0A01D3">
      <w:pPr>
        <w:spacing w:before="156" w:beforeLines="50"/>
        <w:jc w:val="center"/>
        <w:rPr>
          <w:rFonts w:ascii="Times New Roman" w:hAnsi="Times New Roman" w:eastAsia="黑体" w:cs="Times New Roman"/>
          <w:sz w:val="22"/>
          <w:szCs w:val="32"/>
        </w:rPr>
      </w:pPr>
    </w:p>
    <w:tbl>
      <w:tblPr>
        <w:tblStyle w:val="6"/>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1800"/>
        <w:gridCol w:w="965"/>
        <w:gridCol w:w="25"/>
        <w:gridCol w:w="1080"/>
        <w:gridCol w:w="2613"/>
      </w:tblGrid>
      <w:tr w14:paraId="108D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7CF4C860">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拟设立基金名称</w:t>
            </w:r>
          </w:p>
        </w:tc>
        <w:tc>
          <w:tcPr>
            <w:tcW w:w="6483" w:type="dxa"/>
            <w:gridSpan w:val="5"/>
            <w:tcBorders>
              <w:top w:val="single" w:color="auto" w:sz="4" w:space="0"/>
              <w:left w:val="single" w:color="auto" w:sz="4" w:space="0"/>
              <w:bottom w:val="single" w:color="auto" w:sz="4" w:space="0"/>
              <w:right w:val="single" w:color="auto" w:sz="4" w:space="0"/>
            </w:tcBorders>
          </w:tcPr>
          <w:p w14:paraId="55B80B14">
            <w:pPr>
              <w:spacing w:line="440" w:lineRule="exact"/>
              <w:rPr>
                <w:rFonts w:ascii="Times New Roman" w:hAnsi="Times New Roman" w:eastAsia="仿宋" w:cs="Times New Roman"/>
                <w:sz w:val="24"/>
                <w:szCs w:val="24"/>
              </w:rPr>
            </w:pPr>
          </w:p>
        </w:tc>
      </w:tr>
      <w:tr w14:paraId="77D6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2B71E373">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拟设立基金规模</w:t>
            </w:r>
          </w:p>
        </w:tc>
        <w:tc>
          <w:tcPr>
            <w:tcW w:w="6483" w:type="dxa"/>
            <w:gridSpan w:val="5"/>
            <w:tcBorders>
              <w:top w:val="single" w:color="auto" w:sz="4" w:space="0"/>
              <w:left w:val="single" w:color="auto" w:sz="4" w:space="0"/>
              <w:bottom w:val="single" w:color="auto" w:sz="4" w:space="0"/>
              <w:right w:val="single" w:color="auto" w:sz="4" w:space="0"/>
            </w:tcBorders>
          </w:tcPr>
          <w:p w14:paraId="4B2F7CE2">
            <w:pPr>
              <w:spacing w:line="440" w:lineRule="exact"/>
              <w:rPr>
                <w:rFonts w:ascii="Times New Roman" w:hAnsi="Times New Roman" w:eastAsia="仿宋" w:cs="Times New Roman"/>
                <w:sz w:val="24"/>
                <w:szCs w:val="24"/>
              </w:rPr>
            </w:pPr>
          </w:p>
        </w:tc>
      </w:tr>
      <w:tr w14:paraId="668B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0319BDE5">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拟设立基金投资策略</w:t>
            </w:r>
          </w:p>
        </w:tc>
        <w:tc>
          <w:tcPr>
            <w:tcW w:w="6483" w:type="dxa"/>
            <w:gridSpan w:val="5"/>
            <w:tcBorders>
              <w:top w:val="single" w:color="auto" w:sz="4" w:space="0"/>
              <w:left w:val="single" w:color="auto" w:sz="4" w:space="0"/>
              <w:bottom w:val="single" w:color="auto" w:sz="4" w:space="0"/>
              <w:right w:val="single" w:color="auto" w:sz="4" w:space="0"/>
            </w:tcBorders>
          </w:tcPr>
          <w:p w14:paraId="0D96A02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拟投资领域和资金比例：</w:t>
            </w:r>
          </w:p>
        </w:tc>
      </w:tr>
      <w:tr w14:paraId="0071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vAlign w:val="center"/>
          </w:tcPr>
          <w:p w14:paraId="1F6CC9D2">
            <w:pPr>
              <w:spacing w:line="440" w:lineRule="exact"/>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2B874BBE">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拟投资区域和资金比例：</w:t>
            </w:r>
          </w:p>
        </w:tc>
      </w:tr>
      <w:tr w14:paraId="3B00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1B3B7368">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申请机构名称</w:t>
            </w:r>
          </w:p>
        </w:tc>
        <w:tc>
          <w:tcPr>
            <w:tcW w:w="6483" w:type="dxa"/>
            <w:gridSpan w:val="5"/>
            <w:tcBorders>
              <w:top w:val="single" w:color="auto" w:sz="4" w:space="0"/>
              <w:left w:val="single" w:color="auto" w:sz="4" w:space="0"/>
              <w:bottom w:val="single" w:color="auto" w:sz="4" w:space="0"/>
              <w:right w:val="single" w:color="auto" w:sz="4" w:space="0"/>
            </w:tcBorders>
          </w:tcPr>
          <w:p w14:paraId="52C7186D">
            <w:pPr>
              <w:spacing w:line="440" w:lineRule="exact"/>
              <w:rPr>
                <w:rFonts w:ascii="Times New Roman" w:hAnsi="Times New Roman" w:eastAsia="仿宋" w:cs="Times New Roman"/>
                <w:sz w:val="24"/>
                <w:szCs w:val="24"/>
              </w:rPr>
            </w:pPr>
          </w:p>
        </w:tc>
      </w:tr>
      <w:tr w14:paraId="6984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2C135CF7">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注册地址</w:t>
            </w:r>
          </w:p>
        </w:tc>
        <w:tc>
          <w:tcPr>
            <w:tcW w:w="6483" w:type="dxa"/>
            <w:gridSpan w:val="5"/>
            <w:tcBorders>
              <w:top w:val="single" w:color="auto" w:sz="4" w:space="0"/>
              <w:left w:val="single" w:color="auto" w:sz="4" w:space="0"/>
              <w:bottom w:val="single" w:color="auto" w:sz="4" w:space="0"/>
              <w:right w:val="single" w:color="auto" w:sz="4" w:space="0"/>
            </w:tcBorders>
          </w:tcPr>
          <w:p w14:paraId="7DE23124">
            <w:pPr>
              <w:spacing w:line="440" w:lineRule="exact"/>
              <w:rPr>
                <w:rFonts w:ascii="Times New Roman" w:hAnsi="Times New Roman" w:eastAsia="仿宋" w:cs="Times New Roman"/>
                <w:sz w:val="24"/>
                <w:szCs w:val="24"/>
              </w:rPr>
            </w:pPr>
          </w:p>
        </w:tc>
      </w:tr>
      <w:tr w14:paraId="2C19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0D144227">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法人代表/负责人</w:t>
            </w:r>
          </w:p>
        </w:tc>
        <w:tc>
          <w:tcPr>
            <w:tcW w:w="6483" w:type="dxa"/>
            <w:gridSpan w:val="5"/>
            <w:tcBorders>
              <w:top w:val="single" w:color="auto" w:sz="4" w:space="0"/>
              <w:left w:val="single" w:color="auto" w:sz="4" w:space="0"/>
              <w:bottom w:val="single" w:color="auto" w:sz="4" w:space="0"/>
              <w:right w:val="single" w:color="auto" w:sz="4" w:space="0"/>
            </w:tcBorders>
          </w:tcPr>
          <w:p w14:paraId="5D3A9959">
            <w:pPr>
              <w:spacing w:line="440" w:lineRule="exact"/>
              <w:rPr>
                <w:rFonts w:ascii="Times New Roman" w:hAnsi="Times New Roman" w:eastAsia="仿宋" w:cs="Times New Roman"/>
                <w:sz w:val="24"/>
                <w:szCs w:val="24"/>
              </w:rPr>
            </w:pPr>
          </w:p>
        </w:tc>
      </w:tr>
      <w:tr w14:paraId="173E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76E415AA">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股东及持股比例</w:t>
            </w:r>
          </w:p>
        </w:tc>
        <w:tc>
          <w:tcPr>
            <w:tcW w:w="6483" w:type="dxa"/>
            <w:gridSpan w:val="5"/>
            <w:tcBorders>
              <w:top w:val="single" w:color="auto" w:sz="4" w:space="0"/>
              <w:left w:val="single" w:color="auto" w:sz="4" w:space="0"/>
              <w:bottom w:val="single" w:color="auto" w:sz="4" w:space="0"/>
              <w:right w:val="single" w:color="auto" w:sz="4" w:space="0"/>
            </w:tcBorders>
          </w:tcPr>
          <w:p w14:paraId="27202527">
            <w:pPr>
              <w:spacing w:line="440" w:lineRule="exact"/>
              <w:rPr>
                <w:rFonts w:ascii="Times New Roman" w:hAnsi="Times New Roman" w:eastAsia="仿宋" w:cs="Times New Roman"/>
                <w:sz w:val="24"/>
                <w:szCs w:val="24"/>
              </w:rPr>
            </w:pPr>
          </w:p>
        </w:tc>
      </w:tr>
      <w:tr w14:paraId="4917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bottom w:val="single" w:color="auto" w:sz="4" w:space="0"/>
              <w:right w:val="single" w:color="auto" w:sz="4" w:space="0"/>
            </w:tcBorders>
            <w:vAlign w:val="center"/>
          </w:tcPr>
          <w:p w14:paraId="42E67706">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联系人/联系方式</w:t>
            </w:r>
          </w:p>
        </w:tc>
        <w:tc>
          <w:tcPr>
            <w:tcW w:w="1800" w:type="dxa"/>
            <w:tcBorders>
              <w:top w:val="single" w:color="auto" w:sz="4" w:space="0"/>
              <w:left w:val="single" w:color="auto" w:sz="4" w:space="0"/>
              <w:bottom w:val="single" w:color="auto" w:sz="4" w:space="0"/>
              <w:right w:val="single" w:color="auto" w:sz="4" w:space="0"/>
            </w:tcBorders>
          </w:tcPr>
          <w:p w14:paraId="1E70F7E0">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姓名</w:t>
            </w:r>
          </w:p>
        </w:tc>
        <w:tc>
          <w:tcPr>
            <w:tcW w:w="2070" w:type="dxa"/>
            <w:gridSpan w:val="3"/>
            <w:tcBorders>
              <w:top w:val="single" w:color="auto" w:sz="4" w:space="0"/>
              <w:left w:val="single" w:color="auto" w:sz="4" w:space="0"/>
              <w:bottom w:val="single" w:color="auto" w:sz="4" w:space="0"/>
              <w:right w:val="single" w:color="auto" w:sz="4" w:space="0"/>
            </w:tcBorders>
          </w:tcPr>
          <w:p w14:paraId="6EE205EB">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职务</w:t>
            </w:r>
          </w:p>
        </w:tc>
        <w:tc>
          <w:tcPr>
            <w:tcW w:w="2613" w:type="dxa"/>
            <w:tcBorders>
              <w:top w:val="single" w:color="auto" w:sz="4" w:space="0"/>
              <w:left w:val="single" w:color="auto" w:sz="4" w:space="0"/>
              <w:bottom w:val="single" w:color="auto" w:sz="4" w:space="0"/>
              <w:right w:val="single" w:color="auto" w:sz="4" w:space="0"/>
            </w:tcBorders>
          </w:tcPr>
          <w:p w14:paraId="7009F564">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办公电话</w:t>
            </w:r>
          </w:p>
        </w:tc>
      </w:tr>
      <w:tr w14:paraId="166E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top w:val="single" w:color="auto" w:sz="4" w:space="0"/>
              <w:left w:val="single" w:color="auto" w:sz="4" w:space="0"/>
              <w:bottom w:val="single" w:color="auto" w:sz="4" w:space="0"/>
              <w:right w:val="single" w:color="auto" w:sz="4" w:space="0"/>
            </w:tcBorders>
            <w:vAlign w:val="center"/>
          </w:tcPr>
          <w:p w14:paraId="344FCB3B">
            <w:pPr>
              <w:widowControl/>
              <w:rPr>
                <w:rFonts w:ascii="Times New Roman" w:hAnsi="Times New Roman" w:eastAsia="仿宋" w:cs="Times New Roman"/>
                <w:sz w:val="24"/>
                <w:szCs w:val="24"/>
              </w:rPr>
            </w:pPr>
          </w:p>
        </w:tc>
        <w:tc>
          <w:tcPr>
            <w:tcW w:w="1800" w:type="dxa"/>
            <w:tcBorders>
              <w:top w:val="single" w:color="auto" w:sz="4" w:space="0"/>
              <w:left w:val="single" w:color="auto" w:sz="4" w:space="0"/>
              <w:bottom w:val="single" w:color="auto" w:sz="4" w:space="0"/>
              <w:right w:val="single" w:color="auto" w:sz="4" w:space="0"/>
            </w:tcBorders>
          </w:tcPr>
          <w:p w14:paraId="74345452">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手机</w:t>
            </w:r>
          </w:p>
        </w:tc>
        <w:tc>
          <w:tcPr>
            <w:tcW w:w="2070" w:type="dxa"/>
            <w:gridSpan w:val="3"/>
            <w:tcBorders>
              <w:top w:val="single" w:color="auto" w:sz="4" w:space="0"/>
              <w:left w:val="single" w:color="auto" w:sz="4" w:space="0"/>
              <w:bottom w:val="single" w:color="auto" w:sz="4" w:space="0"/>
              <w:right w:val="single" w:color="auto" w:sz="4" w:space="0"/>
            </w:tcBorders>
          </w:tcPr>
          <w:p w14:paraId="1693CF58">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传真</w:t>
            </w:r>
          </w:p>
        </w:tc>
        <w:tc>
          <w:tcPr>
            <w:tcW w:w="2613" w:type="dxa"/>
            <w:tcBorders>
              <w:top w:val="single" w:color="auto" w:sz="4" w:space="0"/>
              <w:left w:val="single" w:color="auto" w:sz="4" w:space="0"/>
              <w:bottom w:val="single" w:color="auto" w:sz="4" w:space="0"/>
              <w:right w:val="single" w:color="auto" w:sz="4" w:space="0"/>
            </w:tcBorders>
          </w:tcPr>
          <w:p w14:paraId="3F8618B1">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电子邮件</w:t>
            </w:r>
          </w:p>
        </w:tc>
      </w:tr>
      <w:tr w14:paraId="6DED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top w:val="single" w:color="auto" w:sz="4" w:space="0"/>
              <w:left w:val="single" w:color="auto" w:sz="4" w:space="0"/>
              <w:bottom w:val="single" w:color="auto" w:sz="4" w:space="0"/>
              <w:right w:val="single" w:color="auto" w:sz="4" w:space="0"/>
            </w:tcBorders>
            <w:vAlign w:val="center"/>
          </w:tcPr>
          <w:p w14:paraId="19FCBF1B">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103C21EA">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通信地址</w:t>
            </w:r>
          </w:p>
        </w:tc>
      </w:tr>
      <w:tr w14:paraId="7AD4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54724BBC">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管理基金情况</w:t>
            </w:r>
          </w:p>
        </w:tc>
        <w:tc>
          <w:tcPr>
            <w:tcW w:w="2765" w:type="dxa"/>
            <w:gridSpan w:val="2"/>
            <w:tcBorders>
              <w:top w:val="single" w:color="auto" w:sz="4" w:space="0"/>
              <w:left w:val="single" w:color="auto" w:sz="4" w:space="0"/>
              <w:bottom w:val="single" w:color="auto" w:sz="4" w:space="0"/>
              <w:right w:val="single" w:color="auto" w:sz="4" w:space="0"/>
            </w:tcBorders>
          </w:tcPr>
          <w:p w14:paraId="3FD05E03">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累计管理基金数量：</w:t>
            </w:r>
          </w:p>
        </w:tc>
        <w:tc>
          <w:tcPr>
            <w:tcW w:w="3718" w:type="dxa"/>
            <w:gridSpan w:val="3"/>
            <w:tcBorders>
              <w:top w:val="single" w:color="auto" w:sz="4" w:space="0"/>
              <w:left w:val="single" w:color="auto" w:sz="4" w:space="0"/>
              <w:bottom w:val="single" w:color="auto" w:sz="4" w:space="0"/>
              <w:right w:val="single" w:color="auto" w:sz="4" w:space="0"/>
            </w:tcBorders>
          </w:tcPr>
          <w:p w14:paraId="37B37674">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累计管理资金规模：</w:t>
            </w:r>
          </w:p>
        </w:tc>
      </w:tr>
      <w:tr w14:paraId="295A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445" w:type="dxa"/>
            <w:vMerge w:val="continue"/>
            <w:tcBorders>
              <w:left w:val="single" w:color="auto" w:sz="4" w:space="0"/>
              <w:right w:val="single" w:color="auto" w:sz="4" w:space="0"/>
            </w:tcBorders>
            <w:vAlign w:val="center"/>
          </w:tcPr>
          <w:p w14:paraId="3212F09A">
            <w:pPr>
              <w:spacing w:line="440" w:lineRule="exact"/>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1BA523C8">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已实现退出数量及规模：</w:t>
            </w:r>
          </w:p>
        </w:tc>
      </w:tr>
      <w:tr w14:paraId="2900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45" w:type="dxa"/>
            <w:vMerge w:val="continue"/>
            <w:tcBorders>
              <w:left w:val="single" w:color="auto" w:sz="4" w:space="0"/>
              <w:right w:val="single" w:color="auto" w:sz="4" w:space="0"/>
            </w:tcBorders>
            <w:vAlign w:val="center"/>
          </w:tcPr>
          <w:p w14:paraId="0D6E6BF2">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602FE8B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已实现退出收益情况（倍数及IRR）：</w:t>
            </w:r>
          </w:p>
        </w:tc>
      </w:tr>
      <w:tr w14:paraId="70EC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1EAB0C9B">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已投资项目情况</w:t>
            </w:r>
          </w:p>
        </w:tc>
        <w:tc>
          <w:tcPr>
            <w:tcW w:w="2765" w:type="dxa"/>
            <w:gridSpan w:val="2"/>
            <w:tcBorders>
              <w:top w:val="single" w:color="auto" w:sz="4" w:space="0"/>
              <w:left w:val="single" w:color="auto" w:sz="4" w:space="0"/>
              <w:bottom w:val="single" w:color="auto" w:sz="4" w:space="0"/>
              <w:right w:val="single" w:color="auto" w:sz="4" w:space="0"/>
            </w:tcBorders>
          </w:tcPr>
          <w:p w14:paraId="230F4D3C">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累计项目数量：</w:t>
            </w:r>
          </w:p>
        </w:tc>
        <w:tc>
          <w:tcPr>
            <w:tcW w:w="3718" w:type="dxa"/>
            <w:gridSpan w:val="3"/>
            <w:tcBorders>
              <w:top w:val="single" w:color="auto" w:sz="4" w:space="0"/>
              <w:left w:val="single" w:color="auto" w:sz="4" w:space="0"/>
              <w:bottom w:val="single" w:color="auto" w:sz="4" w:space="0"/>
              <w:right w:val="single" w:color="auto" w:sz="4" w:space="0"/>
            </w:tcBorders>
          </w:tcPr>
          <w:p w14:paraId="1D12AFB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累计投资规模：</w:t>
            </w:r>
          </w:p>
        </w:tc>
      </w:tr>
      <w:tr w14:paraId="3EB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445" w:type="dxa"/>
            <w:vMerge w:val="continue"/>
            <w:tcBorders>
              <w:left w:val="single" w:color="auto" w:sz="4" w:space="0"/>
              <w:right w:val="single" w:color="auto" w:sz="4" w:space="0"/>
            </w:tcBorders>
            <w:vAlign w:val="center"/>
          </w:tcPr>
          <w:p w14:paraId="4B801DDA">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0D061DEC">
            <w:pPr>
              <w:rPr>
                <w:rFonts w:ascii="Times New Roman" w:hAnsi="Times New Roman" w:eastAsia="仿宋" w:cs="Times New Roman"/>
                <w:sz w:val="24"/>
                <w:szCs w:val="24"/>
              </w:rPr>
            </w:pPr>
            <w:r>
              <w:rPr>
                <w:rFonts w:ascii="Times New Roman" w:hAnsi="Times New Roman" w:eastAsia="仿宋" w:cs="Times New Roman"/>
                <w:sz w:val="24"/>
                <w:szCs w:val="24"/>
              </w:rPr>
              <w:t>已退出项目数量及规模：</w:t>
            </w:r>
          </w:p>
        </w:tc>
      </w:tr>
      <w:tr w14:paraId="4CBD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vAlign w:val="center"/>
          </w:tcPr>
          <w:p w14:paraId="7FF8E7C2">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0ADFF4C4">
            <w:pPr>
              <w:rPr>
                <w:rFonts w:ascii="Times New Roman" w:hAnsi="Times New Roman" w:eastAsia="仿宋" w:cs="Times New Roman"/>
                <w:sz w:val="24"/>
                <w:szCs w:val="24"/>
              </w:rPr>
            </w:pPr>
            <w:r>
              <w:rPr>
                <w:rFonts w:ascii="Times New Roman" w:hAnsi="Times New Roman" w:eastAsia="仿宋" w:cs="Times New Roman"/>
                <w:sz w:val="24"/>
                <w:szCs w:val="24"/>
              </w:rPr>
              <w:t>已退出项目收益情况（倍数及IRR）：</w:t>
            </w:r>
          </w:p>
        </w:tc>
      </w:tr>
      <w:tr w14:paraId="683F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45" w:type="dxa"/>
            <w:tcBorders>
              <w:top w:val="single" w:color="auto" w:sz="4" w:space="0"/>
              <w:left w:val="single" w:color="auto" w:sz="4" w:space="0"/>
              <w:right w:val="single" w:color="auto" w:sz="4" w:space="0"/>
            </w:tcBorders>
            <w:vAlign w:val="center"/>
          </w:tcPr>
          <w:p w14:paraId="2612F781">
            <w:pPr>
              <w:spacing w:line="60" w:lineRule="auto"/>
              <w:rPr>
                <w:rFonts w:ascii="Times New Roman" w:hAnsi="Times New Roman" w:eastAsia="仿宋" w:cs="Times New Roman"/>
                <w:sz w:val="24"/>
                <w:szCs w:val="24"/>
              </w:rPr>
            </w:pPr>
            <w:r>
              <w:rPr>
                <w:rFonts w:hint="eastAsia" w:ascii="Times New Roman" w:hAnsi="Times New Roman" w:eastAsia="仿宋" w:cs="Times New Roman"/>
                <w:sz w:val="24"/>
                <w:szCs w:val="24"/>
              </w:rPr>
              <w:t>协会备案编号</w:t>
            </w:r>
          </w:p>
        </w:tc>
        <w:tc>
          <w:tcPr>
            <w:tcW w:w="6483" w:type="dxa"/>
            <w:gridSpan w:val="5"/>
            <w:tcBorders>
              <w:top w:val="single" w:color="auto" w:sz="4" w:space="0"/>
              <w:left w:val="single" w:color="auto" w:sz="4" w:space="0"/>
              <w:bottom w:val="single" w:color="auto" w:sz="4" w:space="0"/>
              <w:right w:val="single" w:color="auto" w:sz="4" w:space="0"/>
            </w:tcBorders>
          </w:tcPr>
          <w:p w14:paraId="40ADD7DF">
            <w:pPr>
              <w:rPr>
                <w:rFonts w:ascii="Times New Roman" w:hAnsi="Times New Roman" w:eastAsia="仿宋" w:cs="Times New Roman"/>
                <w:sz w:val="24"/>
                <w:szCs w:val="24"/>
              </w:rPr>
            </w:pPr>
          </w:p>
        </w:tc>
      </w:tr>
      <w:tr w14:paraId="3343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445" w:type="dxa"/>
            <w:vMerge w:val="restart"/>
            <w:tcBorders>
              <w:top w:val="single" w:color="auto" w:sz="4" w:space="0"/>
              <w:left w:val="single" w:color="auto" w:sz="4" w:space="0"/>
              <w:right w:val="single" w:color="auto" w:sz="4" w:space="0"/>
            </w:tcBorders>
            <w:vAlign w:val="center"/>
          </w:tcPr>
          <w:p w14:paraId="5FC07D39">
            <w:pPr>
              <w:spacing w:line="60" w:lineRule="auto"/>
              <w:rPr>
                <w:rFonts w:ascii="Times New Roman" w:hAnsi="Times New Roman" w:eastAsia="仿宋" w:cs="Times New Roman"/>
                <w:sz w:val="24"/>
                <w:szCs w:val="24"/>
              </w:rPr>
            </w:pPr>
            <w:r>
              <w:rPr>
                <w:rFonts w:ascii="Times New Roman" w:hAnsi="Times New Roman" w:eastAsia="仿宋" w:cs="Times New Roman"/>
                <w:sz w:val="24"/>
                <w:szCs w:val="24"/>
              </w:rPr>
              <w:t>核心团队成员投资项目情况</w:t>
            </w:r>
            <w:r>
              <w:rPr>
                <w:rFonts w:hint="eastAsia" w:ascii="Times New Roman" w:hAnsi="Times New Roman" w:eastAsia="仿宋" w:cs="Times New Roman"/>
                <w:sz w:val="24"/>
                <w:szCs w:val="24"/>
              </w:rPr>
              <w:t>（投资负责人、风控负责人及本基金主要负责人等)</w:t>
            </w:r>
          </w:p>
        </w:tc>
        <w:tc>
          <w:tcPr>
            <w:tcW w:w="2790" w:type="dxa"/>
            <w:gridSpan w:val="3"/>
            <w:tcBorders>
              <w:top w:val="single" w:color="auto" w:sz="4" w:space="0"/>
              <w:left w:val="single" w:color="auto" w:sz="4" w:space="0"/>
              <w:bottom w:val="single" w:color="auto" w:sz="4" w:space="0"/>
              <w:right w:val="single" w:color="auto" w:sz="4" w:space="0"/>
            </w:tcBorders>
            <w:vAlign w:val="bottom"/>
          </w:tcPr>
          <w:p w14:paraId="7690DBDB">
            <w:pPr>
              <w:rPr>
                <w:rFonts w:ascii="Times New Roman" w:hAnsi="Times New Roman" w:eastAsia="仿宋" w:cs="Times New Roman"/>
                <w:sz w:val="24"/>
                <w:szCs w:val="24"/>
              </w:rPr>
            </w:pPr>
            <w:r>
              <w:rPr>
                <w:rFonts w:ascii="Times New Roman" w:hAnsi="Times New Roman" w:eastAsia="仿宋" w:cs="Times New Roman"/>
                <w:sz w:val="24"/>
                <w:szCs w:val="24"/>
              </w:rPr>
              <w:t>累计项目数量：</w:t>
            </w:r>
          </w:p>
        </w:tc>
        <w:tc>
          <w:tcPr>
            <w:tcW w:w="3693" w:type="dxa"/>
            <w:gridSpan w:val="2"/>
            <w:tcBorders>
              <w:top w:val="single" w:color="auto" w:sz="4" w:space="0"/>
              <w:left w:val="single" w:color="auto" w:sz="4" w:space="0"/>
              <w:bottom w:val="single" w:color="auto" w:sz="4" w:space="0"/>
              <w:right w:val="single" w:color="auto" w:sz="4" w:space="0"/>
            </w:tcBorders>
            <w:vAlign w:val="bottom"/>
          </w:tcPr>
          <w:p w14:paraId="2E4F4CD5">
            <w:pPr>
              <w:rPr>
                <w:rFonts w:ascii="Times New Roman" w:hAnsi="Times New Roman" w:eastAsia="仿宋" w:cs="Times New Roman"/>
                <w:sz w:val="24"/>
                <w:szCs w:val="24"/>
              </w:rPr>
            </w:pPr>
            <w:r>
              <w:rPr>
                <w:rFonts w:ascii="Times New Roman" w:hAnsi="Times New Roman" w:eastAsia="仿宋" w:cs="Times New Roman"/>
                <w:sz w:val="24"/>
                <w:szCs w:val="24"/>
              </w:rPr>
              <w:t>累计投资规模：</w:t>
            </w:r>
          </w:p>
        </w:tc>
      </w:tr>
      <w:tr w14:paraId="411D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45" w:type="dxa"/>
            <w:vMerge w:val="continue"/>
            <w:tcBorders>
              <w:left w:val="single" w:color="auto" w:sz="4" w:space="0"/>
              <w:right w:val="single" w:color="auto" w:sz="4" w:space="0"/>
            </w:tcBorders>
          </w:tcPr>
          <w:p w14:paraId="37ED55EF">
            <w:pPr>
              <w:spacing w:line="60" w:lineRule="auto"/>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27068B5E">
            <w:pPr>
              <w:rPr>
                <w:rFonts w:ascii="Times New Roman" w:hAnsi="Times New Roman" w:eastAsia="仿宋" w:cs="Times New Roman"/>
                <w:sz w:val="24"/>
                <w:szCs w:val="24"/>
              </w:rPr>
            </w:pPr>
            <w:r>
              <w:rPr>
                <w:rFonts w:ascii="Times New Roman" w:hAnsi="Times New Roman" w:eastAsia="仿宋" w:cs="Times New Roman"/>
                <w:sz w:val="24"/>
                <w:szCs w:val="24"/>
              </w:rPr>
              <w:t>已退出项目数量及规模：</w:t>
            </w:r>
          </w:p>
        </w:tc>
      </w:tr>
      <w:tr w14:paraId="3E9A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tcPr>
          <w:p w14:paraId="1BD10FCA">
            <w:pPr>
              <w:spacing w:line="60" w:lineRule="auto"/>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3E57851C">
            <w:pPr>
              <w:rPr>
                <w:rFonts w:ascii="Times New Roman" w:hAnsi="Times New Roman" w:eastAsia="仿宋" w:cs="Times New Roman"/>
                <w:sz w:val="24"/>
                <w:szCs w:val="24"/>
              </w:rPr>
            </w:pPr>
            <w:r>
              <w:rPr>
                <w:rFonts w:ascii="Times New Roman" w:hAnsi="Times New Roman" w:eastAsia="仿宋" w:cs="Times New Roman"/>
                <w:sz w:val="24"/>
                <w:szCs w:val="24"/>
              </w:rPr>
              <w:t>已退出项目收益情况（倍数及IRR）：</w:t>
            </w:r>
          </w:p>
        </w:tc>
      </w:tr>
      <w:tr w14:paraId="67EF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928" w:type="dxa"/>
            <w:gridSpan w:val="6"/>
            <w:tcBorders>
              <w:top w:val="single" w:color="auto" w:sz="4" w:space="0"/>
              <w:left w:val="single" w:color="auto" w:sz="4" w:space="0"/>
              <w:bottom w:val="single" w:color="auto" w:sz="4" w:space="0"/>
              <w:right w:val="single" w:color="auto" w:sz="4" w:space="0"/>
            </w:tcBorders>
            <w:vAlign w:val="bottom"/>
          </w:tcPr>
          <w:p w14:paraId="42EF0DC3">
            <w:pPr>
              <w:ind w:right="109"/>
              <w:rPr>
                <w:rFonts w:ascii="Times New Roman" w:hAnsi="Times New Roman" w:eastAsia="仿宋" w:cs="Times New Roman"/>
                <w:sz w:val="24"/>
                <w:szCs w:val="24"/>
              </w:rPr>
            </w:pPr>
            <w:r>
              <w:rPr>
                <w:rFonts w:ascii="Times New Roman" w:hAnsi="Times New Roman" w:eastAsia="仿宋" w:cs="Times New Roman"/>
                <w:sz w:val="24"/>
                <w:szCs w:val="24"/>
              </w:rPr>
              <w:t xml:space="preserve">负责人签名： 　　　　　　　　　　　   申请机构盖章：     </w:t>
            </w:r>
          </w:p>
        </w:tc>
      </w:tr>
    </w:tbl>
    <w:p w14:paraId="755464A8">
      <w:pPr>
        <w:spacing w:before="312" w:beforeLines="100" w:line="520" w:lineRule="exact"/>
        <w:rPr>
          <w:rFonts w:ascii="Times New Roman" w:hAnsi="Times New Roman" w:eastAsia="仿宋" w:cs="Times New Roman"/>
          <w:b/>
          <w:bCs/>
          <w:sz w:val="30"/>
          <w:szCs w:val="30"/>
        </w:rPr>
        <w:sectPr>
          <w:pgSz w:w="11906" w:h="16838"/>
          <w:pgMar w:top="851" w:right="1800" w:bottom="1440" w:left="1800" w:header="851" w:footer="992" w:gutter="0"/>
          <w:cols w:space="720" w:num="1"/>
          <w:docGrid w:type="lines" w:linePitch="312" w:charSpace="0"/>
        </w:sectPr>
      </w:pPr>
    </w:p>
    <w:p w14:paraId="41A67326">
      <w:pPr>
        <w:spacing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附件3:</w:t>
      </w:r>
    </w:p>
    <w:p w14:paraId="299C44DC">
      <w:pPr>
        <w:jc w:val="center"/>
        <w:rPr>
          <w:rFonts w:ascii="Times New Roman" w:hAnsi="Times New Roman" w:eastAsia="黑体" w:cs="Times New Roman"/>
          <w:sz w:val="36"/>
          <w:szCs w:val="36"/>
        </w:rPr>
      </w:pPr>
      <w:r>
        <w:rPr>
          <w:rFonts w:ascii="Times New Roman" w:hAnsi="Times New Roman" w:eastAsia="黑体" w:cs="Times New Roman"/>
          <w:sz w:val="36"/>
          <w:szCs w:val="36"/>
        </w:rPr>
        <w:t>承诺函</w:t>
      </w:r>
    </w:p>
    <w:p w14:paraId="6B0A6D68">
      <w:pPr>
        <w:spacing w:line="600" w:lineRule="exact"/>
        <w:rPr>
          <w:rFonts w:hint="eastAsia" w:ascii="仿宋" w:hAnsi="仿宋" w:eastAsia="仿宋" w:cs="仿宋"/>
          <w:sz w:val="32"/>
          <w:szCs w:val="36"/>
        </w:rPr>
      </w:pPr>
      <w:bookmarkStart w:id="4" w:name="_Hlk22654567"/>
      <w:r>
        <w:rPr>
          <w:rFonts w:hint="eastAsia" w:ascii="仿宋" w:hAnsi="仿宋" w:eastAsia="仿宋" w:cs="仿宋"/>
          <w:sz w:val="32"/>
          <w:szCs w:val="36"/>
        </w:rPr>
        <w:t>河南国有资本运营集团私募基金管理有限公司</w:t>
      </w:r>
      <w:bookmarkEnd w:id="4"/>
      <w:r>
        <w:rPr>
          <w:rFonts w:hint="eastAsia" w:ascii="仿宋" w:hAnsi="仿宋" w:eastAsia="仿宋" w:cs="仿宋"/>
          <w:sz w:val="32"/>
          <w:szCs w:val="36"/>
        </w:rPr>
        <w:t>：</w:t>
      </w:r>
    </w:p>
    <w:p w14:paraId="0A14258C">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 xml:space="preserve">（申请机构名称）就申请河南省赋豫国企改革发展股权投资基金参股设立子基金相关事宜郑重承诺如下： </w:t>
      </w:r>
    </w:p>
    <w:p w14:paraId="41F11B97">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一、我方完全理解并接受《河南省赋豫国企改革发展股权投资基金子基金申报指南》的所有要求。</w:t>
      </w:r>
    </w:p>
    <w:p w14:paraId="59BC3E61">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二、我方保证提交的所有申请材料都是真实、准确、合法的，并同意母基金管理人对我公司开展尽职调查，如有虚假、隐瞒或违法内容，我方愿承担一切法律责任。</w:t>
      </w:r>
    </w:p>
    <w:p w14:paraId="25B1F6DE">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三、若我方申请的基金方案最终通过尽职调查和母基金决策，我方承诺在我方与贵公司约定的时间内完成投资协议签订工作，并积极推进基金发起设立进程。</w:t>
      </w:r>
    </w:p>
    <w:p w14:paraId="37585E24">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四、若我方申请的基金方案通过尽职调查和母基金决策，但由于我方原因导致投资协议不能签订，我方承诺赔偿由此给贵公司带来的直接损失，包括但不限于贵公司组织专家评审会的费用、委托中介机构尽职调查的费用等。</w:t>
      </w:r>
    </w:p>
    <w:p w14:paraId="54206D75">
      <w:pPr>
        <w:spacing w:line="600" w:lineRule="exact"/>
        <w:ind w:firstLine="600"/>
        <w:rPr>
          <w:rFonts w:hint="eastAsia" w:ascii="仿宋" w:hAnsi="仿宋" w:eastAsia="仿宋" w:cs="仿宋"/>
          <w:sz w:val="32"/>
          <w:szCs w:val="36"/>
        </w:rPr>
      </w:pPr>
    </w:p>
    <w:p w14:paraId="7B140E4C">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特此承诺。</w:t>
      </w:r>
    </w:p>
    <w:p w14:paraId="4B756FEC">
      <w:pPr>
        <w:spacing w:line="600" w:lineRule="exact"/>
        <w:ind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 xml:space="preserve">（申请机构签章） </w:t>
      </w:r>
    </w:p>
    <w:p w14:paraId="73538361">
      <w:pPr>
        <w:spacing w:line="600" w:lineRule="exact"/>
        <w:ind w:firstLine="640" w:firstLineChars="200"/>
        <w:jc w:val="right"/>
        <w:rPr>
          <w:rFonts w:ascii="Times New Roman" w:hAnsi="Times New Roman" w:eastAsia="仿宋" w:cs="Times New Roman"/>
          <w:sz w:val="32"/>
          <w:szCs w:val="32"/>
        </w:rPr>
      </w:pPr>
    </w:p>
    <w:p w14:paraId="65E4077D">
      <w:pPr>
        <w:spacing w:line="600" w:lineRule="exact"/>
        <w:ind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 xml:space="preserve"> 年   月   日</w:t>
      </w:r>
    </w:p>
    <w:p w14:paraId="78002BEF">
      <w:pPr>
        <w:adjustRightInd w:val="0"/>
        <w:snapToGrid w:val="0"/>
        <w:spacing w:before="156" w:beforeLines="50" w:after="156" w:afterLines="50" w:line="360" w:lineRule="auto"/>
        <w:rPr>
          <w:rFonts w:ascii="Times New Roman" w:hAnsi="Times New Roman" w:eastAsia="仿宋" w:cs="Times New Roman"/>
          <w:sz w:val="30"/>
          <w:szCs w:val="30"/>
        </w:rPr>
        <w:sectPr>
          <w:pgSz w:w="11906" w:h="16838"/>
          <w:pgMar w:top="1440" w:right="1800" w:bottom="1440" w:left="1800" w:header="851" w:footer="992" w:gutter="0"/>
          <w:cols w:space="720" w:num="1"/>
          <w:docGrid w:type="lines" w:linePitch="312" w:charSpace="0"/>
        </w:sectPr>
      </w:pPr>
    </w:p>
    <w:p w14:paraId="39A274BF">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附件4:</w:t>
      </w:r>
    </w:p>
    <w:p w14:paraId="2865A638">
      <w:pPr>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申请机构投资业绩</w:t>
      </w:r>
    </w:p>
    <w:tbl>
      <w:tblPr>
        <w:tblStyle w:val="6"/>
        <w:tblW w:w="5000" w:type="pct"/>
        <w:jc w:val="center"/>
        <w:tblLayout w:type="autofit"/>
        <w:tblCellMar>
          <w:top w:w="0" w:type="dxa"/>
          <w:left w:w="108" w:type="dxa"/>
          <w:bottom w:w="0" w:type="dxa"/>
          <w:right w:w="108" w:type="dxa"/>
        </w:tblCellMar>
      </w:tblPr>
      <w:tblGrid>
        <w:gridCol w:w="704"/>
        <w:gridCol w:w="2412"/>
        <w:gridCol w:w="849"/>
        <w:gridCol w:w="852"/>
        <w:gridCol w:w="709"/>
        <w:gridCol w:w="709"/>
        <w:gridCol w:w="709"/>
        <w:gridCol w:w="994"/>
        <w:gridCol w:w="994"/>
        <w:gridCol w:w="706"/>
        <w:gridCol w:w="852"/>
        <w:gridCol w:w="712"/>
        <w:gridCol w:w="1561"/>
        <w:gridCol w:w="1195"/>
      </w:tblGrid>
      <w:tr w14:paraId="72079BA2">
        <w:tblPrEx>
          <w:tblCellMar>
            <w:top w:w="0" w:type="dxa"/>
            <w:left w:w="108" w:type="dxa"/>
            <w:bottom w:w="0" w:type="dxa"/>
            <w:right w:w="108" w:type="dxa"/>
          </w:tblCellMar>
        </w:tblPrEx>
        <w:trPr>
          <w:trHeight w:val="948" w:hRule="atLeast"/>
          <w:jc w:val="center"/>
        </w:trPr>
        <w:tc>
          <w:tcPr>
            <w:tcW w:w="252" w:type="pct"/>
            <w:tcBorders>
              <w:top w:val="single" w:color="auto" w:sz="4" w:space="0"/>
              <w:left w:val="single" w:color="auto" w:sz="4" w:space="0"/>
              <w:bottom w:val="single" w:color="auto" w:sz="4" w:space="0"/>
              <w:right w:val="single" w:color="auto" w:sz="4" w:space="0"/>
            </w:tcBorders>
            <w:vAlign w:val="center"/>
          </w:tcPr>
          <w:p w14:paraId="5EA67C39">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864" w:type="pct"/>
            <w:tcBorders>
              <w:top w:val="single" w:color="auto" w:sz="4" w:space="0"/>
              <w:left w:val="nil"/>
              <w:bottom w:val="single" w:color="auto" w:sz="4" w:space="0"/>
              <w:right w:val="single" w:color="auto" w:sz="4" w:space="0"/>
            </w:tcBorders>
            <w:vAlign w:val="center"/>
          </w:tcPr>
          <w:p w14:paraId="33F8744B">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项目名称</w:t>
            </w:r>
          </w:p>
        </w:tc>
        <w:tc>
          <w:tcPr>
            <w:tcW w:w="304" w:type="pct"/>
            <w:tcBorders>
              <w:top w:val="single" w:color="auto" w:sz="4" w:space="0"/>
              <w:left w:val="nil"/>
              <w:bottom w:val="single" w:color="auto" w:sz="4" w:space="0"/>
              <w:right w:val="single" w:color="auto" w:sz="4" w:space="0"/>
            </w:tcBorders>
            <w:vAlign w:val="center"/>
          </w:tcPr>
          <w:p w14:paraId="5D92361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305" w:type="pct"/>
            <w:tcBorders>
              <w:top w:val="single" w:color="auto" w:sz="4" w:space="0"/>
              <w:left w:val="nil"/>
              <w:bottom w:val="single" w:color="auto" w:sz="4" w:space="0"/>
              <w:right w:val="single" w:color="auto" w:sz="4" w:space="0"/>
            </w:tcBorders>
            <w:vAlign w:val="center"/>
          </w:tcPr>
          <w:p w14:paraId="4D30F55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投资时间</w:t>
            </w:r>
          </w:p>
        </w:tc>
        <w:tc>
          <w:tcPr>
            <w:tcW w:w="254" w:type="pct"/>
            <w:tcBorders>
              <w:top w:val="single" w:color="auto" w:sz="4" w:space="0"/>
              <w:left w:val="nil"/>
              <w:bottom w:val="single" w:color="auto" w:sz="4" w:space="0"/>
              <w:right w:val="single" w:color="auto" w:sz="4" w:space="0"/>
            </w:tcBorders>
            <w:vAlign w:val="center"/>
          </w:tcPr>
          <w:p w14:paraId="6A40787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投资金额</w:t>
            </w:r>
          </w:p>
        </w:tc>
        <w:tc>
          <w:tcPr>
            <w:tcW w:w="254" w:type="pct"/>
            <w:tcBorders>
              <w:top w:val="single" w:color="auto" w:sz="4" w:space="0"/>
              <w:left w:val="nil"/>
              <w:bottom w:val="single" w:color="auto" w:sz="4" w:space="0"/>
              <w:right w:val="single" w:color="auto" w:sz="4" w:space="0"/>
            </w:tcBorders>
            <w:vAlign w:val="center"/>
          </w:tcPr>
          <w:p w14:paraId="465A957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占股比例</w:t>
            </w:r>
          </w:p>
        </w:tc>
        <w:tc>
          <w:tcPr>
            <w:tcW w:w="254" w:type="pct"/>
            <w:tcBorders>
              <w:top w:val="single" w:color="auto" w:sz="4" w:space="0"/>
              <w:left w:val="nil"/>
              <w:bottom w:val="single" w:color="auto" w:sz="4" w:space="0"/>
              <w:right w:val="single" w:color="auto" w:sz="4" w:space="0"/>
            </w:tcBorders>
            <w:vAlign w:val="center"/>
          </w:tcPr>
          <w:p w14:paraId="1C2407F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是否领投</w:t>
            </w:r>
          </w:p>
        </w:tc>
        <w:tc>
          <w:tcPr>
            <w:tcW w:w="356" w:type="pct"/>
            <w:tcBorders>
              <w:top w:val="single" w:color="auto" w:sz="4" w:space="0"/>
              <w:left w:val="nil"/>
              <w:bottom w:val="single" w:color="auto" w:sz="4" w:space="0"/>
              <w:right w:val="single" w:color="auto" w:sz="4" w:space="0"/>
            </w:tcBorders>
            <w:vAlign w:val="center"/>
          </w:tcPr>
          <w:p w14:paraId="2D514DA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是否派出董事</w:t>
            </w:r>
          </w:p>
        </w:tc>
        <w:tc>
          <w:tcPr>
            <w:tcW w:w="356" w:type="pct"/>
            <w:tcBorders>
              <w:top w:val="single" w:color="auto" w:sz="4" w:space="0"/>
              <w:left w:val="nil"/>
              <w:bottom w:val="single" w:color="auto" w:sz="4" w:space="0"/>
              <w:right w:val="single" w:color="auto" w:sz="4" w:space="0"/>
            </w:tcBorders>
            <w:vAlign w:val="center"/>
          </w:tcPr>
          <w:p w14:paraId="231C630C">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是否派出高管</w:t>
            </w:r>
          </w:p>
        </w:tc>
        <w:tc>
          <w:tcPr>
            <w:tcW w:w="253" w:type="pct"/>
            <w:tcBorders>
              <w:top w:val="single" w:color="auto" w:sz="4" w:space="0"/>
              <w:left w:val="nil"/>
              <w:bottom w:val="single" w:color="auto" w:sz="4" w:space="0"/>
              <w:right w:val="single" w:color="auto" w:sz="4" w:space="0"/>
            </w:tcBorders>
            <w:vAlign w:val="center"/>
          </w:tcPr>
          <w:p w14:paraId="13108E5E">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退出时间</w:t>
            </w:r>
          </w:p>
        </w:tc>
        <w:tc>
          <w:tcPr>
            <w:tcW w:w="305" w:type="pct"/>
            <w:tcBorders>
              <w:top w:val="single" w:color="auto" w:sz="4" w:space="0"/>
              <w:left w:val="nil"/>
              <w:bottom w:val="single" w:color="auto" w:sz="4" w:space="0"/>
              <w:right w:val="single" w:color="auto" w:sz="4" w:space="0"/>
            </w:tcBorders>
            <w:vAlign w:val="center"/>
          </w:tcPr>
          <w:p w14:paraId="7D3258CD">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退出方式</w:t>
            </w:r>
          </w:p>
        </w:tc>
        <w:tc>
          <w:tcPr>
            <w:tcW w:w="255" w:type="pct"/>
            <w:tcBorders>
              <w:top w:val="single" w:color="auto" w:sz="4" w:space="0"/>
              <w:left w:val="nil"/>
              <w:bottom w:val="single" w:color="auto" w:sz="4" w:space="0"/>
              <w:right w:val="single" w:color="auto" w:sz="4" w:space="0"/>
            </w:tcBorders>
            <w:vAlign w:val="center"/>
          </w:tcPr>
          <w:p w14:paraId="0F85BA9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收益率</w:t>
            </w:r>
          </w:p>
        </w:tc>
        <w:tc>
          <w:tcPr>
            <w:tcW w:w="559" w:type="pct"/>
            <w:tcBorders>
              <w:top w:val="single" w:color="auto" w:sz="4" w:space="0"/>
              <w:left w:val="nil"/>
              <w:bottom w:val="single" w:color="auto" w:sz="4" w:space="0"/>
              <w:right w:val="single" w:color="auto" w:sz="4" w:space="0"/>
            </w:tcBorders>
            <w:vAlign w:val="center"/>
          </w:tcPr>
          <w:p w14:paraId="18531D87">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提供的重要增值服务</w:t>
            </w:r>
          </w:p>
        </w:tc>
        <w:tc>
          <w:tcPr>
            <w:tcW w:w="428" w:type="pct"/>
            <w:tcBorders>
              <w:top w:val="single" w:color="auto" w:sz="4" w:space="0"/>
              <w:left w:val="nil"/>
              <w:bottom w:val="single" w:color="auto" w:sz="4" w:space="0"/>
              <w:right w:val="single" w:color="auto" w:sz="4" w:space="0"/>
            </w:tcBorders>
            <w:vAlign w:val="center"/>
          </w:tcPr>
          <w:p w14:paraId="47A07725">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项目公司联系人及电话</w:t>
            </w:r>
          </w:p>
        </w:tc>
      </w:tr>
      <w:tr w14:paraId="3AE38A64">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28EA83D9">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47D0E82F">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34683070">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1C16F89B">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84C0376">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572DA5B3">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D3AAA15">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1E9BAA3E">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4DED25B">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0338D1FE">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35DCA416">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6C8FBD47">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15D431A">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51E43574">
            <w:pPr>
              <w:widowControl/>
              <w:jc w:val="center"/>
              <w:rPr>
                <w:rFonts w:ascii="Times New Roman" w:hAnsi="Times New Roman" w:eastAsia="仿宋" w:cs="Times New Roman"/>
                <w:color w:val="000000"/>
                <w:kern w:val="0"/>
                <w:sz w:val="24"/>
                <w:szCs w:val="24"/>
              </w:rPr>
            </w:pPr>
          </w:p>
        </w:tc>
      </w:tr>
      <w:tr w14:paraId="4385B461">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464103B5">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47380760">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4B7FD8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02ACEBAC">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ED9C5A1">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37F8868">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EA0E33D">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4D3A4C63">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09158C4">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73073922">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7727B6B3">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4998D9DA">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07EA5E89">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4539552F">
            <w:pPr>
              <w:widowControl/>
              <w:jc w:val="center"/>
              <w:rPr>
                <w:rFonts w:ascii="Times New Roman" w:hAnsi="Times New Roman" w:eastAsia="仿宋" w:cs="Times New Roman"/>
                <w:color w:val="000000"/>
                <w:kern w:val="0"/>
                <w:sz w:val="24"/>
                <w:szCs w:val="24"/>
              </w:rPr>
            </w:pPr>
          </w:p>
        </w:tc>
      </w:tr>
      <w:tr w14:paraId="54DCC949">
        <w:tblPrEx>
          <w:tblCellMar>
            <w:top w:w="0" w:type="dxa"/>
            <w:left w:w="108" w:type="dxa"/>
            <w:bottom w:w="0" w:type="dxa"/>
            <w:right w:w="108" w:type="dxa"/>
          </w:tblCellMar>
        </w:tblPrEx>
        <w:trPr>
          <w:trHeight w:val="984" w:hRule="atLeast"/>
          <w:jc w:val="center"/>
        </w:trPr>
        <w:tc>
          <w:tcPr>
            <w:tcW w:w="252" w:type="pct"/>
            <w:tcBorders>
              <w:top w:val="nil"/>
              <w:left w:val="single" w:color="auto" w:sz="4" w:space="0"/>
              <w:bottom w:val="single" w:color="auto" w:sz="4" w:space="0"/>
              <w:right w:val="single" w:color="auto" w:sz="4" w:space="0"/>
            </w:tcBorders>
            <w:vAlign w:val="center"/>
          </w:tcPr>
          <w:p w14:paraId="7B65D1F0">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0C33E930">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3E8599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266A0C44">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D65486C">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1982828">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54966F8">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6BFFE2CD">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2ACC0D7">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486EE760">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61AF1D99">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160F5A9D">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613FF51">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2836AECD">
            <w:pPr>
              <w:widowControl/>
              <w:jc w:val="center"/>
              <w:rPr>
                <w:rFonts w:ascii="Times New Roman" w:hAnsi="Times New Roman" w:eastAsia="仿宋" w:cs="Times New Roman"/>
                <w:color w:val="000000"/>
                <w:kern w:val="0"/>
                <w:sz w:val="24"/>
                <w:szCs w:val="24"/>
              </w:rPr>
            </w:pPr>
          </w:p>
        </w:tc>
      </w:tr>
      <w:tr w14:paraId="0F74A5BB">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3522D50E">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14544445">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7FCBB7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4556F7CF">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46D8CDA">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69C15A10">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9A913F8">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266FEA1C">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2E7505EC">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5A70E8BA">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389D180A">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7DB003C2">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48D184B">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13E9E7F7">
            <w:pPr>
              <w:widowControl/>
              <w:jc w:val="center"/>
              <w:rPr>
                <w:rFonts w:ascii="Times New Roman" w:hAnsi="Times New Roman" w:eastAsia="仿宋" w:cs="Times New Roman"/>
                <w:color w:val="000000"/>
                <w:kern w:val="0"/>
                <w:sz w:val="24"/>
                <w:szCs w:val="24"/>
              </w:rPr>
            </w:pPr>
          </w:p>
        </w:tc>
      </w:tr>
    </w:tbl>
    <w:p w14:paraId="0906B6DA">
      <w:pPr>
        <w:adjustRightInd w:val="0"/>
        <w:snapToGrid w:val="0"/>
        <w:spacing w:before="156" w:beforeLines="50" w:after="156" w:afterLines="50" w:line="360" w:lineRule="auto"/>
        <w:rPr>
          <w:rFonts w:ascii="Times New Roman" w:hAnsi="Times New Roman" w:eastAsia="仿宋" w:cs="Times New Roman"/>
          <w:sz w:val="32"/>
          <w:szCs w:val="32"/>
        </w:rPr>
        <w:sectPr>
          <w:pgSz w:w="16838" w:h="11906" w:orient="landscape"/>
          <w:pgMar w:top="1800" w:right="1440" w:bottom="1800" w:left="1440" w:header="851" w:footer="992" w:gutter="0"/>
          <w:cols w:space="720" w:num="1"/>
          <w:docGrid w:type="lines" w:linePitch="312" w:charSpace="0"/>
        </w:sectPr>
      </w:pPr>
    </w:p>
    <w:p w14:paraId="61A17A59">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附件5:</w:t>
      </w:r>
    </w:p>
    <w:p w14:paraId="0ADF882B">
      <w:pPr>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申请机构管理团队投资业绩</w:t>
      </w:r>
    </w:p>
    <w:tbl>
      <w:tblPr>
        <w:tblStyle w:val="6"/>
        <w:tblW w:w="4821" w:type="pct"/>
        <w:jc w:val="center"/>
        <w:tblLayout w:type="autofit"/>
        <w:tblCellMar>
          <w:top w:w="0" w:type="dxa"/>
          <w:left w:w="108" w:type="dxa"/>
          <w:bottom w:w="0" w:type="dxa"/>
          <w:right w:w="108" w:type="dxa"/>
        </w:tblCellMar>
      </w:tblPr>
      <w:tblGrid>
        <w:gridCol w:w="832"/>
        <w:gridCol w:w="935"/>
        <w:gridCol w:w="1339"/>
        <w:gridCol w:w="800"/>
        <w:gridCol w:w="1307"/>
        <w:gridCol w:w="843"/>
        <w:gridCol w:w="814"/>
        <w:gridCol w:w="868"/>
        <w:gridCol w:w="795"/>
        <w:gridCol w:w="816"/>
        <w:gridCol w:w="779"/>
        <w:gridCol w:w="854"/>
        <w:gridCol w:w="800"/>
        <w:gridCol w:w="1676"/>
      </w:tblGrid>
      <w:tr w14:paraId="2C79E081">
        <w:tblPrEx>
          <w:tblCellMar>
            <w:top w:w="0" w:type="dxa"/>
            <w:left w:w="108" w:type="dxa"/>
            <w:bottom w:w="0" w:type="dxa"/>
            <w:right w:w="108" w:type="dxa"/>
          </w:tblCellMar>
        </w:tblPrEx>
        <w:trPr>
          <w:trHeight w:val="810" w:hRule="atLeast"/>
          <w:jc w:val="center"/>
        </w:trPr>
        <w:tc>
          <w:tcPr>
            <w:tcW w:w="309" w:type="pct"/>
            <w:tcBorders>
              <w:top w:val="single" w:color="auto" w:sz="4" w:space="0"/>
              <w:left w:val="single" w:color="auto" w:sz="4" w:space="0"/>
              <w:bottom w:val="single" w:color="auto" w:sz="4" w:space="0"/>
              <w:right w:val="single" w:color="auto" w:sz="4" w:space="0"/>
            </w:tcBorders>
            <w:vAlign w:val="center"/>
          </w:tcPr>
          <w:p w14:paraId="3C77995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347" w:type="pct"/>
            <w:tcBorders>
              <w:top w:val="single" w:color="auto" w:sz="4" w:space="0"/>
              <w:left w:val="nil"/>
              <w:bottom w:val="single" w:color="auto" w:sz="4" w:space="0"/>
              <w:right w:val="single" w:color="auto" w:sz="4" w:space="0"/>
            </w:tcBorders>
            <w:vAlign w:val="center"/>
          </w:tcPr>
          <w:p w14:paraId="534154AC">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姓名</w:t>
            </w:r>
          </w:p>
        </w:tc>
        <w:tc>
          <w:tcPr>
            <w:tcW w:w="497" w:type="pct"/>
            <w:tcBorders>
              <w:top w:val="single" w:color="auto" w:sz="4" w:space="0"/>
              <w:left w:val="single" w:color="auto" w:sz="4" w:space="0"/>
              <w:bottom w:val="single" w:color="auto" w:sz="4" w:space="0"/>
              <w:right w:val="single" w:color="auto" w:sz="4" w:space="0"/>
            </w:tcBorders>
            <w:vAlign w:val="center"/>
          </w:tcPr>
          <w:p w14:paraId="0C5A36AF">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任职单位</w:t>
            </w:r>
          </w:p>
        </w:tc>
        <w:tc>
          <w:tcPr>
            <w:tcW w:w="297" w:type="pct"/>
            <w:tcBorders>
              <w:top w:val="single" w:color="auto" w:sz="4" w:space="0"/>
              <w:left w:val="single" w:color="auto" w:sz="4" w:space="0"/>
              <w:bottom w:val="single" w:color="auto" w:sz="4" w:space="0"/>
              <w:right w:val="single" w:color="auto" w:sz="4" w:space="0"/>
            </w:tcBorders>
            <w:vAlign w:val="center"/>
          </w:tcPr>
          <w:p w14:paraId="7BF0962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职务</w:t>
            </w:r>
          </w:p>
        </w:tc>
        <w:tc>
          <w:tcPr>
            <w:tcW w:w="485" w:type="pct"/>
            <w:tcBorders>
              <w:top w:val="single" w:color="auto" w:sz="4" w:space="0"/>
              <w:left w:val="single" w:color="auto" w:sz="4" w:space="0"/>
              <w:bottom w:val="single" w:color="auto" w:sz="4" w:space="0"/>
              <w:right w:val="single" w:color="auto" w:sz="4" w:space="0"/>
            </w:tcBorders>
            <w:vAlign w:val="center"/>
          </w:tcPr>
          <w:p w14:paraId="57BCB041">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投资项目名称</w:t>
            </w:r>
          </w:p>
        </w:tc>
        <w:tc>
          <w:tcPr>
            <w:tcW w:w="313" w:type="pct"/>
            <w:tcBorders>
              <w:top w:val="single" w:color="auto" w:sz="4" w:space="0"/>
              <w:left w:val="nil"/>
              <w:bottom w:val="single" w:color="auto" w:sz="4" w:space="0"/>
              <w:right w:val="single" w:color="auto" w:sz="4" w:space="0"/>
            </w:tcBorders>
            <w:vAlign w:val="center"/>
          </w:tcPr>
          <w:p w14:paraId="7CC28B0C">
            <w:pPr>
              <w:widowControl/>
              <w:jc w:val="center"/>
              <w:rPr>
                <w:rFonts w:ascii="Times New Roman" w:hAnsi="Times New Roman" w:eastAsia="仿宋" w:cs="Times New Roman"/>
                <w:b/>
                <w:bCs/>
                <w:color w:val="000000"/>
                <w:kern w:val="0"/>
                <w:sz w:val="24"/>
                <w:szCs w:val="24"/>
              </w:rPr>
            </w:pPr>
            <w:r>
              <w:rPr>
                <w:rFonts w:hint="eastAsia" w:ascii="Times New Roman" w:hAnsi="Times New Roman" w:eastAsia="仿宋" w:cs="Times New Roman"/>
                <w:b/>
                <w:bCs/>
                <w:color w:val="000000"/>
                <w:kern w:val="0"/>
                <w:sz w:val="24"/>
                <w:szCs w:val="24"/>
              </w:rPr>
              <w:t>担任角色</w:t>
            </w:r>
          </w:p>
        </w:tc>
        <w:tc>
          <w:tcPr>
            <w:tcW w:w="302" w:type="pct"/>
            <w:tcBorders>
              <w:top w:val="single" w:color="auto" w:sz="4" w:space="0"/>
              <w:left w:val="nil"/>
              <w:bottom w:val="single" w:color="auto" w:sz="4" w:space="0"/>
              <w:right w:val="single" w:color="auto" w:sz="4" w:space="0"/>
            </w:tcBorders>
            <w:vAlign w:val="center"/>
          </w:tcPr>
          <w:p w14:paraId="4E5D389B">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322" w:type="pct"/>
            <w:tcBorders>
              <w:top w:val="single" w:color="auto" w:sz="4" w:space="0"/>
              <w:left w:val="nil"/>
              <w:bottom w:val="single" w:color="auto" w:sz="4" w:space="0"/>
              <w:right w:val="single" w:color="auto" w:sz="4" w:space="0"/>
            </w:tcBorders>
            <w:vAlign w:val="center"/>
          </w:tcPr>
          <w:p w14:paraId="695165DA">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投资时间</w:t>
            </w:r>
          </w:p>
        </w:tc>
        <w:tc>
          <w:tcPr>
            <w:tcW w:w="295" w:type="pct"/>
            <w:tcBorders>
              <w:top w:val="single" w:color="auto" w:sz="4" w:space="0"/>
              <w:left w:val="nil"/>
              <w:bottom w:val="single" w:color="auto" w:sz="4" w:space="0"/>
              <w:right w:val="single" w:color="auto" w:sz="4" w:space="0"/>
            </w:tcBorders>
            <w:vAlign w:val="center"/>
          </w:tcPr>
          <w:p w14:paraId="72BD4A5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投资金额</w:t>
            </w:r>
          </w:p>
        </w:tc>
        <w:tc>
          <w:tcPr>
            <w:tcW w:w="303" w:type="pct"/>
            <w:tcBorders>
              <w:top w:val="single" w:color="auto" w:sz="4" w:space="0"/>
              <w:left w:val="nil"/>
              <w:bottom w:val="single" w:color="auto" w:sz="4" w:space="0"/>
              <w:right w:val="single" w:color="auto" w:sz="4" w:space="0"/>
            </w:tcBorders>
            <w:vAlign w:val="center"/>
          </w:tcPr>
          <w:p w14:paraId="62D9C5E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占股比例</w:t>
            </w:r>
          </w:p>
        </w:tc>
        <w:tc>
          <w:tcPr>
            <w:tcW w:w="289" w:type="pct"/>
            <w:tcBorders>
              <w:top w:val="single" w:color="auto" w:sz="4" w:space="0"/>
              <w:left w:val="nil"/>
              <w:bottom w:val="single" w:color="auto" w:sz="4" w:space="0"/>
              <w:right w:val="single" w:color="auto" w:sz="4" w:space="0"/>
            </w:tcBorders>
            <w:vAlign w:val="center"/>
          </w:tcPr>
          <w:p w14:paraId="5789B76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退出时间</w:t>
            </w:r>
          </w:p>
        </w:tc>
        <w:tc>
          <w:tcPr>
            <w:tcW w:w="317" w:type="pct"/>
            <w:tcBorders>
              <w:top w:val="single" w:color="auto" w:sz="4" w:space="0"/>
              <w:left w:val="nil"/>
              <w:bottom w:val="single" w:color="auto" w:sz="4" w:space="0"/>
              <w:right w:val="single" w:color="auto" w:sz="4" w:space="0"/>
            </w:tcBorders>
            <w:vAlign w:val="center"/>
          </w:tcPr>
          <w:p w14:paraId="594D189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退出方式</w:t>
            </w:r>
          </w:p>
        </w:tc>
        <w:tc>
          <w:tcPr>
            <w:tcW w:w="297" w:type="pct"/>
            <w:tcBorders>
              <w:top w:val="single" w:color="auto" w:sz="4" w:space="0"/>
              <w:left w:val="nil"/>
              <w:bottom w:val="single" w:color="auto" w:sz="4" w:space="0"/>
              <w:right w:val="single" w:color="auto" w:sz="4" w:space="0"/>
            </w:tcBorders>
            <w:vAlign w:val="center"/>
          </w:tcPr>
          <w:p w14:paraId="7DB571EE">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收益率</w:t>
            </w:r>
          </w:p>
        </w:tc>
        <w:tc>
          <w:tcPr>
            <w:tcW w:w="622" w:type="pct"/>
            <w:tcBorders>
              <w:top w:val="single" w:color="auto" w:sz="4" w:space="0"/>
              <w:left w:val="nil"/>
              <w:bottom w:val="single" w:color="auto" w:sz="4" w:space="0"/>
              <w:right w:val="single" w:color="auto" w:sz="4" w:space="0"/>
            </w:tcBorders>
            <w:vAlign w:val="center"/>
          </w:tcPr>
          <w:p w14:paraId="34E0BB3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项目公司联系人及电话</w:t>
            </w:r>
          </w:p>
        </w:tc>
      </w:tr>
      <w:tr w14:paraId="6B935BF8">
        <w:tblPrEx>
          <w:tblCellMar>
            <w:top w:w="0" w:type="dxa"/>
            <w:left w:w="108" w:type="dxa"/>
            <w:bottom w:w="0" w:type="dxa"/>
            <w:right w:w="108" w:type="dxa"/>
          </w:tblCellMar>
        </w:tblPrEx>
        <w:trPr>
          <w:trHeight w:val="823" w:hRule="atLeast"/>
          <w:jc w:val="center"/>
        </w:trPr>
        <w:tc>
          <w:tcPr>
            <w:tcW w:w="309" w:type="pct"/>
            <w:tcBorders>
              <w:top w:val="nil"/>
              <w:left w:val="single" w:color="auto" w:sz="4" w:space="0"/>
              <w:bottom w:val="single" w:color="auto" w:sz="4" w:space="0"/>
              <w:right w:val="single" w:color="auto" w:sz="4" w:space="0"/>
            </w:tcBorders>
            <w:vAlign w:val="center"/>
          </w:tcPr>
          <w:p w14:paraId="5AA673F4">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3EBB2F3B">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2E0FD13D">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2FDACCBB">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77ECE4EB">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5616F40B">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499D40C2">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30CA287F">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568057B1">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14B10D0D">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674E66D7">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45CC2C02">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44C123C4">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4085E447">
            <w:pPr>
              <w:widowControl/>
              <w:jc w:val="center"/>
              <w:rPr>
                <w:rFonts w:ascii="Times New Roman" w:hAnsi="Times New Roman" w:eastAsia="仿宋" w:cs="Times New Roman"/>
                <w:color w:val="000000"/>
                <w:kern w:val="0"/>
                <w:sz w:val="24"/>
                <w:szCs w:val="24"/>
              </w:rPr>
            </w:pPr>
          </w:p>
        </w:tc>
      </w:tr>
      <w:tr w14:paraId="6A3B5517">
        <w:tblPrEx>
          <w:tblCellMar>
            <w:top w:w="0" w:type="dxa"/>
            <w:left w:w="108" w:type="dxa"/>
            <w:bottom w:w="0" w:type="dxa"/>
            <w:right w:w="108" w:type="dxa"/>
          </w:tblCellMar>
        </w:tblPrEx>
        <w:trPr>
          <w:trHeight w:val="849" w:hRule="atLeast"/>
          <w:jc w:val="center"/>
        </w:trPr>
        <w:tc>
          <w:tcPr>
            <w:tcW w:w="309" w:type="pct"/>
            <w:tcBorders>
              <w:top w:val="nil"/>
              <w:left w:val="single" w:color="auto" w:sz="4" w:space="0"/>
              <w:bottom w:val="single" w:color="auto" w:sz="4" w:space="0"/>
              <w:right w:val="single" w:color="auto" w:sz="4" w:space="0"/>
            </w:tcBorders>
            <w:vAlign w:val="center"/>
          </w:tcPr>
          <w:p w14:paraId="0F3C33AE">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139753FC">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2F7D9FBF">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01663AE2">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49ED9112">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39E33662">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5CAA208C">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05AF77A0">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378CE3A8">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33067627">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19EF9302">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16E7693A">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46BCA412">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4DEF23C0">
            <w:pPr>
              <w:widowControl/>
              <w:jc w:val="center"/>
              <w:rPr>
                <w:rFonts w:ascii="Times New Roman" w:hAnsi="Times New Roman" w:eastAsia="仿宋" w:cs="Times New Roman"/>
                <w:color w:val="000000"/>
                <w:kern w:val="0"/>
                <w:sz w:val="24"/>
                <w:szCs w:val="24"/>
              </w:rPr>
            </w:pPr>
          </w:p>
        </w:tc>
      </w:tr>
      <w:tr w14:paraId="37DF3487">
        <w:tblPrEx>
          <w:tblCellMar>
            <w:top w:w="0" w:type="dxa"/>
            <w:left w:w="108" w:type="dxa"/>
            <w:bottom w:w="0" w:type="dxa"/>
            <w:right w:w="108" w:type="dxa"/>
          </w:tblCellMar>
        </w:tblPrEx>
        <w:trPr>
          <w:trHeight w:val="833" w:hRule="atLeast"/>
          <w:jc w:val="center"/>
        </w:trPr>
        <w:tc>
          <w:tcPr>
            <w:tcW w:w="309" w:type="pct"/>
            <w:tcBorders>
              <w:top w:val="nil"/>
              <w:left w:val="single" w:color="auto" w:sz="4" w:space="0"/>
              <w:bottom w:val="single" w:color="auto" w:sz="4" w:space="0"/>
              <w:right w:val="single" w:color="auto" w:sz="4" w:space="0"/>
            </w:tcBorders>
            <w:vAlign w:val="center"/>
          </w:tcPr>
          <w:p w14:paraId="013C331E">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7D81BE9E">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757AA07E">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7C6BF921">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554174D4">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4B2BBD03">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67FEE751">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38FCF65A">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5B83B20F">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6652E1B5">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14A9CB0D">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50DF7395">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27620E5F">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77CE13EC">
            <w:pPr>
              <w:widowControl/>
              <w:jc w:val="center"/>
              <w:rPr>
                <w:rFonts w:ascii="Times New Roman" w:hAnsi="Times New Roman" w:eastAsia="仿宋" w:cs="Times New Roman"/>
                <w:color w:val="000000"/>
                <w:kern w:val="0"/>
                <w:sz w:val="24"/>
                <w:szCs w:val="24"/>
              </w:rPr>
            </w:pPr>
          </w:p>
        </w:tc>
      </w:tr>
      <w:tr w14:paraId="6A48C532">
        <w:tblPrEx>
          <w:tblCellMar>
            <w:top w:w="0" w:type="dxa"/>
            <w:left w:w="108" w:type="dxa"/>
            <w:bottom w:w="0" w:type="dxa"/>
            <w:right w:w="108" w:type="dxa"/>
          </w:tblCellMar>
        </w:tblPrEx>
        <w:trPr>
          <w:trHeight w:val="845" w:hRule="atLeast"/>
          <w:jc w:val="center"/>
        </w:trPr>
        <w:tc>
          <w:tcPr>
            <w:tcW w:w="309" w:type="pct"/>
            <w:tcBorders>
              <w:top w:val="nil"/>
              <w:left w:val="single" w:color="auto" w:sz="4" w:space="0"/>
              <w:bottom w:val="single" w:color="auto" w:sz="4" w:space="0"/>
              <w:right w:val="single" w:color="auto" w:sz="4" w:space="0"/>
            </w:tcBorders>
            <w:vAlign w:val="center"/>
          </w:tcPr>
          <w:p w14:paraId="08EEF92F">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52DA4741">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1AEC77E2">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7CBFE8D2">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6953CAAE">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4E9361EE">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0720D6CF">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11DD7388">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77A5E1F3">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31DA144D">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16498C8A">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1EA15750">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2E9F4EFD">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30A5F8DB">
            <w:pPr>
              <w:widowControl/>
              <w:jc w:val="center"/>
              <w:rPr>
                <w:rFonts w:ascii="Times New Roman" w:hAnsi="Times New Roman" w:eastAsia="仿宋" w:cs="Times New Roman"/>
                <w:color w:val="000000"/>
                <w:kern w:val="0"/>
                <w:sz w:val="24"/>
                <w:szCs w:val="24"/>
              </w:rPr>
            </w:pPr>
          </w:p>
        </w:tc>
      </w:tr>
      <w:tr w14:paraId="58B0E136">
        <w:tblPrEx>
          <w:tblCellMar>
            <w:top w:w="0" w:type="dxa"/>
            <w:left w:w="108" w:type="dxa"/>
            <w:bottom w:w="0" w:type="dxa"/>
            <w:right w:w="108" w:type="dxa"/>
          </w:tblCellMar>
        </w:tblPrEx>
        <w:trPr>
          <w:trHeight w:val="844" w:hRule="atLeast"/>
          <w:jc w:val="center"/>
        </w:trPr>
        <w:tc>
          <w:tcPr>
            <w:tcW w:w="309" w:type="pct"/>
            <w:tcBorders>
              <w:top w:val="nil"/>
              <w:left w:val="single" w:color="auto" w:sz="4" w:space="0"/>
              <w:bottom w:val="single" w:color="auto" w:sz="4" w:space="0"/>
              <w:right w:val="single" w:color="auto" w:sz="4" w:space="0"/>
            </w:tcBorders>
            <w:vAlign w:val="center"/>
          </w:tcPr>
          <w:p w14:paraId="04C1EEA0">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1EEC3357">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667A4175">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7B2E0FD3">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31220831">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01A10111">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18B2A4AC">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18641681">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52C024CC">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305084B5">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1BFFE6C7">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43451DA9">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4D8FAD2B">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1BF31D1F">
            <w:pPr>
              <w:widowControl/>
              <w:jc w:val="center"/>
              <w:rPr>
                <w:rFonts w:ascii="Times New Roman" w:hAnsi="Times New Roman" w:eastAsia="仿宋" w:cs="Times New Roman"/>
                <w:color w:val="000000"/>
                <w:kern w:val="0"/>
                <w:sz w:val="24"/>
                <w:szCs w:val="24"/>
              </w:rPr>
            </w:pPr>
          </w:p>
        </w:tc>
      </w:tr>
      <w:tr w14:paraId="0BE3D899">
        <w:tblPrEx>
          <w:tblCellMar>
            <w:top w:w="0" w:type="dxa"/>
            <w:left w:w="108" w:type="dxa"/>
            <w:bottom w:w="0" w:type="dxa"/>
            <w:right w:w="108" w:type="dxa"/>
          </w:tblCellMar>
        </w:tblPrEx>
        <w:trPr>
          <w:trHeight w:val="841" w:hRule="atLeast"/>
          <w:jc w:val="center"/>
        </w:trPr>
        <w:tc>
          <w:tcPr>
            <w:tcW w:w="309" w:type="pct"/>
            <w:tcBorders>
              <w:top w:val="nil"/>
              <w:left w:val="single" w:color="auto" w:sz="4" w:space="0"/>
              <w:bottom w:val="single" w:color="auto" w:sz="4" w:space="0"/>
              <w:right w:val="single" w:color="auto" w:sz="4" w:space="0"/>
            </w:tcBorders>
            <w:vAlign w:val="center"/>
          </w:tcPr>
          <w:p w14:paraId="14BCC23E">
            <w:pPr>
              <w:widowControl/>
              <w:jc w:val="center"/>
              <w:rPr>
                <w:rFonts w:ascii="Times New Roman" w:hAnsi="Times New Roman" w:eastAsia="仿宋" w:cs="Times New Roman"/>
                <w:color w:val="000000"/>
                <w:kern w:val="0"/>
                <w:sz w:val="24"/>
                <w:szCs w:val="24"/>
              </w:rPr>
            </w:pPr>
          </w:p>
        </w:tc>
        <w:tc>
          <w:tcPr>
            <w:tcW w:w="347" w:type="pct"/>
            <w:tcBorders>
              <w:top w:val="single" w:color="auto" w:sz="4" w:space="0"/>
              <w:left w:val="nil"/>
              <w:bottom w:val="single" w:color="auto" w:sz="4" w:space="0"/>
              <w:right w:val="single" w:color="auto" w:sz="4" w:space="0"/>
            </w:tcBorders>
            <w:vAlign w:val="center"/>
          </w:tcPr>
          <w:p w14:paraId="28746E09">
            <w:pPr>
              <w:widowControl/>
              <w:jc w:val="center"/>
              <w:rPr>
                <w:rFonts w:ascii="Times New Roman" w:hAnsi="Times New Roman" w:eastAsia="仿宋" w:cs="Times New Roman"/>
                <w:color w:val="000000"/>
                <w:kern w:val="0"/>
                <w:sz w:val="24"/>
                <w:szCs w:val="24"/>
              </w:rPr>
            </w:pPr>
          </w:p>
        </w:tc>
        <w:tc>
          <w:tcPr>
            <w:tcW w:w="497" w:type="pct"/>
            <w:tcBorders>
              <w:top w:val="nil"/>
              <w:left w:val="single" w:color="auto" w:sz="4" w:space="0"/>
              <w:bottom w:val="single" w:color="auto" w:sz="4" w:space="0"/>
              <w:right w:val="single" w:color="auto" w:sz="4" w:space="0"/>
            </w:tcBorders>
            <w:vAlign w:val="center"/>
          </w:tcPr>
          <w:p w14:paraId="15AE1AE0">
            <w:pPr>
              <w:widowControl/>
              <w:jc w:val="center"/>
              <w:rPr>
                <w:rFonts w:ascii="Times New Roman" w:hAnsi="Times New Roman" w:eastAsia="仿宋" w:cs="Times New Roman"/>
                <w:color w:val="000000"/>
                <w:kern w:val="0"/>
                <w:sz w:val="24"/>
                <w:szCs w:val="24"/>
              </w:rPr>
            </w:pPr>
          </w:p>
        </w:tc>
        <w:tc>
          <w:tcPr>
            <w:tcW w:w="297" w:type="pct"/>
            <w:tcBorders>
              <w:top w:val="nil"/>
              <w:left w:val="single" w:color="auto" w:sz="4" w:space="0"/>
              <w:bottom w:val="single" w:color="auto" w:sz="4" w:space="0"/>
              <w:right w:val="single" w:color="auto" w:sz="4" w:space="0"/>
            </w:tcBorders>
            <w:vAlign w:val="center"/>
          </w:tcPr>
          <w:p w14:paraId="5349C16A">
            <w:pPr>
              <w:widowControl/>
              <w:jc w:val="center"/>
              <w:rPr>
                <w:rFonts w:ascii="Times New Roman" w:hAnsi="Times New Roman" w:eastAsia="仿宋" w:cs="Times New Roman"/>
                <w:color w:val="000000"/>
                <w:kern w:val="0"/>
                <w:sz w:val="24"/>
                <w:szCs w:val="24"/>
              </w:rPr>
            </w:pPr>
          </w:p>
        </w:tc>
        <w:tc>
          <w:tcPr>
            <w:tcW w:w="485" w:type="pct"/>
            <w:tcBorders>
              <w:top w:val="nil"/>
              <w:left w:val="single" w:color="auto" w:sz="4" w:space="0"/>
              <w:bottom w:val="single" w:color="auto" w:sz="4" w:space="0"/>
              <w:right w:val="single" w:color="auto" w:sz="4" w:space="0"/>
            </w:tcBorders>
            <w:vAlign w:val="center"/>
          </w:tcPr>
          <w:p w14:paraId="4F8DE8A2">
            <w:pPr>
              <w:widowControl/>
              <w:jc w:val="center"/>
              <w:rPr>
                <w:rFonts w:ascii="Times New Roman" w:hAnsi="Times New Roman" w:eastAsia="仿宋" w:cs="Times New Roman"/>
                <w:color w:val="000000"/>
                <w:kern w:val="0"/>
                <w:sz w:val="24"/>
                <w:szCs w:val="24"/>
              </w:rPr>
            </w:pPr>
          </w:p>
        </w:tc>
        <w:tc>
          <w:tcPr>
            <w:tcW w:w="313" w:type="pct"/>
            <w:tcBorders>
              <w:top w:val="nil"/>
              <w:left w:val="nil"/>
              <w:bottom w:val="single" w:color="auto" w:sz="4" w:space="0"/>
              <w:right w:val="single" w:color="auto" w:sz="4" w:space="0"/>
            </w:tcBorders>
            <w:vAlign w:val="center"/>
          </w:tcPr>
          <w:p w14:paraId="122262A0">
            <w:pPr>
              <w:widowControl/>
              <w:jc w:val="center"/>
              <w:rPr>
                <w:rFonts w:ascii="Times New Roman" w:hAnsi="Times New Roman" w:eastAsia="仿宋" w:cs="Times New Roman"/>
                <w:color w:val="000000"/>
                <w:kern w:val="0"/>
                <w:sz w:val="24"/>
                <w:szCs w:val="24"/>
              </w:rPr>
            </w:pPr>
          </w:p>
        </w:tc>
        <w:tc>
          <w:tcPr>
            <w:tcW w:w="302" w:type="pct"/>
            <w:tcBorders>
              <w:top w:val="nil"/>
              <w:left w:val="nil"/>
              <w:bottom w:val="single" w:color="auto" w:sz="4" w:space="0"/>
              <w:right w:val="single" w:color="auto" w:sz="4" w:space="0"/>
            </w:tcBorders>
            <w:vAlign w:val="center"/>
          </w:tcPr>
          <w:p w14:paraId="4C2E4A73">
            <w:pPr>
              <w:widowControl/>
              <w:jc w:val="center"/>
              <w:rPr>
                <w:rFonts w:ascii="Times New Roman" w:hAnsi="Times New Roman" w:eastAsia="仿宋" w:cs="Times New Roman"/>
                <w:color w:val="000000"/>
                <w:kern w:val="0"/>
                <w:sz w:val="24"/>
                <w:szCs w:val="24"/>
              </w:rPr>
            </w:pPr>
          </w:p>
        </w:tc>
        <w:tc>
          <w:tcPr>
            <w:tcW w:w="322" w:type="pct"/>
            <w:tcBorders>
              <w:top w:val="nil"/>
              <w:left w:val="nil"/>
              <w:bottom w:val="single" w:color="auto" w:sz="4" w:space="0"/>
              <w:right w:val="single" w:color="auto" w:sz="4" w:space="0"/>
            </w:tcBorders>
            <w:vAlign w:val="center"/>
          </w:tcPr>
          <w:p w14:paraId="26EAEBB4">
            <w:pPr>
              <w:widowControl/>
              <w:jc w:val="center"/>
              <w:rPr>
                <w:rFonts w:ascii="Times New Roman" w:hAnsi="Times New Roman" w:eastAsia="仿宋" w:cs="Times New Roman"/>
                <w:color w:val="000000"/>
                <w:kern w:val="0"/>
                <w:sz w:val="24"/>
                <w:szCs w:val="24"/>
              </w:rPr>
            </w:pPr>
          </w:p>
        </w:tc>
        <w:tc>
          <w:tcPr>
            <w:tcW w:w="295" w:type="pct"/>
            <w:tcBorders>
              <w:top w:val="nil"/>
              <w:left w:val="nil"/>
              <w:bottom w:val="single" w:color="auto" w:sz="4" w:space="0"/>
              <w:right w:val="single" w:color="auto" w:sz="4" w:space="0"/>
            </w:tcBorders>
            <w:vAlign w:val="center"/>
          </w:tcPr>
          <w:p w14:paraId="1D612EA3">
            <w:pPr>
              <w:widowControl/>
              <w:jc w:val="center"/>
              <w:rPr>
                <w:rFonts w:ascii="Times New Roman" w:hAnsi="Times New Roman" w:eastAsia="仿宋" w:cs="Times New Roman"/>
                <w:color w:val="000000"/>
                <w:kern w:val="0"/>
                <w:sz w:val="24"/>
                <w:szCs w:val="24"/>
              </w:rPr>
            </w:pPr>
          </w:p>
        </w:tc>
        <w:tc>
          <w:tcPr>
            <w:tcW w:w="303" w:type="pct"/>
            <w:tcBorders>
              <w:top w:val="nil"/>
              <w:left w:val="nil"/>
              <w:bottom w:val="single" w:color="auto" w:sz="4" w:space="0"/>
              <w:right w:val="single" w:color="auto" w:sz="4" w:space="0"/>
            </w:tcBorders>
            <w:vAlign w:val="center"/>
          </w:tcPr>
          <w:p w14:paraId="3446D950">
            <w:pPr>
              <w:widowControl/>
              <w:jc w:val="center"/>
              <w:rPr>
                <w:rFonts w:ascii="Times New Roman" w:hAnsi="Times New Roman" w:eastAsia="仿宋" w:cs="Times New Roman"/>
                <w:color w:val="000000"/>
                <w:kern w:val="0"/>
                <w:sz w:val="24"/>
                <w:szCs w:val="24"/>
              </w:rPr>
            </w:pPr>
          </w:p>
        </w:tc>
        <w:tc>
          <w:tcPr>
            <w:tcW w:w="289" w:type="pct"/>
            <w:tcBorders>
              <w:top w:val="nil"/>
              <w:left w:val="nil"/>
              <w:bottom w:val="single" w:color="auto" w:sz="4" w:space="0"/>
              <w:right w:val="single" w:color="auto" w:sz="4" w:space="0"/>
            </w:tcBorders>
            <w:vAlign w:val="center"/>
          </w:tcPr>
          <w:p w14:paraId="1D0BB173">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64A34505">
            <w:pPr>
              <w:widowControl/>
              <w:jc w:val="center"/>
              <w:rPr>
                <w:rFonts w:ascii="Times New Roman" w:hAnsi="Times New Roman" w:eastAsia="仿宋" w:cs="Times New Roman"/>
                <w:color w:val="000000"/>
                <w:kern w:val="0"/>
                <w:sz w:val="24"/>
                <w:szCs w:val="24"/>
              </w:rPr>
            </w:pPr>
          </w:p>
        </w:tc>
        <w:tc>
          <w:tcPr>
            <w:tcW w:w="297" w:type="pct"/>
            <w:tcBorders>
              <w:top w:val="nil"/>
              <w:left w:val="nil"/>
              <w:bottom w:val="single" w:color="auto" w:sz="4" w:space="0"/>
              <w:right w:val="single" w:color="auto" w:sz="4" w:space="0"/>
            </w:tcBorders>
            <w:vAlign w:val="center"/>
          </w:tcPr>
          <w:p w14:paraId="669BAC27">
            <w:pPr>
              <w:widowControl/>
              <w:jc w:val="center"/>
              <w:rPr>
                <w:rFonts w:ascii="Times New Roman" w:hAnsi="Times New Roman" w:eastAsia="仿宋" w:cs="Times New Roman"/>
                <w:color w:val="000000"/>
                <w:kern w:val="0"/>
                <w:sz w:val="24"/>
                <w:szCs w:val="24"/>
              </w:rPr>
            </w:pPr>
          </w:p>
        </w:tc>
        <w:tc>
          <w:tcPr>
            <w:tcW w:w="622" w:type="pct"/>
            <w:tcBorders>
              <w:top w:val="nil"/>
              <w:left w:val="nil"/>
              <w:bottom w:val="single" w:color="auto" w:sz="4" w:space="0"/>
              <w:right w:val="single" w:color="auto" w:sz="4" w:space="0"/>
            </w:tcBorders>
            <w:vAlign w:val="center"/>
          </w:tcPr>
          <w:p w14:paraId="7D283E1D">
            <w:pPr>
              <w:widowControl/>
              <w:jc w:val="center"/>
              <w:rPr>
                <w:rFonts w:ascii="Times New Roman" w:hAnsi="Times New Roman" w:eastAsia="仿宋" w:cs="Times New Roman"/>
                <w:color w:val="000000"/>
                <w:kern w:val="0"/>
                <w:sz w:val="24"/>
                <w:szCs w:val="24"/>
              </w:rPr>
            </w:pPr>
          </w:p>
        </w:tc>
      </w:tr>
    </w:tbl>
    <w:p w14:paraId="3EF91503">
      <w:pPr>
        <w:adjustRightInd w:val="0"/>
        <w:snapToGrid w:val="0"/>
        <w:spacing w:before="156" w:beforeLines="50" w:after="156" w:afterLines="50" w:line="360" w:lineRule="auto"/>
        <w:rPr>
          <w:rFonts w:ascii="Times New Roman" w:hAnsi="Times New Roman" w:eastAsia="仿宋" w:cs="Times New Roman"/>
          <w:sz w:val="32"/>
          <w:szCs w:val="32"/>
        </w:rPr>
        <w:sectPr>
          <w:pgSz w:w="16838" w:h="11906" w:orient="landscape"/>
          <w:pgMar w:top="1800" w:right="1440" w:bottom="1800" w:left="1440" w:header="851" w:footer="992" w:gutter="0"/>
          <w:cols w:space="720" w:num="1"/>
          <w:docGrid w:type="lines" w:linePitch="312" w:charSpace="0"/>
        </w:sectPr>
      </w:pPr>
    </w:p>
    <w:p w14:paraId="74A7ED1A">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附件6：</w:t>
      </w:r>
    </w:p>
    <w:p w14:paraId="693FF68E">
      <w:pPr>
        <w:adjustRightInd w:val="0"/>
        <w:snapToGrid w:val="0"/>
        <w:spacing w:before="156" w:beforeLines="50" w:after="156" w:afterLines="50"/>
        <w:jc w:val="center"/>
        <w:rPr>
          <w:rFonts w:ascii="Times New Roman" w:hAnsi="Times New Roman" w:eastAsia="黑体" w:cs="Times New Roman"/>
          <w:sz w:val="36"/>
          <w:szCs w:val="36"/>
        </w:rPr>
      </w:pPr>
      <w:r>
        <w:rPr>
          <w:rFonts w:ascii="Times New Roman" w:hAnsi="Times New Roman" w:eastAsia="黑体" w:cs="Times New Roman"/>
          <w:sz w:val="36"/>
          <w:szCs w:val="36"/>
        </w:rPr>
        <w:t>储备项目列表</w:t>
      </w:r>
    </w:p>
    <w:tbl>
      <w:tblPr>
        <w:tblStyle w:val="6"/>
        <w:tblW w:w="143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984"/>
        <w:gridCol w:w="1134"/>
        <w:gridCol w:w="1559"/>
        <w:gridCol w:w="2552"/>
        <w:gridCol w:w="2410"/>
        <w:gridCol w:w="1275"/>
        <w:gridCol w:w="1276"/>
        <w:gridCol w:w="1418"/>
      </w:tblGrid>
      <w:tr w14:paraId="6270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2" w:type="dxa"/>
            <w:shd w:val="clear" w:color="auto" w:fill="auto"/>
            <w:vAlign w:val="center"/>
          </w:tcPr>
          <w:p w14:paraId="55E28605">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1984" w:type="dxa"/>
            <w:shd w:val="clear" w:color="auto" w:fill="auto"/>
            <w:vAlign w:val="center"/>
          </w:tcPr>
          <w:p w14:paraId="6E3C3EE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项目名称</w:t>
            </w:r>
          </w:p>
          <w:p w14:paraId="184578D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（可隐去敏感信息）</w:t>
            </w:r>
          </w:p>
        </w:tc>
        <w:tc>
          <w:tcPr>
            <w:tcW w:w="1134" w:type="dxa"/>
            <w:vAlign w:val="center"/>
          </w:tcPr>
          <w:p w14:paraId="3C3972A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注册地</w:t>
            </w:r>
          </w:p>
        </w:tc>
        <w:tc>
          <w:tcPr>
            <w:tcW w:w="1559" w:type="dxa"/>
            <w:shd w:val="clear" w:color="auto" w:fill="auto"/>
            <w:vAlign w:val="center"/>
          </w:tcPr>
          <w:p w14:paraId="02F01A0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2552" w:type="dxa"/>
            <w:vAlign w:val="center"/>
          </w:tcPr>
          <w:p w14:paraId="5023629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同行业主要可比公司</w:t>
            </w:r>
          </w:p>
        </w:tc>
        <w:tc>
          <w:tcPr>
            <w:tcW w:w="2410" w:type="dxa"/>
            <w:shd w:val="clear" w:color="auto" w:fill="auto"/>
            <w:vAlign w:val="center"/>
          </w:tcPr>
          <w:p w14:paraId="788967AF">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主营业务及投资亮点</w:t>
            </w:r>
          </w:p>
        </w:tc>
        <w:tc>
          <w:tcPr>
            <w:tcW w:w="1275" w:type="dxa"/>
            <w:shd w:val="clear" w:color="auto" w:fill="auto"/>
            <w:vAlign w:val="center"/>
          </w:tcPr>
          <w:p w14:paraId="4A5BA3F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项目估值</w:t>
            </w:r>
          </w:p>
        </w:tc>
        <w:tc>
          <w:tcPr>
            <w:tcW w:w="1276" w:type="dxa"/>
            <w:vAlign w:val="center"/>
          </w:tcPr>
          <w:p w14:paraId="38AD996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拟投金额</w:t>
            </w:r>
          </w:p>
        </w:tc>
        <w:tc>
          <w:tcPr>
            <w:tcW w:w="1418" w:type="dxa"/>
            <w:shd w:val="clear" w:color="auto" w:fill="auto"/>
            <w:vAlign w:val="center"/>
          </w:tcPr>
          <w:p w14:paraId="76E24B5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联系人及联系方式</w:t>
            </w:r>
          </w:p>
        </w:tc>
      </w:tr>
      <w:tr w14:paraId="6E76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732" w:type="dxa"/>
          </w:tcPr>
          <w:p w14:paraId="0FE8A52F">
            <w:pPr>
              <w:autoSpaceDN w:val="0"/>
              <w:spacing w:line="360" w:lineRule="auto"/>
              <w:rPr>
                <w:rFonts w:ascii="Times New Roman" w:hAnsi="Times New Roman" w:eastAsia="仿宋" w:cs="Times New Roman"/>
                <w:sz w:val="24"/>
                <w:szCs w:val="24"/>
                <w:shd w:val="clear" w:color="auto" w:fill="FFFFFF"/>
              </w:rPr>
            </w:pPr>
          </w:p>
        </w:tc>
        <w:tc>
          <w:tcPr>
            <w:tcW w:w="1984" w:type="dxa"/>
          </w:tcPr>
          <w:p w14:paraId="6B15A522">
            <w:pPr>
              <w:autoSpaceDN w:val="0"/>
              <w:spacing w:line="360" w:lineRule="auto"/>
              <w:rPr>
                <w:rFonts w:ascii="Times New Roman" w:hAnsi="Times New Roman" w:eastAsia="仿宋" w:cs="Times New Roman"/>
                <w:sz w:val="24"/>
                <w:szCs w:val="24"/>
                <w:shd w:val="clear" w:color="auto" w:fill="FFFFFF"/>
              </w:rPr>
            </w:pPr>
          </w:p>
        </w:tc>
        <w:tc>
          <w:tcPr>
            <w:tcW w:w="1134" w:type="dxa"/>
          </w:tcPr>
          <w:p w14:paraId="386CF7DF">
            <w:pPr>
              <w:autoSpaceDN w:val="0"/>
              <w:spacing w:line="360" w:lineRule="auto"/>
              <w:rPr>
                <w:rFonts w:ascii="Times New Roman" w:hAnsi="Times New Roman" w:eastAsia="仿宋" w:cs="Times New Roman"/>
                <w:sz w:val="24"/>
                <w:szCs w:val="24"/>
                <w:shd w:val="clear" w:color="auto" w:fill="FFFFFF"/>
              </w:rPr>
            </w:pPr>
          </w:p>
        </w:tc>
        <w:tc>
          <w:tcPr>
            <w:tcW w:w="1559" w:type="dxa"/>
          </w:tcPr>
          <w:p w14:paraId="476DFCDA">
            <w:pPr>
              <w:autoSpaceDN w:val="0"/>
              <w:spacing w:line="360" w:lineRule="auto"/>
              <w:rPr>
                <w:rFonts w:ascii="Times New Roman" w:hAnsi="Times New Roman" w:eastAsia="仿宋" w:cs="Times New Roman"/>
                <w:sz w:val="24"/>
                <w:szCs w:val="24"/>
                <w:shd w:val="clear" w:color="auto" w:fill="FFFFFF"/>
              </w:rPr>
            </w:pPr>
          </w:p>
        </w:tc>
        <w:tc>
          <w:tcPr>
            <w:tcW w:w="2552" w:type="dxa"/>
          </w:tcPr>
          <w:p w14:paraId="618A250A">
            <w:pPr>
              <w:autoSpaceDN w:val="0"/>
              <w:spacing w:line="360" w:lineRule="auto"/>
              <w:rPr>
                <w:rFonts w:ascii="Times New Roman" w:hAnsi="Times New Roman" w:eastAsia="仿宋" w:cs="Times New Roman"/>
                <w:sz w:val="24"/>
                <w:szCs w:val="24"/>
                <w:shd w:val="clear" w:color="auto" w:fill="FFFFFF"/>
              </w:rPr>
            </w:pPr>
          </w:p>
        </w:tc>
        <w:tc>
          <w:tcPr>
            <w:tcW w:w="2410" w:type="dxa"/>
          </w:tcPr>
          <w:p w14:paraId="0BBBD56A">
            <w:pPr>
              <w:autoSpaceDN w:val="0"/>
              <w:spacing w:line="360" w:lineRule="auto"/>
              <w:rPr>
                <w:rFonts w:ascii="Times New Roman" w:hAnsi="Times New Roman" w:eastAsia="仿宋" w:cs="Times New Roman"/>
                <w:sz w:val="24"/>
                <w:szCs w:val="24"/>
                <w:shd w:val="clear" w:color="auto" w:fill="FFFFFF"/>
              </w:rPr>
            </w:pPr>
          </w:p>
        </w:tc>
        <w:tc>
          <w:tcPr>
            <w:tcW w:w="1275" w:type="dxa"/>
          </w:tcPr>
          <w:p w14:paraId="3FF702BF">
            <w:pPr>
              <w:autoSpaceDN w:val="0"/>
              <w:spacing w:line="360" w:lineRule="auto"/>
              <w:rPr>
                <w:rFonts w:ascii="Times New Roman" w:hAnsi="Times New Roman" w:eastAsia="仿宋" w:cs="Times New Roman"/>
                <w:sz w:val="24"/>
                <w:szCs w:val="24"/>
                <w:shd w:val="clear" w:color="auto" w:fill="FFFFFF"/>
              </w:rPr>
            </w:pPr>
          </w:p>
        </w:tc>
        <w:tc>
          <w:tcPr>
            <w:tcW w:w="1276" w:type="dxa"/>
          </w:tcPr>
          <w:p w14:paraId="02313EEB">
            <w:pPr>
              <w:autoSpaceDN w:val="0"/>
              <w:spacing w:line="360" w:lineRule="auto"/>
              <w:rPr>
                <w:rFonts w:ascii="Times New Roman" w:hAnsi="Times New Roman" w:eastAsia="仿宋" w:cs="Times New Roman"/>
                <w:sz w:val="24"/>
                <w:szCs w:val="24"/>
                <w:shd w:val="clear" w:color="auto" w:fill="FFFFFF"/>
              </w:rPr>
            </w:pPr>
          </w:p>
        </w:tc>
        <w:tc>
          <w:tcPr>
            <w:tcW w:w="1418" w:type="dxa"/>
          </w:tcPr>
          <w:p w14:paraId="36477591">
            <w:pPr>
              <w:autoSpaceDN w:val="0"/>
              <w:spacing w:line="360" w:lineRule="auto"/>
              <w:rPr>
                <w:rFonts w:ascii="Times New Roman" w:hAnsi="Times New Roman" w:eastAsia="仿宋" w:cs="Times New Roman"/>
                <w:sz w:val="24"/>
                <w:szCs w:val="24"/>
                <w:shd w:val="clear" w:color="auto" w:fill="FFFFFF"/>
              </w:rPr>
            </w:pPr>
          </w:p>
        </w:tc>
      </w:tr>
      <w:tr w14:paraId="56E2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732" w:type="dxa"/>
          </w:tcPr>
          <w:p w14:paraId="4477825E">
            <w:pPr>
              <w:autoSpaceDN w:val="0"/>
              <w:spacing w:line="360" w:lineRule="auto"/>
              <w:rPr>
                <w:rFonts w:ascii="Times New Roman" w:hAnsi="Times New Roman" w:eastAsia="仿宋" w:cs="Times New Roman"/>
                <w:sz w:val="24"/>
                <w:szCs w:val="24"/>
                <w:shd w:val="clear" w:color="auto" w:fill="FFFFFF"/>
              </w:rPr>
            </w:pPr>
          </w:p>
        </w:tc>
        <w:tc>
          <w:tcPr>
            <w:tcW w:w="1984" w:type="dxa"/>
          </w:tcPr>
          <w:p w14:paraId="37D12CFC">
            <w:pPr>
              <w:autoSpaceDN w:val="0"/>
              <w:spacing w:line="360" w:lineRule="auto"/>
              <w:rPr>
                <w:rFonts w:ascii="Times New Roman" w:hAnsi="Times New Roman" w:eastAsia="仿宋" w:cs="Times New Roman"/>
                <w:sz w:val="24"/>
                <w:szCs w:val="24"/>
                <w:shd w:val="clear" w:color="auto" w:fill="FFFFFF"/>
              </w:rPr>
            </w:pPr>
          </w:p>
        </w:tc>
        <w:tc>
          <w:tcPr>
            <w:tcW w:w="1134" w:type="dxa"/>
          </w:tcPr>
          <w:p w14:paraId="6EB79B68">
            <w:pPr>
              <w:autoSpaceDN w:val="0"/>
              <w:spacing w:line="360" w:lineRule="auto"/>
              <w:rPr>
                <w:rFonts w:ascii="Times New Roman" w:hAnsi="Times New Roman" w:eastAsia="仿宋" w:cs="Times New Roman"/>
                <w:sz w:val="24"/>
                <w:szCs w:val="24"/>
                <w:shd w:val="clear" w:color="auto" w:fill="FFFFFF"/>
              </w:rPr>
            </w:pPr>
          </w:p>
        </w:tc>
        <w:tc>
          <w:tcPr>
            <w:tcW w:w="1559" w:type="dxa"/>
          </w:tcPr>
          <w:p w14:paraId="14D1D926">
            <w:pPr>
              <w:autoSpaceDN w:val="0"/>
              <w:spacing w:line="360" w:lineRule="auto"/>
              <w:rPr>
                <w:rFonts w:ascii="Times New Roman" w:hAnsi="Times New Roman" w:eastAsia="仿宋" w:cs="Times New Roman"/>
                <w:sz w:val="24"/>
                <w:szCs w:val="24"/>
                <w:shd w:val="clear" w:color="auto" w:fill="FFFFFF"/>
              </w:rPr>
            </w:pPr>
          </w:p>
        </w:tc>
        <w:tc>
          <w:tcPr>
            <w:tcW w:w="2552" w:type="dxa"/>
          </w:tcPr>
          <w:p w14:paraId="51843DBA">
            <w:pPr>
              <w:autoSpaceDN w:val="0"/>
              <w:spacing w:line="360" w:lineRule="auto"/>
              <w:rPr>
                <w:rFonts w:ascii="Times New Roman" w:hAnsi="Times New Roman" w:eastAsia="仿宋" w:cs="Times New Roman"/>
                <w:sz w:val="24"/>
                <w:szCs w:val="24"/>
                <w:shd w:val="clear" w:color="auto" w:fill="FFFFFF"/>
              </w:rPr>
            </w:pPr>
          </w:p>
        </w:tc>
        <w:tc>
          <w:tcPr>
            <w:tcW w:w="2410" w:type="dxa"/>
          </w:tcPr>
          <w:p w14:paraId="5940E7E1">
            <w:pPr>
              <w:autoSpaceDN w:val="0"/>
              <w:spacing w:line="360" w:lineRule="auto"/>
              <w:rPr>
                <w:rFonts w:ascii="Times New Roman" w:hAnsi="Times New Roman" w:eastAsia="仿宋" w:cs="Times New Roman"/>
                <w:sz w:val="24"/>
                <w:szCs w:val="24"/>
                <w:shd w:val="clear" w:color="auto" w:fill="FFFFFF"/>
              </w:rPr>
            </w:pPr>
          </w:p>
        </w:tc>
        <w:tc>
          <w:tcPr>
            <w:tcW w:w="1275" w:type="dxa"/>
          </w:tcPr>
          <w:p w14:paraId="2A0C7E61">
            <w:pPr>
              <w:autoSpaceDN w:val="0"/>
              <w:spacing w:line="360" w:lineRule="auto"/>
              <w:rPr>
                <w:rFonts w:ascii="Times New Roman" w:hAnsi="Times New Roman" w:eastAsia="仿宋" w:cs="Times New Roman"/>
                <w:sz w:val="24"/>
                <w:szCs w:val="24"/>
                <w:shd w:val="clear" w:color="auto" w:fill="FFFFFF"/>
              </w:rPr>
            </w:pPr>
          </w:p>
        </w:tc>
        <w:tc>
          <w:tcPr>
            <w:tcW w:w="1276" w:type="dxa"/>
          </w:tcPr>
          <w:p w14:paraId="3C590856">
            <w:pPr>
              <w:autoSpaceDN w:val="0"/>
              <w:spacing w:line="360" w:lineRule="auto"/>
              <w:rPr>
                <w:rFonts w:ascii="Times New Roman" w:hAnsi="Times New Roman" w:eastAsia="仿宋" w:cs="Times New Roman"/>
                <w:sz w:val="24"/>
                <w:szCs w:val="24"/>
                <w:shd w:val="clear" w:color="auto" w:fill="FFFFFF"/>
              </w:rPr>
            </w:pPr>
          </w:p>
        </w:tc>
        <w:tc>
          <w:tcPr>
            <w:tcW w:w="1418" w:type="dxa"/>
          </w:tcPr>
          <w:p w14:paraId="3EA18E74">
            <w:pPr>
              <w:autoSpaceDN w:val="0"/>
              <w:spacing w:line="360" w:lineRule="auto"/>
              <w:rPr>
                <w:rFonts w:ascii="Times New Roman" w:hAnsi="Times New Roman" w:eastAsia="仿宋" w:cs="Times New Roman"/>
                <w:sz w:val="24"/>
                <w:szCs w:val="24"/>
                <w:shd w:val="clear" w:color="auto" w:fill="FFFFFF"/>
              </w:rPr>
            </w:pPr>
          </w:p>
        </w:tc>
      </w:tr>
      <w:tr w14:paraId="35F6C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732" w:type="dxa"/>
          </w:tcPr>
          <w:p w14:paraId="5639C061">
            <w:pPr>
              <w:autoSpaceDN w:val="0"/>
              <w:spacing w:line="360" w:lineRule="auto"/>
              <w:rPr>
                <w:rFonts w:ascii="Times New Roman" w:hAnsi="Times New Roman" w:eastAsia="仿宋" w:cs="Times New Roman"/>
                <w:sz w:val="24"/>
                <w:szCs w:val="24"/>
                <w:shd w:val="clear" w:color="auto" w:fill="FFFFFF"/>
              </w:rPr>
            </w:pPr>
          </w:p>
        </w:tc>
        <w:tc>
          <w:tcPr>
            <w:tcW w:w="1984" w:type="dxa"/>
          </w:tcPr>
          <w:p w14:paraId="00963FC7">
            <w:pPr>
              <w:autoSpaceDN w:val="0"/>
              <w:spacing w:line="360" w:lineRule="auto"/>
              <w:rPr>
                <w:rFonts w:ascii="Times New Roman" w:hAnsi="Times New Roman" w:eastAsia="仿宋" w:cs="Times New Roman"/>
                <w:sz w:val="24"/>
                <w:szCs w:val="24"/>
                <w:shd w:val="clear" w:color="auto" w:fill="FFFFFF"/>
              </w:rPr>
            </w:pPr>
          </w:p>
        </w:tc>
        <w:tc>
          <w:tcPr>
            <w:tcW w:w="1134" w:type="dxa"/>
          </w:tcPr>
          <w:p w14:paraId="1F197668">
            <w:pPr>
              <w:autoSpaceDN w:val="0"/>
              <w:spacing w:line="360" w:lineRule="auto"/>
              <w:rPr>
                <w:rFonts w:ascii="Times New Roman" w:hAnsi="Times New Roman" w:eastAsia="仿宋" w:cs="Times New Roman"/>
                <w:sz w:val="24"/>
                <w:szCs w:val="24"/>
                <w:shd w:val="clear" w:color="auto" w:fill="FFFFFF"/>
              </w:rPr>
            </w:pPr>
          </w:p>
        </w:tc>
        <w:tc>
          <w:tcPr>
            <w:tcW w:w="1559" w:type="dxa"/>
          </w:tcPr>
          <w:p w14:paraId="2EE047B4">
            <w:pPr>
              <w:autoSpaceDN w:val="0"/>
              <w:spacing w:line="360" w:lineRule="auto"/>
              <w:rPr>
                <w:rFonts w:ascii="Times New Roman" w:hAnsi="Times New Roman" w:eastAsia="仿宋" w:cs="Times New Roman"/>
                <w:sz w:val="24"/>
                <w:szCs w:val="24"/>
                <w:shd w:val="clear" w:color="auto" w:fill="FFFFFF"/>
              </w:rPr>
            </w:pPr>
          </w:p>
        </w:tc>
        <w:tc>
          <w:tcPr>
            <w:tcW w:w="2552" w:type="dxa"/>
          </w:tcPr>
          <w:p w14:paraId="6D2B9426">
            <w:pPr>
              <w:autoSpaceDN w:val="0"/>
              <w:spacing w:line="360" w:lineRule="auto"/>
              <w:rPr>
                <w:rFonts w:ascii="Times New Roman" w:hAnsi="Times New Roman" w:eastAsia="仿宋" w:cs="Times New Roman"/>
                <w:sz w:val="24"/>
                <w:szCs w:val="24"/>
                <w:shd w:val="clear" w:color="auto" w:fill="FFFFFF"/>
              </w:rPr>
            </w:pPr>
          </w:p>
        </w:tc>
        <w:tc>
          <w:tcPr>
            <w:tcW w:w="2410" w:type="dxa"/>
          </w:tcPr>
          <w:p w14:paraId="3BDF7080">
            <w:pPr>
              <w:autoSpaceDN w:val="0"/>
              <w:spacing w:line="360" w:lineRule="auto"/>
              <w:rPr>
                <w:rFonts w:ascii="Times New Roman" w:hAnsi="Times New Roman" w:eastAsia="仿宋" w:cs="Times New Roman"/>
                <w:sz w:val="24"/>
                <w:szCs w:val="24"/>
                <w:shd w:val="clear" w:color="auto" w:fill="FFFFFF"/>
              </w:rPr>
            </w:pPr>
          </w:p>
        </w:tc>
        <w:tc>
          <w:tcPr>
            <w:tcW w:w="1275" w:type="dxa"/>
          </w:tcPr>
          <w:p w14:paraId="05EBB5F2">
            <w:pPr>
              <w:autoSpaceDN w:val="0"/>
              <w:spacing w:line="360" w:lineRule="auto"/>
              <w:rPr>
                <w:rFonts w:ascii="Times New Roman" w:hAnsi="Times New Roman" w:eastAsia="仿宋" w:cs="Times New Roman"/>
                <w:sz w:val="24"/>
                <w:szCs w:val="24"/>
                <w:shd w:val="clear" w:color="auto" w:fill="FFFFFF"/>
              </w:rPr>
            </w:pPr>
          </w:p>
        </w:tc>
        <w:tc>
          <w:tcPr>
            <w:tcW w:w="1276" w:type="dxa"/>
          </w:tcPr>
          <w:p w14:paraId="3EAFB76B">
            <w:pPr>
              <w:autoSpaceDN w:val="0"/>
              <w:spacing w:line="360" w:lineRule="auto"/>
              <w:rPr>
                <w:rFonts w:ascii="Times New Roman" w:hAnsi="Times New Roman" w:eastAsia="仿宋" w:cs="Times New Roman"/>
                <w:sz w:val="24"/>
                <w:szCs w:val="24"/>
                <w:shd w:val="clear" w:color="auto" w:fill="FFFFFF"/>
              </w:rPr>
            </w:pPr>
          </w:p>
        </w:tc>
        <w:tc>
          <w:tcPr>
            <w:tcW w:w="1418" w:type="dxa"/>
          </w:tcPr>
          <w:p w14:paraId="761C47AE">
            <w:pPr>
              <w:autoSpaceDN w:val="0"/>
              <w:spacing w:line="360" w:lineRule="auto"/>
              <w:rPr>
                <w:rFonts w:ascii="Times New Roman" w:hAnsi="Times New Roman" w:eastAsia="仿宋" w:cs="Times New Roman"/>
                <w:sz w:val="24"/>
                <w:szCs w:val="24"/>
                <w:shd w:val="clear" w:color="auto" w:fill="FFFFFF"/>
              </w:rPr>
            </w:pPr>
          </w:p>
        </w:tc>
      </w:tr>
      <w:tr w14:paraId="6CC49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732" w:type="dxa"/>
          </w:tcPr>
          <w:p w14:paraId="5735E2EB">
            <w:pPr>
              <w:autoSpaceDN w:val="0"/>
              <w:spacing w:line="360" w:lineRule="auto"/>
              <w:rPr>
                <w:rFonts w:ascii="Times New Roman" w:hAnsi="Times New Roman" w:eastAsia="仿宋" w:cs="Times New Roman"/>
                <w:sz w:val="24"/>
                <w:szCs w:val="24"/>
                <w:shd w:val="clear" w:color="auto" w:fill="FFFFFF"/>
              </w:rPr>
            </w:pPr>
          </w:p>
        </w:tc>
        <w:tc>
          <w:tcPr>
            <w:tcW w:w="1984" w:type="dxa"/>
          </w:tcPr>
          <w:p w14:paraId="494F248B">
            <w:pPr>
              <w:autoSpaceDN w:val="0"/>
              <w:spacing w:line="360" w:lineRule="auto"/>
              <w:rPr>
                <w:rFonts w:ascii="Times New Roman" w:hAnsi="Times New Roman" w:eastAsia="仿宋" w:cs="Times New Roman"/>
                <w:sz w:val="24"/>
                <w:szCs w:val="24"/>
                <w:shd w:val="clear" w:color="auto" w:fill="FFFFFF"/>
              </w:rPr>
            </w:pPr>
          </w:p>
        </w:tc>
        <w:tc>
          <w:tcPr>
            <w:tcW w:w="1134" w:type="dxa"/>
          </w:tcPr>
          <w:p w14:paraId="7C39B3CC">
            <w:pPr>
              <w:autoSpaceDN w:val="0"/>
              <w:spacing w:line="360" w:lineRule="auto"/>
              <w:rPr>
                <w:rFonts w:ascii="Times New Roman" w:hAnsi="Times New Roman" w:eastAsia="仿宋" w:cs="Times New Roman"/>
                <w:sz w:val="24"/>
                <w:szCs w:val="24"/>
                <w:shd w:val="clear" w:color="auto" w:fill="FFFFFF"/>
              </w:rPr>
            </w:pPr>
          </w:p>
        </w:tc>
        <w:tc>
          <w:tcPr>
            <w:tcW w:w="1559" w:type="dxa"/>
          </w:tcPr>
          <w:p w14:paraId="4CB38801">
            <w:pPr>
              <w:autoSpaceDN w:val="0"/>
              <w:spacing w:line="360" w:lineRule="auto"/>
              <w:rPr>
                <w:rFonts w:ascii="Times New Roman" w:hAnsi="Times New Roman" w:eastAsia="仿宋" w:cs="Times New Roman"/>
                <w:sz w:val="24"/>
                <w:szCs w:val="24"/>
                <w:shd w:val="clear" w:color="auto" w:fill="FFFFFF"/>
              </w:rPr>
            </w:pPr>
          </w:p>
        </w:tc>
        <w:tc>
          <w:tcPr>
            <w:tcW w:w="2552" w:type="dxa"/>
          </w:tcPr>
          <w:p w14:paraId="1E75619C">
            <w:pPr>
              <w:autoSpaceDN w:val="0"/>
              <w:spacing w:line="360" w:lineRule="auto"/>
              <w:rPr>
                <w:rFonts w:ascii="Times New Roman" w:hAnsi="Times New Roman" w:eastAsia="仿宋" w:cs="Times New Roman"/>
                <w:sz w:val="24"/>
                <w:szCs w:val="24"/>
                <w:shd w:val="clear" w:color="auto" w:fill="FFFFFF"/>
              </w:rPr>
            </w:pPr>
          </w:p>
        </w:tc>
        <w:tc>
          <w:tcPr>
            <w:tcW w:w="2410" w:type="dxa"/>
          </w:tcPr>
          <w:p w14:paraId="182E6FF2">
            <w:pPr>
              <w:autoSpaceDN w:val="0"/>
              <w:spacing w:line="360" w:lineRule="auto"/>
              <w:rPr>
                <w:rFonts w:ascii="Times New Roman" w:hAnsi="Times New Roman" w:eastAsia="仿宋" w:cs="Times New Roman"/>
                <w:sz w:val="24"/>
                <w:szCs w:val="24"/>
                <w:shd w:val="clear" w:color="auto" w:fill="FFFFFF"/>
              </w:rPr>
            </w:pPr>
          </w:p>
        </w:tc>
        <w:tc>
          <w:tcPr>
            <w:tcW w:w="1275" w:type="dxa"/>
          </w:tcPr>
          <w:p w14:paraId="48895B53">
            <w:pPr>
              <w:autoSpaceDN w:val="0"/>
              <w:spacing w:line="360" w:lineRule="auto"/>
              <w:rPr>
                <w:rFonts w:ascii="Times New Roman" w:hAnsi="Times New Roman" w:eastAsia="仿宋" w:cs="Times New Roman"/>
                <w:sz w:val="24"/>
                <w:szCs w:val="24"/>
                <w:shd w:val="clear" w:color="auto" w:fill="FFFFFF"/>
              </w:rPr>
            </w:pPr>
          </w:p>
        </w:tc>
        <w:tc>
          <w:tcPr>
            <w:tcW w:w="1276" w:type="dxa"/>
          </w:tcPr>
          <w:p w14:paraId="588152C5">
            <w:pPr>
              <w:autoSpaceDN w:val="0"/>
              <w:spacing w:line="360" w:lineRule="auto"/>
              <w:rPr>
                <w:rFonts w:ascii="Times New Roman" w:hAnsi="Times New Roman" w:eastAsia="仿宋" w:cs="Times New Roman"/>
                <w:sz w:val="24"/>
                <w:szCs w:val="24"/>
                <w:shd w:val="clear" w:color="auto" w:fill="FFFFFF"/>
              </w:rPr>
            </w:pPr>
          </w:p>
        </w:tc>
        <w:tc>
          <w:tcPr>
            <w:tcW w:w="1418" w:type="dxa"/>
          </w:tcPr>
          <w:p w14:paraId="745144AD">
            <w:pPr>
              <w:autoSpaceDN w:val="0"/>
              <w:spacing w:line="360" w:lineRule="auto"/>
              <w:rPr>
                <w:rFonts w:ascii="Times New Roman" w:hAnsi="Times New Roman" w:eastAsia="仿宋" w:cs="Times New Roman"/>
                <w:sz w:val="24"/>
                <w:szCs w:val="24"/>
                <w:shd w:val="clear" w:color="auto" w:fill="FFFFFF"/>
              </w:rPr>
            </w:pPr>
          </w:p>
        </w:tc>
      </w:tr>
      <w:tr w14:paraId="6B733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732" w:type="dxa"/>
          </w:tcPr>
          <w:p w14:paraId="4DD667E1">
            <w:pPr>
              <w:autoSpaceDN w:val="0"/>
              <w:spacing w:line="360" w:lineRule="auto"/>
              <w:rPr>
                <w:rFonts w:ascii="Times New Roman" w:hAnsi="Times New Roman" w:eastAsia="仿宋" w:cs="Times New Roman"/>
                <w:sz w:val="24"/>
                <w:szCs w:val="24"/>
                <w:shd w:val="clear" w:color="auto" w:fill="FFFFFF"/>
              </w:rPr>
            </w:pPr>
          </w:p>
        </w:tc>
        <w:tc>
          <w:tcPr>
            <w:tcW w:w="1984" w:type="dxa"/>
          </w:tcPr>
          <w:p w14:paraId="355C1441">
            <w:pPr>
              <w:autoSpaceDN w:val="0"/>
              <w:spacing w:line="360" w:lineRule="auto"/>
              <w:rPr>
                <w:rFonts w:ascii="Times New Roman" w:hAnsi="Times New Roman" w:eastAsia="仿宋" w:cs="Times New Roman"/>
                <w:sz w:val="24"/>
                <w:szCs w:val="24"/>
                <w:shd w:val="clear" w:color="auto" w:fill="FFFFFF"/>
              </w:rPr>
            </w:pPr>
          </w:p>
        </w:tc>
        <w:tc>
          <w:tcPr>
            <w:tcW w:w="1134" w:type="dxa"/>
          </w:tcPr>
          <w:p w14:paraId="2881E292">
            <w:pPr>
              <w:autoSpaceDN w:val="0"/>
              <w:spacing w:line="360" w:lineRule="auto"/>
              <w:rPr>
                <w:rFonts w:ascii="Times New Roman" w:hAnsi="Times New Roman" w:eastAsia="仿宋" w:cs="Times New Roman"/>
                <w:sz w:val="24"/>
                <w:szCs w:val="24"/>
                <w:shd w:val="clear" w:color="auto" w:fill="FFFFFF"/>
              </w:rPr>
            </w:pPr>
          </w:p>
        </w:tc>
        <w:tc>
          <w:tcPr>
            <w:tcW w:w="1559" w:type="dxa"/>
          </w:tcPr>
          <w:p w14:paraId="19DDD687">
            <w:pPr>
              <w:autoSpaceDN w:val="0"/>
              <w:spacing w:line="360" w:lineRule="auto"/>
              <w:rPr>
                <w:rFonts w:ascii="Times New Roman" w:hAnsi="Times New Roman" w:eastAsia="仿宋" w:cs="Times New Roman"/>
                <w:sz w:val="24"/>
                <w:szCs w:val="24"/>
                <w:shd w:val="clear" w:color="auto" w:fill="FFFFFF"/>
              </w:rPr>
            </w:pPr>
          </w:p>
        </w:tc>
        <w:tc>
          <w:tcPr>
            <w:tcW w:w="2552" w:type="dxa"/>
          </w:tcPr>
          <w:p w14:paraId="6E7BCA90">
            <w:pPr>
              <w:autoSpaceDN w:val="0"/>
              <w:spacing w:line="360" w:lineRule="auto"/>
              <w:rPr>
                <w:rFonts w:ascii="Times New Roman" w:hAnsi="Times New Roman" w:eastAsia="仿宋" w:cs="Times New Roman"/>
                <w:sz w:val="24"/>
                <w:szCs w:val="24"/>
                <w:shd w:val="clear" w:color="auto" w:fill="FFFFFF"/>
              </w:rPr>
            </w:pPr>
          </w:p>
        </w:tc>
        <w:tc>
          <w:tcPr>
            <w:tcW w:w="2410" w:type="dxa"/>
          </w:tcPr>
          <w:p w14:paraId="1E16E822">
            <w:pPr>
              <w:autoSpaceDN w:val="0"/>
              <w:spacing w:line="360" w:lineRule="auto"/>
              <w:rPr>
                <w:rFonts w:ascii="Times New Roman" w:hAnsi="Times New Roman" w:eastAsia="仿宋" w:cs="Times New Roman"/>
                <w:sz w:val="24"/>
                <w:szCs w:val="24"/>
                <w:shd w:val="clear" w:color="auto" w:fill="FFFFFF"/>
              </w:rPr>
            </w:pPr>
          </w:p>
        </w:tc>
        <w:tc>
          <w:tcPr>
            <w:tcW w:w="1275" w:type="dxa"/>
          </w:tcPr>
          <w:p w14:paraId="6FD41087">
            <w:pPr>
              <w:autoSpaceDN w:val="0"/>
              <w:spacing w:line="360" w:lineRule="auto"/>
              <w:rPr>
                <w:rFonts w:ascii="Times New Roman" w:hAnsi="Times New Roman" w:eastAsia="仿宋" w:cs="Times New Roman"/>
                <w:sz w:val="24"/>
                <w:szCs w:val="24"/>
                <w:shd w:val="clear" w:color="auto" w:fill="FFFFFF"/>
              </w:rPr>
            </w:pPr>
          </w:p>
        </w:tc>
        <w:tc>
          <w:tcPr>
            <w:tcW w:w="1276" w:type="dxa"/>
          </w:tcPr>
          <w:p w14:paraId="358B0361">
            <w:pPr>
              <w:autoSpaceDN w:val="0"/>
              <w:spacing w:line="360" w:lineRule="auto"/>
              <w:rPr>
                <w:rFonts w:ascii="Times New Roman" w:hAnsi="Times New Roman" w:eastAsia="仿宋" w:cs="Times New Roman"/>
                <w:sz w:val="24"/>
                <w:szCs w:val="24"/>
                <w:shd w:val="clear" w:color="auto" w:fill="FFFFFF"/>
              </w:rPr>
            </w:pPr>
          </w:p>
        </w:tc>
        <w:tc>
          <w:tcPr>
            <w:tcW w:w="1418" w:type="dxa"/>
          </w:tcPr>
          <w:p w14:paraId="310D6F4A">
            <w:pPr>
              <w:autoSpaceDN w:val="0"/>
              <w:spacing w:line="360" w:lineRule="auto"/>
              <w:rPr>
                <w:rFonts w:ascii="Times New Roman" w:hAnsi="Times New Roman" w:eastAsia="仿宋" w:cs="Times New Roman"/>
                <w:sz w:val="24"/>
                <w:szCs w:val="24"/>
                <w:shd w:val="clear" w:color="auto" w:fill="FFFFFF"/>
              </w:rPr>
            </w:pPr>
          </w:p>
        </w:tc>
      </w:tr>
    </w:tbl>
    <w:p w14:paraId="3DDA9A52">
      <w:pPr>
        <w:spacing w:before="312" w:beforeLines="100" w:line="520" w:lineRule="exact"/>
        <w:rPr>
          <w:rFonts w:ascii="Times New Roman" w:hAnsi="Times New Roman" w:eastAsia="仿宋" w:cs="Times New Roman"/>
          <w:sz w:val="30"/>
          <w:szCs w:val="30"/>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E1F536-8D79-4DB4-99A1-11737EDDE4E2}"/>
  </w:font>
  <w:font w:name="Arial">
    <w:panose1 w:val="020B0604020202020204"/>
    <w:charset w:val="01"/>
    <w:family w:val="swiss"/>
    <w:pitch w:val="default"/>
    <w:sig w:usb0="E0002EFF" w:usb1="C000785B" w:usb2="00000009" w:usb3="00000000" w:csb0="400001FF" w:csb1="FFFF0000"/>
    <w:embedRegular r:id="rId2" w:fontKey="{D2CA786A-F275-466F-B340-2AD60D59B6A1}"/>
  </w:font>
  <w:font w:name="黑体">
    <w:panose1 w:val="02010609060101010101"/>
    <w:charset w:val="86"/>
    <w:family w:val="auto"/>
    <w:pitch w:val="default"/>
    <w:sig w:usb0="800002BF" w:usb1="38CF7CFA" w:usb2="00000016" w:usb3="00000000" w:csb0="00040001" w:csb1="00000000"/>
    <w:embedRegular r:id="rId3" w:fontKey="{2ECECB72-BACF-4FAF-9F23-C01A189ED997}"/>
  </w:font>
  <w:font w:name="Courier New">
    <w:panose1 w:val="02070309020205020404"/>
    <w:charset w:val="01"/>
    <w:family w:val="modern"/>
    <w:pitch w:val="default"/>
    <w:sig w:usb0="E0002EFF" w:usb1="C0007843" w:usb2="00000009" w:usb3="00000000" w:csb0="400001FF" w:csb1="FFFF0000"/>
    <w:embedRegular r:id="rId4" w:fontKey="{1AA9AF10-DF1D-4F87-A491-4373D6A21381}"/>
  </w:font>
  <w:font w:name="Symbol">
    <w:panose1 w:val="05050102010706020507"/>
    <w:charset w:val="02"/>
    <w:family w:val="roman"/>
    <w:pitch w:val="default"/>
    <w:sig w:usb0="00000000" w:usb1="00000000" w:usb2="00000000" w:usb3="00000000" w:csb0="80000000" w:csb1="00000000"/>
    <w:embedRegular r:id="rId5" w:fontKey="{BEFABE90-0DE0-43A3-B8EB-E8F9ACA3A706}"/>
  </w:font>
  <w:font w:name="Calibri">
    <w:panose1 w:val="020F0502020204030204"/>
    <w:charset w:val="00"/>
    <w:family w:val="swiss"/>
    <w:pitch w:val="default"/>
    <w:sig w:usb0="E4002EFF" w:usb1="C000247B" w:usb2="00000009" w:usb3="00000000" w:csb0="200001FF" w:csb1="00000000"/>
    <w:embedRegular r:id="rId6" w:fontKey="{BD1C86EB-1747-43FA-A813-188CFA70F816}"/>
  </w:font>
  <w:font w:name="等线">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80ADD010-9C6B-4F50-AF4C-B9207A34185F}"/>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BDDFB79F-B4F0-476B-B647-9F6CA019B0C6}"/>
  </w:font>
  <w:font w:name="仿宋">
    <w:panose1 w:val="02010609060101010101"/>
    <w:charset w:val="86"/>
    <w:family w:val="modern"/>
    <w:pitch w:val="default"/>
    <w:sig w:usb0="800002BF" w:usb1="38CF7CFA" w:usb2="00000016" w:usb3="00000000" w:csb0="00040001" w:csb1="00000000"/>
    <w:embedRegular r:id="rId9" w:fontKey="{C22CC020-0B63-4CB6-B80B-4A27BFE614DE}"/>
  </w:font>
  <w:font w:name="仿宋_GB2312">
    <w:panose1 w:val="02010609030101010101"/>
    <w:charset w:val="86"/>
    <w:family w:val="modern"/>
    <w:pitch w:val="default"/>
    <w:sig w:usb0="00000001" w:usb1="080E0000" w:usb2="00000000" w:usb3="00000000" w:csb0="00040000" w:csb1="00000000"/>
    <w:embedRegular r:id="rId10" w:fontKey="{77385678-5289-4101-A2F7-B98998813CD5}"/>
  </w:font>
  <w:font w:name="楷体">
    <w:panose1 w:val="02010609060101010101"/>
    <w:charset w:val="86"/>
    <w:family w:val="modern"/>
    <w:pitch w:val="default"/>
    <w:sig w:usb0="800002BF" w:usb1="38CF7CFA" w:usb2="00000016" w:usb3="00000000" w:csb0="00040001" w:csb1="00000000"/>
    <w:embedRegular r:id="rId11" w:fontKey="{720791D8-325C-4680-879D-4820DC765E42}"/>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D16A">
    <w:pPr>
      <w:pStyle w:val="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133A">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69A133A">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1802A41B">
    <w:pPr>
      <w:pStyle w:val="4"/>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1"/>
    <w:multiLevelType w:val="multilevel"/>
    <w:tmpl w:val="00000011"/>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2"/>
      <w:suff w:val="nothing"/>
      <w:lvlText w:val="（%4）"/>
      <w:lvlJc w:val="left"/>
      <w:pPr>
        <w:ind w:left="-119"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zYjQwZGM0NmI3MTNlZDNhNWYxMTgzOGVlYjM1OGYifQ=="/>
  </w:docVars>
  <w:rsids>
    <w:rsidRoot w:val="00E63EBD"/>
    <w:rsid w:val="00003528"/>
    <w:rsid w:val="00004A2B"/>
    <w:rsid w:val="00011911"/>
    <w:rsid w:val="00013A82"/>
    <w:rsid w:val="00014714"/>
    <w:rsid w:val="00014718"/>
    <w:rsid w:val="0001725D"/>
    <w:rsid w:val="000235CB"/>
    <w:rsid w:val="00025743"/>
    <w:rsid w:val="000313D0"/>
    <w:rsid w:val="00035ED5"/>
    <w:rsid w:val="0004086C"/>
    <w:rsid w:val="0006758B"/>
    <w:rsid w:val="000839AC"/>
    <w:rsid w:val="00087945"/>
    <w:rsid w:val="00095325"/>
    <w:rsid w:val="0009593A"/>
    <w:rsid w:val="00097213"/>
    <w:rsid w:val="00097B81"/>
    <w:rsid w:val="00097C3D"/>
    <w:rsid w:val="000A0343"/>
    <w:rsid w:val="000A108D"/>
    <w:rsid w:val="000A2E8A"/>
    <w:rsid w:val="000A42ED"/>
    <w:rsid w:val="000A56A9"/>
    <w:rsid w:val="000A7A40"/>
    <w:rsid w:val="000B01D6"/>
    <w:rsid w:val="000B22A8"/>
    <w:rsid w:val="000B7881"/>
    <w:rsid w:val="000C3969"/>
    <w:rsid w:val="000C5664"/>
    <w:rsid w:val="000C703E"/>
    <w:rsid w:val="000D081D"/>
    <w:rsid w:val="000D16FA"/>
    <w:rsid w:val="000D71B8"/>
    <w:rsid w:val="000E4DF0"/>
    <w:rsid w:val="000E76A6"/>
    <w:rsid w:val="00102A39"/>
    <w:rsid w:val="00103F9F"/>
    <w:rsid w:val="001052B9"/>
    <w:rsid w:val="00107DE6"/>
    <w:rsid w:val="001277EF"/>
    <w:rsid w:val="001279EF"/>
    <w:rsid w:val="00136A1C"/>
    <w:rsid w:val="00140087"/>
    <w:rsid w:val="0014209B"/>
    <w:rsid w:val="001445CB"/>
    <w:rsid w:val="001467F2"/>
    <w:rsid w:val="001512EB"/>
    <w:rsid w:val="00152C60"/>
    <w:rsid w:val="0015525B"/>
    <w:rsid w:val="001621E1"/>
    <w:rsid w:val="00165487"/>
    <w:rsid w:val="0017005E"/>
    <w:rsid w:val="001745EB"/>
    <w:rsid w:val="00182D61"/>
    <w:rsid w:val="001837FC"/>
    <w:rsid w:val="00183A56"/>
    <w:rsid w:val="0018477D"/>
    <w:rsid w:val="001924B3"/>
    <w:rsid w:val="00192B54"/>
    <w:rsid w:val="001A6D6B"/>
    <w:rsid w:val="001A7F0E"/>
    <w:rsid w:val="001B111F"/>
    <w:rsid w:val="001B2054"/>
    <w:rsid w:val="001B7F59"/>
    <w:rsid w:val="001C296B"/>
    <w:rsid w:val="001C3EDB"/>
    <w:rsid w:val="001D43B0"/>
    <w:rsid w:val="001E5EDC"/>
    <w:rsid w:val="001F0EC0"/>
    <w:rsid w:val="001F38A2"/>
    <w:rsid w:val="00200633"/>
    <w:rsid w:val="00210443"/>
    <w:rsid w:val="002125C6"/>
    <w:rsid w:val="002201FB"/>
    <w:rsid w:val="0022111E"/>
    <w:rsid w:val="00224F9B"/>
    <w:rsid w:val="00232842"/>
    <w:rsid w:val="00237858"/>
    <w:rsid w:val="00240992"/>
    <w:rsid w:val="00243917"/>
    <w:rsid w:val="00247B05"/>
    <w:rsid w:val="00251C96"/>
    <w:rsid w:val="00252F92"/>
    <w:rsid w:val="00253B42"/>
    <w:rsid w:val="00254405"/>
    <w:rsid w:val="00254A2D"/>
    <w:rsid w:val="00270E07"/>
    <w:rsid w:val="00282331"/>
    <w:rsid w:val="002A31E1"/>
    <w:rsid w:val="002A39D3"/>
    <w:rsid w:val="002A4FB2"/>
    <w:rsid w:val="002B5DA8"/>
    <w:rsid w:val="002B6687"/>
    <w:rsid w:val="002C4504"/>
    <w:rsid w:val="002E1809"/>
    <w:rsid w:val="002E2FFE"/>
    <w:rsid w:val="002E3152"/>
    <w:rsid w:val="002E5A1F"/>
    <w:rsid w:val="002F1FC7"/>
    <w:rsid w:val="002F3561"/>
    <w:rsid w:val="00305D69"/>
    <w:rsid w:val="003107BD"/>
    <w:rsid w:val="003128EA"/>
    <w:rsid w:val="00314C91"/>
    <w:rsid w:val="00320F58"/>
    <w:rsid w:val="003236D2"/>
    <w:rsid w:val="00325D15"/>
    <w:rsid w:val="003318D5"/>
    <w:rsid w:val="00340C2A"/>
    <w:rsid w:val="003544D1"/>
    <w:rsid w:val="00356777"/>
    <w:rsid w:val="0036283B"/>
    <w:rsid w:val="003700D4"/>
    <w:rsid w:val="00370D5B"/>
    <w:rsid w:val="0038374C"/>
    <w:rsid w:val="00397EA9"/>
    <w:rsid w:val="003A6EA1"/>
    <w:rsid w:val="003B5E2E"/>
    <w:rsid w:val="003C0ACD"/>
    <w:rsid w:val="003D2751"/>
    <w:rsid w:val="003D6EEA"/>
    <w:rsid w:val="003E1755"/>
    <w:rsid w:val="003E4E18"/>
    <w:rsid w:val="003F384A"/>
    <w:rsid w:val="003F3C17"/>
    <w:rsid w:val="00411019"/>
    <w:rsid w:val="00416134"/>
    <w:rsid w:val="0041773A"/>
    <w:rsid w:val="004272BB"/>
    <w:rsid w:val="00444A28"/>
    <w:rsid w:val="00452542"/>
    <w:rsid w:val="00453C55"/>
    <w:rsid w:val="0045422F"/>
    <w:rsid w:val="00456825"/>
    <w:rsid w:val="00467AD1"/>
    <w:rsid w:val="004709F1"/>
    <w:rsid w:val="00474FDD"/>
    <w:rsid w:val="0047586A"/>
    <w:rsid w:val="00481DE5"/>
    <w:rsid w:val="00483CC7"/>
    <w:rsid w:val="00484056"/>
    <w:rsid w:val="00484435"/>
    <w:rsid w:val="00491F32"/>
    <w:rsid w:val="0049551D"/>
    <w:rsid w:val="00496FED"/>
    <w:rsid w:val="00497CFE"/>
    <w:rsid w:val="004A20D2"/>
    <w:rsid w:val="004B05C8"/>
    <w:rsid w:val="004C048A"/>
    <w:rsid w:val="004C129E"/>
    <w:rsid w:val="004C2D9E"/>
    <w:rsid w:val="004C4149"/>
    <w:rsid w:val="004C6F5B"/>
    <w:rsid w:val="004D12AC"/>
    <w:rsid w:val="004D6ED3"/>
    <w:rsid w:val="004D76ED"/>
    <w:rsid w:val="004E3F61"/>
    <w:rsid w:val="004E4574"/>
    <w:rsid w:val="004E6A97"/>
    <w:rsid w:val="004F2E36"/>
    <w:rsid w:val="004F45B9"/>
    <w:rsid w:val="0050047B"/>
    <w:rsid w:val="00500577"/>
    <w:rsid w:val="00502D4A"/>
    <w:rsid w:val="005042D8"/>
    <w:rsid w:val="005152CF"/>
    <w:rsid w:val="00522BA1"/>
    <w:rsid w:val="00524285"/>
    <w:rsid w:val="005439A4"/>
    <w:rsid w:val="005465D6"/>
    <w:rsid w:val="005532B0"/>
    <w:rsid w:val="00557FB3"/>
    <w:rsid w:val="00567236"/>
    <w:rsid w:val="005679DA"/>
    <w:rsid w:val="00573115"/>
    <w:rsid w:val="00573C63"/>
    <w:rsid w:val="00575B65"/>
    <w:rsid w:val="005769CF"/>
    <w:rsid w:val="00583D89"/>
    <w:rsid w:val="005847B7"/>
    <w:rsid w:val="00590936"/>
    <w:rsid w:val="00591A8C"/>
    <w:rsid w:val="00593697"/>
    <w:rsid w:val="00593978"/>
    <w:rsid w:val="005A21EE"/>
    <w:rsid w:val="005A3BE5"/>
    <w:rsid w:val="005A4B8C"/>
    <w:rsid w:val="005A4CDB"/>
    <w:rsid w:val="005A6FE0"/>
    <w:rsid w:val="005B15FF"/>
    <w:rsid w:val="005B67CE"/>
    <w:rsid w:val="005B69B1"/>
    <w:rsid w:val="005C20E1"/>
    <w:rsid w:val="005C23E3"/>
    <w:rsid w:val="005C506A"/>
    <w:rsid w:val="005D6B83"/>
    <w:rsid w:val="005E0542"/>
    <w:rsid w:val="005E2874"/>
    <w:rsid w:val="005F2CAD"/>
    <w:rsid w:val="00600FB3"/>
    <w:rsid w:val="00601C50"/>
    <w:rsid w:val="0060210D"/>
    <w:rsid w:val="00623B8E"/>
    <w:rsid w:val="00625107"/>
    <w:rsid w:val="00630D0C"/>
    <w:rsid w:val="0064137D"/>
    <w:rsid w:val="00646D12"/>
    <w:rsid w:val="00647ACD"/>
    <w:rsid w:val="006507CA"/>
    <w:rsid w:val="00653241"/>
    <w:rsid w:val="00656E26"/>
    <w:rsid w:val="00661689"/>
    <w:rsid w:val="0066342A"/>
    <w:rsid w:val="0066514D"/>
    <w:rsid w:val="006751EC"/>
    <w:rsid w:val="0068415C"/>
    <w:rsid w:val="00687920"/>
    <w:rsid w:val="00695F43"/>
    <w:rsid w:val="00695F51"/>
    <w:rsid w:val="006B09A4"/>
    <w:rsid w:val="006B5316"/>
    <w:rsid w:val="006C3D98"/>
    <w:rsid w:val="006C445E"/>
    <w:rsid w:val="006D0E99"/>
    <w:rsid w:val="006D19FD"/>
    <w:rsid w:val="006D1AA7"/>
    <w:rsid w:val="006E310D"/>
    <w:rsid w:val="006E655A"/>
    <w:rsid w:val="006F0CA7"/>
    <w:rsid w:val="006F1C1A"/>
    <w:rsid w:val="007154C5"/>
    <w:rsid w:val="007208EF"/>
    <w:rsid w:val="007269A7"/>
    <w:rsid w:val="007273B8"/>
    <w:rsid w:val="00727AC2"/>
    <w:rsid w:val="00730AA2"/>
    <w:rsid w:val="00742A19"/>
    <w:rsid w:val="007447E3"/>
    <w:rsid w:val="00744A7A"/>
    <w:rsid w:val="0075691B"/>
    <w:rsid w:val="00762E6C"/>
    <w:rsid w:val="00764A47"/>
    <w:rsid w:val="00771C9F"/>
    <w:rsid w:val="00784AF7"/>
    <w:rsid w:val="00790FC7"/>
    <w:rsid w:val="007A4F73"/>
    <w:rsid w:val="007A7914"/>
    <w:rsid w:val="007B089F"/>
    <w:rsid w:val="007C6913"/>
    <w:rsid w:val="007C6F0B"/>
    <w:rsid w:val="007D0213"/>
    <w:rsid w:val="007D3780"/>
    <w:rsid w:val="007E209B"/>
    <w:rsid w:val="007F15B8"/>
    <w:rsid w:val="007F1DE7"/>
    <w:rsid w:val="007F62DB"/>
    <w:rsid w:val="00802FAC"/>
    <w:rsid w:val="00803046"/>
    <w:rsid w:val="008055D6"/>
    <w:rsid w:val="00812FF8"/>
    <w:rsid w:val="0082211B"/>
    <w:rsid w:val="0082583D"/>
    <w:rsid w:val="008312FD"/>
    <w:rsid w:val="008478D3"/>
    <w:rsid w:val="00847BE8"/>
    <w:rsid w:val="00851742"/>
    <w:rsid w:val="008567B2"/>
    <w:rsid w:val="00860A29"/>
    <w:rsid w:val="00860DB8"/>
    <w:rsid w:val="00866D43"/>
    <w:rsid w:val="00877154"/>
    <w:rsid w:val="008779AB"/>
    <w:rsid w:val="008834CF"/>
    <w:rsid w:val="00890688"/>
    <w:rsid w:val="00892612"/>
    <w:rsid w:val="008979BE"/>
    <w:rsid w:val="008C0BFF"/>
    <w:rsid w:val="008C38C8"/>
    <w:rsid w:val="008D0108"/>
    <w:rsid w:val="008E3837"/>
    <w:rsid w:val="0090185E"/>
    <w:rsid w:val="00906755"/>
    <w:rsid w:val="00910F39"/>
    <w:rsid w:val="00910F9B"/>
    <w:rsid w:val="009136B1"/>
    <w:rsid w:val="009200DD"/>
    <w:rsid w:val="0093050F"/>
    <w:rsid w:val="00935974"/>
    <w:rsid w:val="00940EBC"/>
    <w:rsid w:val="00946541"/>
    <w:rsid w:val="00947E8B"/>
    <w:rsid w:val="009539DF"/>
    <w:rsid w:val="00955C8C"/>
    <w:rsid w:val="0095702E"/>
    <w:rsid w:val="009576CE"/>
    <w:rsid w:val="00960133"/>
    <w:rsid w:val="00964654"/>
    <w:rsid w:val="009654AE"/>
    <w:rsid w:val="00965EAE"/>
    <w:rsid w:val="00970E0E"/>
    <w:rsid w:val="00971954"/>
    <w:rsid w:val="00972D82"/>
    <w:rsid w:val="00992539"/>
    <w:rsid w:val="0099763C"/>
    <w:rsid w:val="009A0FFC"/>
    <w:rsid w:val="009A229E"/>
    <w:rsid w:val="009A551E"/>
    <w:rsid w:val="009A7DB7"/>
    <w:rsid w:val="009B15E7"/>
    <w:rsid w:val="009B4A26"/>
    <w:rsid w:val="009C149D"/>
    <w:rsid w:val="009E5A93"/>
    <w:rsid w:val="009E7129"/>
    <w:rsid w:val="009F0376"/>
    <w:rsid w:val="009F25B5"/>
    <w:rsid w:val="009F4AFF"/>
    <w:rsid w:val="009F75B9"/>
    <w:rsid w:val="00A01436"/>
    <w:rsid w:val="00A03A7D"/>
    <w:rsid w:val="00A0686E"/>
    <w:rsid w:val="00A07BF5"/>
    <w:rsid w:val="00A10878"/>
    <w:rsid w:val="00A11C21"/>
    <w:rsid w:val="00A13F3F"/>
    <w:rsid w:val="00A1525A"/>
    <w:rsid w:val="00A32504"/>
    <w:rsid w:val="00A34272"/>
    <w:rsid w:val="00A35CAC"/>
    <w:rsid w:val="00A8564F"/>
    <w:rsid w:val="00AA730D"/>
    <w:rsid w:val="00AA7F61"/>
    <w:rsid w:val="00AB3B90"/>
    <w:rsid w:val="00AB78CE"/>
    <w:rsid w:val="00AC036E"/>
    <w:rsid w:val="00AC726B"/>
    <w:rsid w:val="00AD05A8"/>
    <w:rsid w:val="00AE1612"/>
    <w:rsid w:val="00AE4D81"/>
    <w:rsid w:val="00B15604"/>
    <w:rsid w:val="00B170B9"/>
    <w:rsid w:val="00B23D9C"/>
    <w:rsid w:val="00B315F6"/>
    <w:rsid w:val="00B50019"/>
    <w:rsid w:val="00B5079D"/>
    <w:rsid w:val="00B51E93"/>
    <w:rsid w:val="00B7231B"/>
    <w:rsid w:val="00B72795"/>
    <w:rsid w:val="00B738EC"/>
    <w:rsid w:val="00B76B88"/>
    <w:rsid w:val="00B77308"/>
    <w:rsid w:val="00B80585"/>
    <w:rsid w:val="00B858B1"/>
    <w:rsid w:val="00B85959"/>
    <w:rsid w:val="00B864EE"/>
    <w:rsid w:val="00B86D2B"/>
    <w:rsid w:val="00B86FD2"/>
    <w:rsid w:val="00B9223B"/>
    <w:rsid w:val="00B923DD"/>
    <w:rsid w:val="00B92B62"/>
    <w:rsid w:val="00B93BBC"/>
    <w:rsid w:val="00BA5C5B"/>
    <w:rsid w:val="00BC3879"/>
    <w:rsid w:val="00BC7B65"/>
    <w:rsid w:val="00BD22FA"/>
    <w:rsid w:val="00BD2F93"/>
    <w:rsid w:val="00BD4087"/>
    <w:rsid w:val="00BD736C"/>
    <w:rsid w:val="00BE4DEF"/>
    <w:rsid w:val="00BE66EA"/>
    <w:rsid w:val="00BF56BA"/>
    <w:rsid w:val="00C043D9"/>
    <w:rsid w:val="00C0529E"/>
    <w:rsid w:val="00C1404F"/>
    <w:rsid w:val="00C21424"/>
    <w:rsid w:val="00C243DA"/>
    <w:rsid w:val="00C4524A"/>
    <w:rsid w:val="00C51B0C"/>
    <w:rsid w:val="00C54FDD"/>
    <w:rsid w:val="00C5587A"/>
    <w:rsid w:val="00C63783"/>
    <w:rsid w:val="00C64252"/>
    <w:rsid w:val="00C64D15"/>
    <w:rsid w:val="00C74875"/>
    <w:rsid w:val="00C9427E"/>
    <w:rsid w:val="00C95417"/>
    <w:rsid w:val="00C977EE"/>
    <w:rsid w:val="00C979CC"/>
    <w:rsid w:val="00CA072F"/>
    <w:rsid w:val="00CA7256"/>
    <w:rsid w:val="00CA7341"/>
    <w:rsid w:val="00CB1E2E"/>
    <w:rsid w:val="00CB69BE"/>
    <w:rsid w:val="00CB75C3"/>
    <w:rsid w:val="00CC2D7B"/>
    <w:rsid w:val="00CD7C8A"/>
    <w:rsid w:val="00CE62CF"/>
    <w:rsid w:val="00CF547A"/>
    <w:rsid w:val="00CF65DC"/>
    <w:rsid w:val="00D02AD7"/>
    <w:rsid w:val="00D034C1"/>
    <w:rsid w:val="00D076FA"/>
    <w:rsid w:val="00D23044"/>
    <w:rsid w:val="00D3605D"/>
    <w:rsid w:val="00D3693A"/>
    <w:rsid w:val="00D51782"/>
    <w:rsid w:val="00D520ED"/>
    <w:rsid w:val="00D534F5"/>
    <w:rsid w:val="00D543CA"/>
    <w:rsid w:val="00D61F7B"/>
    <w:rsid w:val="00D6328F"/>
    <w:rsid w:val="00D644EA"/>
    <w:rsid w:val="00D75CDB"/>
    <w:rsid w:val="00D8124E"/>
    <w:rsid w:val="00D9344F"/>
    <w:rsid w:val="00D94F94"/>
    <w:rsid w:val="00D96612"/>
    <w:rsid w:val="00D97351"/>
    <w:rsid w:val="00D9764D"/>
    <w:rsid w:val="00DA4652"/>
    <w:rsid w:val="00DA5EE6"/>
    <w:rsid w:val="00DB0394"/>
    <w:rsid w:val="00DB091E"/>
    <w:rsid w:val="00DB1B5B"/>
    <w:rsid w:val="00DB1DD9"/>
    <w:rsid w:val="00DB36D5"/>
    <w:rsid w:val="00DB6AE7"/>
    <w:rsid w:val="00DC0068"/>
    <w:rsid w:val="00DC0EE3"/>
    <w:rsid w:val="00DC76A2"/>
    <w:rsid w:val="00DD0C26"/>
    <w:rsid w:val="00DD3DA8"/>
    <w:rsid w:val="00DD690D"/>
    <w:rsid w:val="00DE180D"/>
    <w:rsid w:val="00DE65F8"/>
    <w:rsid w:val="00DF02BB"/>
    <w:rsid w:val="00DF274F"/>
    <w:rsid w:val="00DF460A"/>
    <w:rsid w:val="00DF6D88"/>
    <w:rsid w:val="00E01802"/>
    <w:rsid w:val="00E03F29"/>
    <w:rsid w:val="00E05ADB"/>
    <w:rsid w:val="00E116EE"/>
    <w:rsid w:val="00E1659D"/>
    <w:rsid w:val="00E16A3B"/>
    <w:rsid w:val="00E23B15"/>
    <w:rsid w:val="00E31EB5"/>
    <w:rsid w:val="00E34FE1"/>
    <w:rsid w:val="00E370BB"/>
    <w:rsid w:val="00E404A4"/>
    <w:rsid w:val="00E40551"/>
    <w:rsid w:val="00E425EC"/>
    <w:rsid w:val="00E53225"/>
    <w:rsid w:val="00E5498A"/>
    <w:rsid w:val="00E56952"/>
    <w:rsid w:val="00E60564"/>
    <w:rsid w:val="00E61D0B"/>
    <w:rsid w:val="00E63565"/>
    <w:rsid w:val="00E63EBD"/>
    <w:rsid w:val="00E70A8A"/>
    <w:rsid w:val="00E725E2"/>
    <w:rsid w:val="00E97AEC"/>
    <w:rsid w:val="00EA4CB2"/>
    <w:rsid w:val="00EA6295"/>
    <w:rsid w:val="00EA68BA"/>
    <w:rsid w:val="00EC66FE"/>
    <w:rsid w:val="00ED3F10"/>
    <w:rsid w:val="00ED5C99"/>
    <w:rsid w:val="00EE1C29"/>
    <w:rsid w:val="00EE20C1"/>
    <w:rsid w:val="00EE5B92"/>
    <w:rsid w:val="00EE723E"/>
    <w:rsid w:val="00EE7CF4"/>
    <w:rsid w:val="00EF0FEE"/>
    <w:rsid w:val="00EF276D"/>
    <w:rsid w:val="00EF49A6"/>
    <w:rsid w:val="00EF6E65"/>
    <w:rsid w:val="00F10E6C"/>
    <w:rsid w:val="00F13863"/>
    <w:rsid w:val="00F15FE6"/>
    <w:rsid w:val="00F20FA4"/>
    <w:rsid w:val="00F34B1B"/>
    <w:rsid w:val="00F36EC3"/>
    <w:rsid w:val="00F524C6"/>
    <w:rsid w:val="00F531D5"/>
    <w:rsid w:val="00F54DBF"/>
    <w:rsid w:val="00F55E76"/>
    <w:rsid w:val="00F71F2D"/>
    <w:rsid w:val="00F7306B"/>
    <w:rsid w:val="00F82727"/>
    <w:rsid w:val="00F83A1B"/>
    <w:rsid w:val="00F8471D"/>
    <w:rsid w:val="00F8519D"/>
    <w:rsid w:val="00F93D9A"/>
    <w:rsid w:val="00F94C64"/>
    <w:rsid w:val="00FA2C15"/>
    <w:rsid w:val="00FA44DC"/>
    <w:rsid w:val="00FA6DDF"/>
    <w:rsid w:val="00FA7257"/>
    <w:rsid w:val="00FB0159"/>
    <w:rsid w:val="00FB0873"/>
    <w:rsid w:val="00FB218E"/>
    <w:rsid w:val="00FB2D04"/>
    <w:rsid w:val="00FC5848"/>
    <w:rsid w:val="00FD0093"/>
    <w:rsid w:val="00FD1CC8"/>
    <w:rsid w:val="00FE00A3"/>
    <w:rsid w:val="00FE1AE6"/>
    <w:rsid w:val="00FE79C9"/>
    <w:rsid w:val="00FF03B0"/>
    <w:rsid w:val="00FF20F6"/>
    <w:rsid w:val="00FF770F"/>
    <w:rsid w:val="03CD2E9A"/>
    <w:rsid w:val="09934965"/>
    <w:rsid w:val="0C184068"/>
    <w:rsid w:val="0D30285E"/>
    <w:rsid w:val="0D412DBD"/>
    <w:rsid w:val="0F8251D2"/>
    <w:rsid w:val="11CA69A3"/>
    <w:rsid w:val="14491C7D"/>
    <w:rsid w:val="15E4750C"/>
    <w:rsid w:val="162F10C3"/>
    <w:rsid w:val="1B5F4EDB"/>
    <w:rsid w:val="24790F6A"/>
    <w:rsid w:val="25235923"/>
    <w:rsid w:val="2570508D"/>
    <w:rsid w:val="2E027309"/>
    <w:rsid w:val="2FA71A7E"/>
    <w:rsid w:val="317C1AF5"/>
    <w:rsid w:val="33CC0E09"/>
    <w:rsid w:val="35365EEE"/>
    <w:rsid w:val="383733B0"/>
    <w:rsid w:val="392A3735"/>
    <w:rsid w:val="3D395A26"/>
    <w:rsid w:val="3E8A55FB"/>
    <w:rsid w:val="3F2B35B9"/>
    <w:rsid w:val="405E2391"/>
    <w:rsid w:val="47CE251C"/>
    <w:rsid w:val="48AE4E8E"/>
    <w:rsid w:val="49DF1F4D"/>
    <w:rsid w:val="4A1057B1"/>
    <w:rsid w:val="4A4A6265"/>
    <w:rsid w:val="4DC22F25"/>
    <w:rsid w:val="5C1F4C32"/>
    <w:rsid w:val="5E4006FC"/>
    <w:rsid w:val="629F7099"/>
    <w:rsid w:val="65470FD3"/>
    <w:rsid w:val="65B67573"/>
    <w:rsid w:val="662D68D7"/>
    <w:rsid w:val="678A69C2"/>
    <w:rsid w:val="69381A94"/>
    <w:rsid w:val="69CF3ED2"/>
    <w:rsid w:val="7A1C243C"/>
    <w:rsid w:val="7D28271C"/>
    <w:rsid w:val="7DFB7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qFormat/>
    <w:uiPriority w:val="0"/>
    <w:pPr>
      <w:keepNext/>
      <w:keepLines/>
      <w:numPr>
        <w:ilvl w:val="3"/>
        <w:numId w:val="1"/>
      </w:numPr>
      <w:spacing w:before="280" w:after="290" w:line="372" w:lineRule="auto"/>
      <w:outlineLvl w:val="3"/>
    </w:pPr>
    <w:rPr>
      <w:rFonts w:ascii="Calibri" w:hAnsi="Calibri" w:eastAsia="等线 Light"/>
      <w:b/>
      <w:sz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8"/>
    <w:link w:val="3"/>
    <w:semiHidden/>
    <w:qFormat/>
    <w:uiPriority w:val="99"/>
    <w:rPr>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BAD89-D892-449B-A0F0-616819794820}">
  <ds:schemaRefs/>
</ds:datastoreItem>
</file>

<file path=docProps/app.xml><?xml version="1.0" encoding="utf-8"?>
<Properties xmlns="http://schemas.openxmlformats.org/officeDocument/2006/extended-properties" xmlns:vt="http://schemas.openxmlformats.org/officeDocument/2006/docPropsVTypes">
  <Template>Normal</Template>
  <Pages>16</Pages>
  <Words>1509</Words>
  <Characters>1525</Characters>
  <Lines>44</Lines>
  <Paragraphs>12</Paragraphs>
  <TotalTime>6</TotalTime>
  <ScaleCrop>false</ScaleCrop>
  <LinksUpToDate>false</LinksUpToDate>
  <CharactersWithSpaces>1525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2020-08-04T00:47:00Z</dcterms:created>
  <dc:creator>lenovo</dc:creator>
  <cp:lastModifiedBy>左笑笑</cp:lastModifiedBy>
  <cp:lastPrinted>2024-11-15T03:01:00Z</cp:lastPrinted>
  <dcterms:modified xsi:type="dcterms:W3CDTF">2026-01-13T10:50:18Z</dcterms:modified>
  <cp:revision>299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350A3EFB143B4EA9971489B5BB15A93D_12</vt:lpwstr>
  </property>
  <property fmtid="{D5CDD505-2E9C-101B-9397-08002B2CF9AE}" pid="4" name="KSOTemplateDocerSaveRecord">
    <vt:lpwstr>eyJoZGlkIjoiZGYxN2QyMjVmMDM1MzI0NDRmODQ1MTliODhiODhhZjYiLCJ1c2VySWQiOiIyNzM0MTg4MzgifQ==</vt:lpwstr>
  </property>
</Properties>
</file>