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74053">
      <w:pPr>
        <w:spacing w:line="600" w:lineRule="exact"/>
        <w:jc w:val="left"/>
        <w:outlineLvl w:val="0"/>
        <w:rPr>
          <w:rFonts w:ascii="黑体" w:hAnsi="黑体" w:eastAsia="黑体" w:cs="黑体"/>
          <w:color w:val="000000"/>
          <w:sz w:val="28"/>
          <w:szCs w:val="28"/>
          <w:shd w:val="clear" w:color="auto" w:fill="FFFFFF"/>
        </w:rPr>
      </w:pPr>
      <w:bookmarkStart w:id="0" w:name="_Hlk146186537"/>
      <w:r>
        <w:rPr>
          <w:rFonts w:hint="eastAsia" w:ascii="黑体" w:hAnsi="黑体" w:eastAsia="黑体" w:cs="黑体"/>
          <w:color w:val="000000"/>
          <w:sz w:val="28"/>
          <w:szCs w:val="28"/>
          <w:shd w:val="clear" w:color="auto" w:fill="FFFFFF"/>
        </w:rPr>
        <w:t>附件1：</w:t>
      </w:r>
    </w:p>
    <w:p w14:paraId="474EA0B5">
      <w:pPr>
        <w:snapToGrid w:val="0"/>
        <w:spacing w:line="400" w:lineRule="exact"/>
        <w:rPr>
          <w:rFonts w:ascii="CESI黑体-GB2312" w:hAnsi="CESI黑体-GB2312" w:eastAsia="CESI黑体-GB2312" w:cs="CESI黑体-GB2312"/>
          <w:color w:val="000000"/>
          <w:kern w:val="0"/>
          <w:sz w:val="32"/>
          <w:szCs w:val="32"/>
          <w:shd w:val="clear" w:color="auto" w:fill="FFFFFF"/>
        </w:rPr>
      </w:pPr>
    </w:p>
    <w:bookmarkEnd w:id="0"/>
    <w:p w14:paraId="0CEEF4F0">
      <w:pPr>
        <w:snapToGrid w:val="0"/>
        <w:spacing w:line="600" w:lineRule="exact"/>
        <w:jc w:val="center"/>
        <w:rPr>
          <w:rFonts w:ascii="方正小标宋简体" w:hAnsi="仿宋_GB2312" w:eastAsia="方正小标宋简体" w:cs="仿宋_GB2312"/>
          <w:color w:val="000000"/>
          <w:kern w:val="0"/>
          <w:sz w:val="44"/>
          <w:szCs w:val="44"/>
          <w:shd w:val="clear" w:color="auto" w:fill="FFFFFF"/>
        </w:rPr>
      </w:pPr>
      <w:r>
        <w:rPr>
          <w:rFonts w:hint="eastAsia" w:ascii="方正小标宋简体" w:hAnsi="方正小标宋简体" w:eastAsia="方正小标宋简体" w:cs="方正小标宋简体"/>
          <w:color w:val="000000"/>
          <w:sz w:val="44"/>
          <w:szCs w:val="44"/>
        </w:rPr>
        <w:t>运城市科技创新股权投资基金</w:t>
      </w:r>
      <w:r>
        <w:rPr>
          <w:rFonts w:hint="eastAsia" w:ascii="方正小标宋简体" w:hAnsi="仿宋_GB2312" w:eastAsia="方正小标宋简体" w:cs="仿宋_GB2312"/>
          <w:color w:val="000000"/>
          <w:kern w:val="0"/>
          <w:sz w:val="44"/>
          <w:szCs w:val="44"/>
          <w:shd w:val="clear" w:color="auto" w:fill="FFFFFF"/>
        </w:rPr>
        <w:t>管理机构</w:t>
      </w:r>
    </w:p>
    <w:p w14:paraId="4F9AEFFE">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仿宋_GB2312" w:eastAsia="方正小标宋简体" w:cs="仿宋_GB2312"/>
          <w:color w:val="000000"/>
          <w:kern w:val="0"/>
          <w:sz w:val="44"/>
          <w:szCs w:val="44"/>
          <w:shd w:val="clear" w:color="auto" w:fill="FFFFFF"/>
        </w:rPr>
        <w:t>遴选申报指南</w:t>
      </w:r>
    </w:p>
    <w:p w14:paraId="3B3D5913">
      <w:pPr>
        <w:snapToGrid w:val="0"/>
        <w:spacing w:line="600" w:lineRule="exact"/>
        <w:rPr>
          <w:rFonts w:ascii="仿宋_GB2312" w:hAnsi="仿宋_GB2312" w:eastAsia="仿宋_GB2312" w:cs="仿宋_GB2312"/>
          <w:color w:val="000000"/>
          <w:sz w:val="32"/>
          <w:szCs w:val="32"/>
          <w:shd w:val="clear" w:color="auto" w:fill="FFFFFF"/>
        </w:rPr>
      </w:pPr>
    </w:p>
    <w:p w14:paraId="635519A9">
      <w:pPr>
        <w:snapToGrid w:val="0"/>
        <w:spacing w:line="60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一、申报机构的条件</w:t>
      </w:r>
    </w:p>
    <w:p w14:paraId="76707BBE">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（一）基本要求</w:t>
      </w:r>
    </w:p>
    <w:p w14:paraId="486E022F">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1.在中国大陆注册，</w:t>
      </w:r>
      <w:r>
        <w:rPr>
          <w:rFonts w:hint="eastAsia" w:ascii="仿宋_GB2312" w:hAnsi="仿宋_GB2312" w:eastAsia="仿宋_GB2312" w:cs="仿宋_GB2312"/>
          <w:color w:val="000000"/>
          <w:sz w:val="32"/>
          <w:szCs w:val="32"/>
        </w:rPr>
        <w:t>成立时间3年以上</w:t>
      </w:r>
      <w:r>
        <w:rPr>
          <w:rFonts w:hint="eastAsia" w:ascii="仿宋_GB2312" w:hAnsi="仿宋_GB2312" w:eastAsia="仿宋_GB2312" w:cs="仿宋_GB2312"/>
          <w:color w:val="000000"/>
          <w:sz w:val="32"/>
          <w:szCs w:val="32"/>
          <w:shd w:val="clear" w:color="auto" w:fill="FFFFFF"/>
        </w:rPr>
        <w:t>，且在中国证券投资基金业协会备案，实缴资本不低于1000万元人民币，有固定的营业场所和与其业务相适应的软硬件设施。</w:t>
      </w:r>
    </w:p>
    <w:p w14:paraId="030A5471">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2.有健全的股权投资管理和风险控制流程，规范的项目遴选机制和投资决策机制，能够为被投资企业提供创业辅导、管理咨询等增值服务。</w:t>
      </w:r>
    </w:p>
    <w:p w14:paraId="5FB59F77">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3.管理和投资运作规范，具有严格的投资决策程序、风险控制机制和健全的财务管理制度。</w:t>
      </w:r>
    </w:p>
    <w:p w14:paraId="12CA97A0">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4.具有良好的职业操守，无重大过失，无受行政主管机关或司法机关处罚的不良记录。</w:t>
      </w:r>
    </w:p>
    <w:p w14:paraId="2446D605">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5.具有丰富的私募基金管理经验，可以提供基金管理、项目投资等方面的优秀过往业绩；可以提供符合基金投资要求的投资计划、储备项目等材料。</w:t>
      </w:r>
    </w:p>
    <w:p w14:paraId="374DA5D8">
      <w:pPr>
        <w:snapToGrid w:val="0"/>
        <w:spacing w:line="600" w:lineRule="exact"/>
        <w:ind w:firstLine="640" w:firstLineChars="200"/>
        <w:rPr>
          <w:rFonts w:ascii="仿宋_GB2312" w:hAnsi="仿宋_GB2312" w:eastAsia="仿宋_GB2312" w:cs="仿宋_GB2312"/>
          <w:color w:val="000000"/>
          <w:sz w:val="32"/>
          <w:szCs w:val="32"/>
          <w:shd w:val="clear" w:color="auto" w:fill="FFFFFF"/>
        </w:rPr>
      </w:pPr>
      <w:bookmarkStart w:id="1" w:name="OLE_LINK8"/>
      <w:r>
        <w:rPr>
          <w:rFonts w:hint="eastAsia" w:ascii="仿宋_GB2312" w:hAnsi="仿宋_GB2312" w:eastAsia="仿宋_GB2312" w:cs="仿宋_GB2312"/>
          <w:color w:val="000000"/>
          <w:sz w:val="32"/>
          <w:szCs w:val="32"/>
          <w:shd w:val="clear" w:color="auto" w:fill="FFFFFF"/>
        </w:rPr>
        <w:t>6.拥有较强的行业研究能力，在高端产业链接、产业运营经验和产学研综合管理方面具备丰富经验。</w:t>
      </w:r>
      <w:bookmarkEnd w:id="1"/>
    </w:p>
    <w:p w14:paraId="341087B1">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shd w:val="clear" w:color="auto" w:fill="FFFFFF"/>
        </w:rPr>
        <w:t>7.拥有丰富、优质的项目储备资源，</w:t>
      </w:r>
      <w:r>
        <w:rPr>
          <w:rFonts w:hint="eastAsia" w:ascii="仿宋_GB2312" w:hAnsi="仿宋_GB2312" w:eastAsia="仿宋_GB2312" w:cs="仿宋_GB2312"/>
          <w:color w:val="000000"/>
          <w:sz w:val="32"/>
          <w:szCs w:val="32"/>
          <w:highlight w:val="none"/>
          <w:shd w:val="clear" w:color="auto" w:fill="auto"/>
        </w:rPr>
        <w:t>申报基金设立方案时，应提供不低于基金认缴出资金额50%的投资项目储备清单；储备项目须与基金投资策略和领域相匹配。</w:t>
      </w:r>
    </w:p>
    <w:p w14:paraId="4F6B67EA">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8.具有较强的资金募集能力，可以在规定期限内完成社会资金的募集。</w:t>
      </w:r>
    </w:p>
    <w:p w14:paraId="001F529C">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9.具备较强的专业产业领域的招商能力，即将科技创新创业企业项目招商引入运城市落地的能力。</w:t>
      </w:r>
    </w:p>
    <w:p w14:paraId="27E988F8">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至少有3名具备3年以上股权投资或相关业务经验的专职高级管理人员，彼此之间有3年以上的合作经历，在拟投资的产业领域内，至少有2个投资成功案例；管理团队关键人士在基金运作期间不得中途退出；拥有不少于3名熟悉企业运营、财务管理、项目融资的专职人员；团队主要成员无受过行政主管机关或司法机关处罚的记录。</w:t>
      </w:r>
    </w:p>
    <w:p w14:paraId="64045086">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11.应参股或认缴基金份额，且实缴出资不得低于基金总额的1%。</w:t>
      </w:r>
    </w:p>
    <w:p w14:paraId="3CF7F128">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（二）管理要求</w:t>
      </w:r>
    </w:p>
    <w:p w14:paraId="53346E6B">
      <w:pPr>
        <w:snapToGrid w:val="0"/>
        <w:spacing w:line="600" w:lineRule="exact"/>
        <w:ind w:firstLine="640" w:firstLineChars="200"/>
        <w:rPr>
          <w:rFonts w:ascii="CESI仿宋-GB2312" w:hAnsi="CESI仿宋-GB2312" w:eastAsia="CESI仿宋-GB2312" w:cs="CESI仿宋-GB2312"/>
          <w:color w:val="000000"/>
          <w:sz w:val="32"/>
          <w:szCs w:val="32"/>
          <w:shd w:val="clear" w:color="auto" w:fill="FFFFFF"/>
        </w:rPr>
      </w:pPr>
      <w:r>
        <w:rPr>
          <w:rFonts w:ascii="CESI仿宋-GB2312" w:hAnsi="CESI仿宋-GB2312" w:eastAsia="CESI仿宋-GB2312" w:cs="CESI仿宋-GB2312"/>
          <w:color w:val="000000"/>
          <w:sz w:val="32"/>
          <w:szCs w:val="32"/>
          <w:shd w:val="clear" w:color="auto" w:fill="FFFFFF"/>
        </w:rPr>
        <w:t>1</w:t>
      </w:r>
      <w:r>
        <w:rPr>
          <w:rFonts w:hint="eastAsia" w:ascii="CESI仿宋-GB2312" w:hAnsi="CESI仿宋-GB2312" w:eastAsia="CESI仿宋-GB2312" w:cs="CESI仿宋-GB2312"/>
          <w:color w:val="000000"/>
          <w:sz w:val="32"/>
          <w:szCs w:val="32"/>
          <w:shd w:val="clear" w:color="auto" w:fill="FFFFFF"/>
        </w:rPr>
        <w:t>.团队配备要求：</w:t>
      </w:r>
    </w:p>
    <w:p w14:paraId="4E6FA2E5">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）为本基金至少配备3名具备</w:t>
      </w: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年以上科创领域股权投资经验的团队成员，原则上团队成员应有良好的合作共事经历，同时在运城市内配备稳定的投资团队。</w:t>
      </w:r>
    </w:p>
    <w:p w14:paraId="730A2F6C">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）为本基金至少配备</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名关键人士，关键人士原则上应为申报机构担任合伙人或副总经理及以上职务的管理人员，关键人士必须参与基金投委会或担任执行事务合伙人委派代表。</w:t>
      </w:r>
    </w:p>
    <w:p w14:paraId="338844C0">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.专注度要求：在基金投资期内应保证关键人士的稳定性，未经合伙人一致同意，不得随意变动。</w:t>
      </w:r>
    </w:p>
    <w:p w14:paraId="021AF3CB">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.产业服务要求：中选机构积极服务政府投资基金，参与产业发展规划研究、提供产业战略咨询意见、对具体项目提出研判意见、引入优质科创项目落地运城等。</w:t>
      </w:r>
    </w:p>
    <w:p w14:paraId="67007481">
      <w:pPr>
        <w:snapToGrid w:val="0"/>
        <w:spacing w:line="600" w:lineRule="exact"/>
        <w:ind w:firstLine="640"/>
        <w:rPr>
          <w:rFonts w:ascii="黑体" w:hAnsi="黑体" w:eastAsia="黑体" w:cs="黑体"/>
          <w:sz w:val="32"/>
          <w:szCs w:val="32"/>
        </w:rPr>
      </w:pPr>
      <w:r>
        <w:rPr>
          <w:rFonts w:hint="eastAsia" w:ascii="黑体" w:hAnsi="黑体" w:eastAsia="黑体" w:cs="黑体"/>
          <w:sz w:val="32"/>
          <w:szCs w:val="32"/>
        </w:rPr>
        <w:t>二、运城市科创</w:t>
      </w:r>
      <w:r>
        <w:rPr>
          <w:rFonts w:hint="eastAsia" w:ascii="黑体" w:hAnsi="黑体" w:eastAsia="黑体" w:cs="黑体"/>
          <w:color w:val="000000"/>
          <w:sz w:val="32"/>
          <w:szCs w:val="32"/>
          <w:shd w:val="clear" w:color="auto" w:fill="FFFFFF"/>
        </w:rPr>
        <w:t>基金设立基本要求</w:t>
      </w:r>
    </w:p>
    <w:p w14:paraId="43CA6072">
      <w:pPr>
        <w:snapToGrid w:val="0"/>
        <w:spacing w:line="600" w:lineRule="exact"/>
        <w:ind w:firstLine="640" w:firstLineChars="200"/>
        <w:rPr>
          <w:rFonts w:ascii="楷体_GB2312" w:hAnsi="楷体_GB2312" w:eastAsia="楷体_GB2312" w:cs="楷体_GB2312"/>
          <w:color w:val="000000"/>
          <w:sz w:val="32"/>
          <w:szCs w:val="32"/>
          <w:shd w:val="clear" w:color="auto" w:fill="FFFFFF"/>
        </w:rPr>
      </w:pPr>
      <w:bookmarkStart w:id="2" w:name="_Hlk146634589"/>
      <w:bookmarkStart w:id="3" w:name="OLE_LINK35"/>
      <w:bookmarkStart w:id="4" w:name="OLE_LINK36"/>
      <w:r>
        <w:rPr>
          <w:rFonts w:hint="eastAsia" w:ascii="楷体_GB2312" w:hAnsi="楷体_GB2312" w:eastAsia="楷体_GB2312" w:cs="楷体_GB2312"/>
          <w:color w:val="000000"/>
          <w:sz w:val="32"/>
          <w:szCs w:val="32"/>
          <w:shd w:val="clear" w:color="auto" w:fill="FFFFFF"/>
        </w:rPr>
        <w:t>（一）基金名称</w:t>
      </w:r>
    </w:p>
    <w:bookmarkEnd w:id="2"/>
    <w:p w14:paraId="77F65C92">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运城市</w:t>
      </w:r>
      <w:bookmarkEnd w:id="3"/>
      <w:bookmarkEnd w:id="4"/>
      <w:r>
        <w:rPr>
          <w:rFonts w:hint="eastAsia" w:ascii="仿宋_GB2312" w:hAnsi="宋体" w:eastAsia="仿宋_GB2312"/>
          <w:bCs/>
          <w:sz w:val="32"/>
          <w:szCs w:val="32"/>
        </w:rPr>
        <w:t>科技创新股权投资基金</w:t>
      </w:r>
      <w:r>
        <w:rPr>
          <w:rFonts w:hint="eastAsia" w:ascii="仿宋_GB2312" w:hAnsi="仿宋_GB2312" w:eastAsia="仿宋_GB2312" w:cs="仿宋_GB2312"/>
          <w:sz w:val="32"/>
          <w:szCs w:val="32"/>
        </w:rPr>
        <w:t>合伙企业（有限合伙）（暂定名，以工商设立后为准）。</w:t>
      </w:r>
    </w:p>
    <w:p w14:paraId="4779E50D">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（二）基金注册地</w:t>
      </w:r>
    </w:p>
    <w:p w14:paraId="6B5F299F">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运城市。</w:t>
      </w:r>
    </w:p>
    <w:p w14:paraId="4F6EF6A2">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（三）组织形式</w:t>
      </w:r>
    </w:p>
    <w:p w14:paraId="0A3D7A0C">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基金实行有限合伙制，依照基金合伙协议运营。</w:t>
      </w:r>
    </w:p>
    <w:p w14:paraId="70DB0589">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（四）基金规模</w:t>
      </w:r>
    </w:p>
    <w:p w14:paraId="1F19BDD6">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基金认缴规模1亿元人民币。</w:t>
      </w:r>
    </w:p>
    <w:p w14:paraId="340B470C">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（五）存续期限</w:t>
      </w:r>
    </w:p>
    <w:p w14:paraId="411E1C9D">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 w:eastAsia="仿宋_GB2312"/>
          <w:sz w:val="32"/>
          <w:szCs w:val="32"/>
        </w:rPr>
        <w:t>基金存续期为10年</w:t>
      </w:r>
      <w:bookmarkStart w:id="5" w:name="OLE_LINK9"/>
      <w:bookmarkStart w:id="6" w:name="OLE_LINK10"/>
      <w:r>
        <w:rPr>
          <w:rFonts w:hint="eastAsia" w:ascii="仿宋_GB2312" w:hAnsi="仿宋" w:eastAsia="仿宋_GB2312"/>
          <w:sz w:val="32"/>
          <w:szCs w:val="32"/>
        </w:rPr>
        <w:t>（6年投资期+4年退出期），经过全体合伙人同意后，存续期可以延长。</w:t>
      </w:r>
      <w:bookmarkEnd w:id="5"/>
      <w:bookmarkEnd w:id="6"/>
    </w:p>
    <w:p w14:paraId="42718C38">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（六）出资结构</w:t>
      </w:r>
    </w:p>
    <w:p w14:paraId="143B0C9F">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管理机构需认缴出资不低于基金规模的1%。</w:t>
      </w:r>
    </w:p>
    <w:p w14:paraId="06BB07DC">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（七）投资方式</w:t>
      </w:r>
    </w:p>
    <w:p w14:paraId="757B3D18">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基金通过直接股权投资项目或参股子基金方式开展投资。参与市域外市场化基金投资的采取一事一议。</w:t>
      </w:r>
    </w:p>
    <w:p w14:paraId="370E0751">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（八）投资领域及返投比例</w:t>
      </w:r>
    </w:p>
    <w:p w14:paraId="570AC076">
      <w:pPr>
        <w:snapToGrid w:val="0"/>
        <w:spacing w:line="600" w:lineRule="exact"/>
        <w:ind w:firstLine="640" w:firstLineChars="200"/>
        <w:rPr>
          <w:rFonts w:ascii="仿宋_GB2312" w:hAnsi="仿宋_GB2312" w:eastAsia="仿宋_GB2312" w:cs="仿宋_GB2312"/>
          <w:color w:val="000000"/>
          <w:sz w:val="32"/>
          <w:szCs w:val="32"/>
          <w:shd w:val="clear" w:color="auto" w:fill="FFFFFF"/>
          <w:lang w:val="zh-TW"/>
        </w:rPr>
      </w:pPr>
      <w:r>
        <w:rPr>
          <w:rFonts w:hint="eastAsia" w:ascii="仿宋_GB2312" w:hAnsi="仿宋_GB2312" w:eastAsia="仿宋_GB2312" w:cs="仿宋_GB2312"/>
          <w:color w:val="000000"/>
          <w:sz w:val="32"/>
          <w:szCs w:val="32"/>
          <w:shd w:val="clear" w:color="auto" w:fill="FFFFFF"/>
          <w:lang w:val="zh-TW"/>
        </w:rPr>
        <w:t>主要投资于运城市扶持和鼓励发展的新能源、新材料、新一代信息技术、先进制造、人工智能、生物医药等战略新兴领域的优质种子期、初创期项目，重点支持产业链协同、创新创业和运城晋创谷初创期科技型企业。</w:t>
      </w:r>
    </w:p>
    <w:p w14:paraId="687B595E">
      <w:pPr>
        <w:snapToGrid w:val="0"/>
        <w:spacing w:line="600" w:lineRule="exact"/>
        <w:ind w:firstLine="640" w:firstLineChars="200"/>
        <w:rPr>
          <w:rFonts w:ascii="仿宋_GB2312" w:hAnsi="仿宋_GB2312" w:eastAsia="仿宋_GB2312" w:cs="仿宋_GB2312"/>
          <w:color w:val="000000"/>
          <w:sz w:val="32"/>
          <w:szCs w:val="32"/>
          <w:shd w:val="clear" w:color="auto" w:fill="FFFFFF"/>
          <w:lang w:val="zh-TW"/>
        </w:rPr>
      </w:pPr>
      <w:r>
        <w:rPr>
          <w:rFonts w:hint="eastAsia" w:ascii="仿宋_GB2312" w:hAnsi="仿宋_GB2312" w:eastAsia="仿宋_GB2312" w:cs="仿宋_GB2312"/>
          <w:color w:val="000000"/>
          <w:sz w:val="32"/>
          <w:szCs w:val="32"/>
          <w:shd w:val="clear" w:color="auto" w:fill="FFFFFF"/>
          <w:lang w:val="zh-TW"/>
        </w:rPr>
        <w:t>基金原则上</w:t>
      </w:r>
      <w:bookmarkStart w:id="7" w:name="OLE_LINK5"/>
      <w:bookmarkStart w:id="8" w:name="OLE_LINK6"/>
      <w:r>
        <w:rPr>
          <w:rFonts w:hint="eastAsia" w:ascii="仿宋_GB2312" w:hAnsi="仿宋_GB2312" w:eastAsia="仿宋_GB2312" w:cs="仿宋_GB2312"/>
          <w:color w:val="000000"/>
          <w:sz w:val="32"/>
          <w:szCs w:val="32"/>
          <w:shd w:val="clear" w:color="auto" w:fill="FFFFFF"/>
          <w:lang w:val="zh-TW"/>
        </w:rPr>
        <w:t>投资于运城市辖区内注册设立的企业的比例不低于60%</w:t>
      </w:r>
      <w:bookmarkEnd w:id="7"/>
      <w:bookmarkEnd w:id="8"/>
      <w:r>
        <w:rPr>
          <w:rFonts w:hint="eastAsia" w:ascii="仿宋_GB2312" w:hAnsi="仿宋_GB2312" w:eastAsia="仿宋_GB2312" w:cs="仿宋_GB2312"/>
          <w:color w:val="000000"/>
          <w:sz w:val="32"/>
          <w:szCs w:val="32"/>
          <w:shd w:val="clear" w:color="auto" w:fill="FFFFFF"/>
          <w:lang w:val="zh-TW"/>
        </w:rPr>
        <w:t>。</w:t>
      </w:r>
    </w:p>
    <w:p w14:paraId="0539239C">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种子期、初创期企业原则上应按照以下条件认定：</w:t>
      </w:r>
    </w:p>
    <w:p w14:paraId="632D705C">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基金的投资须为其首两轮外部机构投资且接受投资时 企业设立时间不超过5年(60个月)；</w:t>
      </w:r>
    </w:p>
    <w:p w14:paraId="3A578BF2">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sz w:val="32"/>
          <w:szCs w:val="32"/>
        </w:rPr>
        <w:t>从业人数不超过200人，其中具有大学本科以上学历的 从业人数不低于30%，且接受投资时上一年度净资产或者年 销售收入不超过2亿元人民币。</w:t>
      </w:r>
    </w:p>
    <w:p w14:paraId="705F10D8">
      <w:pPr>
        <w:snapToGrid w:val="0"/>
        <w:spacing w:line="600" w:lineRule="exact"/>
        <w:ind w:firstLine="640" w:firstLineChars="200"/>
        <w:rPr>
          <w:rFonts w:ascii="楷体_GB2312" w:hAnsi="楷体_GB2312" w:eastAsia="楷体_GB2312" w:cs="楷体_GB2312"/>
          <w:color w:val="000000"/>
          <w:sz w:val="32"/>
          <w:szCs w:val="32"/>
          <w:shd w:val="clear" w:color="auto" w:fill="FFFFFF"/>
        </w:rPr>
      </w:pPr>
      <w:bookmarkStart w:id="9" w:name="OLE_LINK51"/>
      <w:bookmarkStart w:id="10" w:name="OLE_LINK50"/>
      <w:r>
        <w:rPr>
          <w:rFonts w:hint="eastAsia" w:ascii="楷体_GB2312" w:hAnsi="楷体_GB2312" w:eastAsia="楷体_GB2312" w:cs="楷体_GB2312"/>
          <w:color w:val="000000"/>
          <w:sz w:val="32"/>
          <w:szCs w:val="32"/>
          <w:shd w:val="clear" w:color="auto" w:fill="FFFFFF"/>
        </w:rPr>
        <w:t>（九）投资策略</w:t>
      </w:r>
    </w:p>
    <w:p w14:paraId="257F5545">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基金</w:t>
      </w:r>
      <w:bookmarkEnd w:id="9"/>
      <w:bookmarkEnd w:id="10"/>
      <w:r>
        <w:rPr>
          <w:rFonts w:hint="eastAsia" w:ascii="仿宋_GB2312" w:hAnsi="仿宋_GB2312" w:eastAsia="仿宋_GB2312" w:cs="仿宋_GB2312"/>
          <w:sz w:val="32"/>
          <w:szCs w:val="32"/>
        </w:rPr>
        <w:t>按照“市场运作、多元投资、防范风险”原则进行投资运作，通过股权投资等法律、法规、政策允许的方式开展投资。</w:t>
      </w:r>
    </w:p>
    <w:p w14:paraId="3816F273">
      <w:pPr>
        <w:snapToGrid w:val="0"/>
        <w:spacing w:line="600" w:lineRule="exact"/>
        <w:ind w:firstLine="640" w:firstLineChars="200"/>
        <w:rPr>
          <w:rFonts w:ascii="楷体_GB2312" w:hAnsi="楷体_GB2312" w:eastAsia="楷体_GB2312" w:cs="楷体_GB2312"/>
          <w:color w:val="000000"/>
          <w:sz w:val="32"/>
          <w:szCs w:val="32"/>
          <w:shd w:val="clear" w:color="auto" w:fill="FFFFFF"/>
        </w:rPr>
      </w:pPr>
      <w:bookmarkStart w:id="11" w:name="OLE_LINK54"/>
      <w:bookmarkStart w:id="12" w:name="OLE_LINK55"/>
      <w:r>
        <w:rPr>
          <w:rFonts w:hint="eastAsia" w:ascii="楷体_GB2312" w:hAnsi="楷体_GB2312" w:eastAsia="楷体_GB2312" w:cs="楷体_GB2312"/>
          <w:color w:val="000000"/>
          <w:sz w:val="32"/>
          <w:szCs w:val="32"/>
          <w:shd w:val="clear" w:color="auto" w:fill="FFFFFF"/>
        </w:rPr>
        <w:t>（十）基金管理费</w:t>
      </w:r>
    </w:p>
    <w:p w14:paraId="B9167E5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FF0000"/>
          <w:sz w:val="32"/>
          <w:szCs w:val="32"/>
          <w:shd w:val="clear" w:color="auto" w:fill="FFFFFF"/>
          <w:lang w:val="en-US" w:eastAsia="zh-CN"/>
        </w:rPr>
      </w:pPr>
      <w:bookmarkStart w:id="13" w:name="OLE_LINK24"/>
      <w:bookmarkStart w:id="14" w:name="OLE_LINK23"/>
      <w:r>
        <w:rPr>
          <w:rFonts w:hint="eastAsia" w:ascii="仿宋_GB2312" w:hAnsi="仿宋_GB2312" w:eastAsia="仿宋_GB2312" w:cs="仿宋_GB2312"/>
          <w:sz w:val="32"/>
          <w:szCs w:val="32"/>
        </w:rPr>
        <w:t>管理</w:t>
      </w:r>
      <w:bookmarkEnd w:id="11"/>
      <w:bookmarkEnd w:id="12"/>
      <w:r>
        <w:rPr>
          <w:rFonts w:hint="eastAsia" w:ascii="仿宋_GB2312" w:hAnsi="仿宋_GB2312" w:eastAsia="仿宋_GB2312" w:cs="仿宋_GB2312"/>
          <w:sz w:val="32"/>
          <w:szCs w:val="32"/>
        </w:rPr>
        <w:t>人按照</w:t>
      </w:r>
      <w:r>
        <w:rPr>
          <w:rFonts w:hint="eastAsia" w:ascii="仿宋_GB2312" w:hAnsi="仿宋_GB2312" w:eastAsia="仿宋_GB2312" w:cs="仿宋_GB2312"/>
          <w:color w:val="auto"/>
          <w:sz w:val="32"/>
          <w:szCs w:val="32"/>
          <w:lang w:val="en-US" w:eastAsia="zh-CN"/>
        </w:rPr>
        <w:t>不超过</w:t>
      </w:r>
      <w:r>
        <w:rPr>
          <w:rFonts w:hint="eastAsia" w:ascii="仿宋_GB2312" w:hAnsi="仿宋_GB2312" w:eastAsia="仿宋_GB2312" w:cs="仿宋_GB2312"/>
          <w:color w:val="auto"/>
          <w:sz w:val="32"/>
          <w:szCs w:val="32"/>
        </w:rPr>
        <w:t>基金实际投资金额1.5%/年收取管理费</w:t>
      </w:r>
      <w:bookmarkEnd w:id="13"/>
      <w:bookmarkEnd w:id="14"/>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lang w:val="en-US" w:eastAsia="zh-CN"/>
        </w:rPr>
        <w:t>其中分为基础管理费（1%）和浮动管理费（0.5%）两部分，浮动管理费（不超过计提基数的0.5%）与考核评价挂钩。</w:t>
      </w:r>
      <w:r>
        <w:rPr>
          <w:rFonts w:hint="eastAsia" w:ascii="仿宋_GB2312" w:hAnsi="仿宋_GB2312" w:eastAsia="仿宋_GB2312" w:cs="仿宋_GB2312"/>
          <w:sz w:val="32"/>
          <w:szCs w:val="32"/>
        </w:rPr>
        <w:t>每年一季度提取上年度基础管理费</w:t>
      </w:r>
      <w:r>
        <w:rPr>
          <w:rFonts w:hint="eastAsia" w:ascii="仿宋_GB2312" w:hAnsi="仿宋_GB2312" w:eastAsia="仿宋_GB2312" w:cs="仿宋_GB2312"/>
          <w:sz w:val="32"/>
          <w:szCs w:val="32"/>
          <w:lang w:eastAsia="zh-CN"/>
        </w:rPr>
        <w:t>。</w:t>
      </w:r>
    </w:p>
    <w:p w14:paraId="17651531">
      <w:pPr>
        <w:snapToGrid w:val="0"/>
        <w:spacing w:line="600" w:lineRule="exact"/>
        <w:ind w:firstLine="640" w:firstLineChars="200"/>
        <w:rPr>
          <w:rFonts w:ascii="仿宋_GB2312" w:hAnsi="仿宋_GB2312" w:eastAsia="仿宋_GB2312" w:cs="仿宋_GB2312"/>
          <w:sz w:val="32"/>
          <w:szCs w:val="32"/>
        </w:rPr>
      </w:pPr>
    </w:p>
    <w:p w14:paraId="083922A3">
      <w:pPr>
        <w:snapToGrid w:val="0"/>
        <w:spacing w:line="600" w:lineRule="exact"/>
        <w:ind w:firstLine="640" w:firstLineChars="200"/>
        <w:rPr>
          <w:rFonts w:ascii="楷体_GB2312" w:hAnsi="楷体_GB2312" w:eastAsia="楷体_GB2312" w:cs="楷体_GB2312"/>
          <w:color w:val="000000"/>
          <w:sz w:val="32"/>
          <w:szCs w:val="32"/>
          <w:shd w:val="clear" w:color="auto" w:fill="FFFFFF"/>
        </w:rPr>
      </w:pPr>
      <w:bookmarkStart w:id="15" w:name="OLE_LINK59"/>
      <w:bookmarkStart w:id="16" w:name="OLE_LINK58"/>
      <w:r>
        <w:rPr>
          <w:rFonts w:hint="eastAsia" w:ascii="楷体_GB2312" w:hAnsi="楷体_GB2312" w:eastAsia="楷体_GB2312" w:cs="楷体_GB2312"/>
          <w:color w:val="000000"/>
          <w:sz w:val="32"/>
          <w:szCs w:val="32"/>
          <w:shd w:val="clear" w:color="auto" w:fill="FFFFFF"/>
        </w:rPr>
        <w:t>（十一）收益分配及亏损负担</w:t>
      </w:r>
    </w:p>
    <w:p w14:paraId="2E1CC6DE">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bookmarkEnd w:id="15"/>
      <w:bookmarkEnd w:id="16"/>
      <w:r>
        <w:rPr>
          <w:rFonts w:hint="eastAsia" w:ascii="仿宋_GB2312" w:hAnsi="仿宋_GB2312" w:eastAsia="仿宋_GB2312" w:cs="仿宋_GB2312"/>
          <w:sz w:val="32"/>
          <w:szCs w:val="32"/>
        </w:rPr>
        <w:t>合伙企业的项目处置收入在扣除各项税费、基金管理费、托管费及所含的运营成本后，为基金的可分配收入，全体合伙人之间的分配执行先本金后收益的原则。具体的收益分配方案以最终签订的合伙协议约定为准。</w:t>
      </w:r>
    </w:p>
    <w:p w14:paraId="0910CE51">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2.基金发生亏损时，全体合伙人按照实缴出资比例承担。合伙企业不得对外举债，普通合伙人对合伙企业债务承担无限连带责任。</w:t>
      </w:r>
    </w:p>
    <w:p w14:paraId="58890D6C">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（十二）基金退出</w:t>
      </w:r>
    </w:p>
    <w:p w14:paraId="2940B6CC">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通过IPO、股权转让、清算、减资、股东回购等方式实施退出。鼓励通过私募股权二级市场基金（S基金）、并购基金进行基金份额转让实现退出。</w:t>
      </w:r>
    </w:p>
    <w:p w14:paraId="4A0091BA">
      <w:pPr>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color w:val="000000"/>
          <w:sz w:val="32"/>
          <w:szCs w:val="32"/>
          <w:shd w:val="clear" w:color="auto" w:fill="FFFFFF"/>
        </w:rPr>
        <w:t>（十三）限制性安排</w:t>
      </w:r>
    </w:p>
    <w:p w14:paraId="286CDD2A">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w:t>
      </w:r>
      <w:r>
        <w:rPr>
          <w:rFonts w:ascii="仿宋_GB2312" w:hAnsi="仿宋_GB2312" w:eastAsia="仿宋_GB2312" w:cs="仿宋_GB2312"/>
          <w:sz w:val="32"/>
          <w:szCs w:val="32"/>
        </w:rPr>
        <w:t>下列情况之一的，</w:t>
      </w:r>
      <w:bookmarkStart w:id="17" w:name="OLE_LINK32"/>
      <w:bookmarkStart w:id="18" w:name="OLE_LINK31"/>
      <w:r>
        <w:rPr>
          <w:rFonts w:ascii="仿宋_GB2312" w:hAnsi="仿宋_GB2312" w:eastAsia="仿宋_GB2312" w:cs="仿宋_GB2312"/>
          <w:sz w:val="32"/>
          <w:szCs w:val="32"/>
        </w:rPr>
        <w:t>政府</w:t>
      </w:r>
      <w:r>
        <w:rPr>
          <w:rFonts w:hint="eastAsia" w:ascii="仿宋_GB2312" w:hAnsi="仿宋_GB2312" w:eastAsia="仿宋_GB2312" w:cs="仿宋_GB2312"/>
          <w:sz w:val="32"/>
          <w:szCs w:val="32"/>
        </w:rPr>
        <w:t>投资</w:t>
      </w:r>
      <w:r>
        <w:rPr>
          <w:rFonts w:ascii="仿宋_GB2312" w:hAnsi="仿宋_GB2312" w:eastAsia="仿宋_GB2312" w:cs="仿宋_GB2312"/>
          <w:sz w:val="32"/>
          <w:szCs w:val="32"/>
        </w:rPr>
        <w:t>基金</w:t>
      </w:r>
      <w:bookmarkEnd w:id="17"/>
      <w:bookmarkEnd w:id="18"/>
      <w:r>
        <w:rPr>
          <w:rFonts w:ascii="仿宋_GB2312" w:hAnsi="仿宋_GB2312" w:eastAsia="仿宋_GB2312" w:cs="仿宋_GB2312"/>
          <w:sz w:val="32"/>
          <w:szCs w:val="32"/>
        </w:rPr>
        <w:t>有权要求退出，基金管理机构及其他出资人应签署一切必要的文件或履行所有必要的程序以确保</w:t>
      </w:r>
      <w:r>
        <w:rPr>
          <w:rFonts w:hint="eastAsia" w:ascii="仿宋_GB2312" w:hAnsi="仿宋_GB2312" w:eastAsia="仿宋_GB2312" w:cs="仿宋_GB2312"/>
          <w:sz w:val="32"/>
          <w:szCs w:val="32"/>
        </w:rPr>
        <w:t>政府投资基金</w:t>
      </w:r>
      <w:r>
        <w:rPr>
          <w:rFonts w:ascii="仿宋_GB2312" w:hAnsi="仿宋_GB2312" w:eastAsia="仿宋_GB2312" w:cs="仿宋_GB2312"/>
          <w:sz w:val="32"/>
          <w:szCs w:val="32"/>
        </w:rPr>
        <w:t>退出：</w:t>
      </w:r>
    </w:p>
    <w:p w14:paraId="3A4D1FF1">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管理机构确认之日起3个月内，未完成基金协议签署； </w:t>
      </w:r>
    </w:p>
    <w:p w14:paraId="1C8633B0">
      <w:pPr>
        <w:widowControl/>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2.基金工商登记后3个月内，管理机构未完成首期出资款缴付； </w:t>
      </w:r>
    </w:p>
    <w:p w14:paraId="2992E669">
      <w:pPr>
        <w:widowControl/>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3.首期出资拨付至基金账户后，</w:t>
      </w:r>
      <w:r>
        <w:rPr>
          <w:rFonts w:hint="eastAsia" w:ascii="仿宋_GB2312" w:hAnsi="仿宋_GB2312" w:eastAsia="仿宋_GB2312" w:cs="仿宋_GB2312"/>
          <w:sz w:val="32"/>
          <w:szCs w:val="32"/>
        </w:rPr>
        <w:t>1年以上</w:t>
      </w:r>
      <w:r>
        <w:rPr>
          <w:rFonts w:ascii="仿宋_GB2312" w:hAnsi="仿宋_GB2312" w:eastAsia="仿宋_GB2312" w:cs="仿宋_GB2312"/>
          <w:sz w:val="32"/>
          <w:szCs w:val="32"/>
        </w:rPr>
        <w:t>未开展投资业务</w:t>
      </w:r>
      <w:r>
        <w:rPr>
          <w:rFonts w:hint="eastAsia" w:ascii="仿宋_GB2312" w:hAnsi="仿宋_GB2312" w:eastAsia="仿宋_GB2312" w:cs="仿宋_GB2312"/>
          <w:sz w:val="32"/>
          <w:szCs w:val="32"/>
        </w:rPr>
        <w:t>；</w:t>
      </w:r>
    </w:p>
    <w:p w14:paraId="29AB7BED">
      <w:pPr>
        <w:widowControl/>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4.基金未按合伙协议约定投资且未能有效整改；</w:t>
      </w:r>
    </w:p>
    <w:p w14:paraId="7CD3E90A">
      <w:pPr>
        <w:widowControl/>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5.管理机构因重大违法违规行为被依法查处；</w:t>
      </w:r>
    </w:p>
    <w:p w14:paraId="58B17A41">
      <w:pPr>
        <w:widowControl/>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6.管理机构连续2年考核评价不合格且整改未达标； </w:t>
      </w:r>
    </w:p>
    <w:p w14:paraId="545B3E38">
      <w:pPr>
        <w:widowControl/>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7.基金出现重大审计问题且整改未达标；</w:t>
      </w:r>
    </w:p>
    <w:p w14:paraId="57C63EA6">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8.其他影响</w:t>
      </w:r>
      <w:r>
        <w:rPr>
          <w:rFonts w:hint="eastAsia" w:ascii="仿宋_GB2312" w:hAnsi="仿宋_GB2312" w:eastAsia="仿宋_GB2312" w:cs="仿宋_GB2312"/>
          <w:sz w:val="32"/>
          <w:szCs w:val="32"/>
        </w:rPr>
        <w:t>政府投资</w:t>
      </w:r>
      <w:r>
        <w:rPr>
          <w:rFonts w:ascii="仿宋_GB2312" w:hAnsi="仿宋_GB2312" w:eastAsia="仿宋_GB2312" w:cs="仿宋_GB2312"/>
          <w:sz w:val="32"/>
          <w:szCs w:val="32"/>
        </w:rPr>
        <w:t>基金出资安全的情形。</w:t>
      </w:r>
    </w:p>
    <w:p w14:paraId="0538B35D">
      <w:pPr>
        <w:snapToGrid w:val="0"/>
        <w:spacing w:line="600" w:lineRule="exact"/>
        <w:ind w:firstLine="640" w:firstLineChars="200"/>
        <w:rPr>
          <w:rFonts w:ascii="楷体_GB2312" w:hAnsi="楷体_GB2312" w:eastAsia="楷体_GB2312" w:cs="楷体_GB2312"/>
          <w:color w:val="000000"/>
          <w:sz w:val="32"/>
          <w:szCs w:val="32"/>
          <w:shd w:val="clear" w:color="auto" w:fill="FFFFFF"/>
        </w:rPr>
      </w:pPr>
      <w:bookmarkStart w:id="19" w:name="_Hlk146635303"/>
      <w:r>
        <w:rPr>
          <w:rFonts w:hint="eastAsia" w:ascii="楷体_GB2312" w:hAnsi="楷体_GB2312" w:eastAsia="楷体_GB2312" w:cs="楷体_GB2312"/>
          <w:color w:val="000000"/>
          <w:sz w:val="32"/>
          <w:szCs w:val="32"/>
          <w:shd w:val="clear" w:color="auto" w:fill="FFFFFF"/>
        </w:rPr>
        <w:t>（十四）容错机制</w:t>
      </w:r>
    </w:p>
    <w:p w14:paraId="2A09F673">
      <w:pPr>
        <w:widowControl/>
        <w:spacing w:line="600" w:lineRule="exact"/>
        <w:ind w:firstLine="640" w:firstLineChars="200"/>
        <w:jc w:val="left"/>
        <w:rPr>
          <w:sz w:val="32"/>
          <w:szCs w:val="32"/>
        </w:rPr>
      </w:pPr>
      <w:r>
        <w:rPr>
          <w:rFonts w:hint="eastAsia" w:ascii="仿宋_GB2312" w:hAnsi="仿宋_GB2312" w:eastAsia="仿宋_GB2312" w:cs="仿宋_GB2312"/>
          <w:kern w:val="0"/>
          <w:sz w:val="32"/>
          <w:szCs w:val="32"/>
        </w:rPr>
        <w:t>对基金的投资运营，遵循市场规律，以基金整体作为评价依据，不简单以单个项目或单一年度盈亏作为考核依据，不对正常投资风险进行追责，容忍一定比例投资损失率，允许不超过80%比例的项目失败率；对依法合规、决策透明、已履职尽责、因政策变动及其他不可抗力因素等导致项目投资失败或损失，未能实现预期目标，且未谋取私利的，视具体情况容错免责。</w:t>
      </w:r>
    </w:p>
    <w:p w14:paraId="048846AD">
      <w:pPr>
        <w:snapToGrid w:val="0"/>
        <w:spacing w:line="600" w:lineRule="exact"/>
        <w:ind w:firstLine="640"/>
        <w:rPr>
          <w:rFonts w:ascii="黑体" w:hAnsi="黑体" w:eastAsia="黑体" w:cs="黑体"/>
          <w:sz w:val="32"/>
          <w:szCs w:val="32"/>
        </w:rPr>
      </w:pPr>
      <w:r>
        <w:rPr>
          <w:rFonts w:hint="eastAsia" w:ascii="黑体" w:hAnsi="黑体" w:eastAsia="黑体" w:cs="黑体"/>
          <w:sz w:val="32"/>
          <w:szCs w:val="32"/>
        </w:rPr>
        <w:t>三、申报资料要求</w:t>
      </w:r>
    </w:p>
    <w:bookmarkEnd w:id="19"/>
    <w:p w14:paraId="6EC12E55">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基金管理机构的申报材料，包括但不限于：</w:t>
      </w:r>
    </w:p>
    <w:p w14:paraId="6D8F41A3">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（一）申报机构登记表</w:t>
      </w:r>
    </w:p>
    <w:p w14:paraId="45B6B6DE">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（二）申报材料清单</w:t>
      </w:r>
    </w:p>
    <w:p w14:paraId="578A6B73">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1.拟设立</w:t>
      </w:r>
      <w:bookmarkStart w:id="20" w:name="OLE_LINK3"/>
      <w:bookmarkStart w:id="21" w:name="OLE_LINK4"/>
      <w:r>
        <w:rPr>
          <w:rFonts w:hint="eastAsia" w:ascii="仿宋_GB2312" w:hAnsi="仿宋_GB2312" w:eastAsia="仿宋_GB2312" w:cs="仿宋_GB2312"/>
          <w:color w:val="000000"/>
          <w:sz w:val="32"/>
          <w:szCs w:val="32"/>
          <w:shd w:val="clear" w:color="auto" w:fill="FFFFFF"/>
        </w:rPr>
        <w:t>运城市科创基金</w:t>
      </w:r>
      <w:bookmarkEnd w:id="20"/>
      <w:bookmarkEnd w:id="21"/>
      <w:r>
        <w:rPr>
          <w:rFonts w:hint="eastAsia" w:ascii="仿宋_GB2312" w:hAnsi="仿宋_GB2312" w:eastAsia="仿宋_GB2312" w:cs="仿宋_GB2312"/>
          <w:color w:val="000000"/>
          <w:sz w:val="32"/>
          <w:szCs w:val="32"/>
          <w:shd w:val="clear" w:color="auto" w:fill="FFFFFF"/>
        </w:rPr>
        <w:t>基本情况。</w:t>
      </w:r>
    </w:p>
    <w:p w14:paraId="3B28E4FF">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2.运城市科创基金申报设立方案。</w:t>
      </w:r>
    </w:p>
    <w:p w14:paraId="6CC130EC">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3.申报机构及管理团队简介。</w:t>
      </w:r>
    </w:p>
    <w:p w14:paraId="7CEA7F1B">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4.申报机构已投资企业列表。</w:t>
      </w:r>
    </w:p>
    <w:p w14:paraId="2130F381">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（三）相关附件及需出具的承诺函或说明书</w:t>
      </w:r>
    </w:p>
    <w:p w14:paraId="757FC4F5">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1.申报机构基本情况及有效期内的证明文件（营业执照、工商登记证明、政府批文（如有）、委托管理协议、章程（合伙人协议）、股权结构、历史沿革和实际控制人、管理架构、激励措施等详细信息）。</w:t>
      </w:r>
    </w:p>
    <w:p w14:paraId="42E7AC8F">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2.申报机构财务管理制度，</w:t>
      </w:r>
      <w:bookmarkStart w:id="22" w:name="OLE_LINK13"/>
      <w:bookmarkStart w:id="23" w:name="OLE_LINK12"/>
      <w:r>
        <w:rPr>
          <w:rFonts w:hint="eastAsia" w:ascii="仿宋_GB2312" w:hAnsi="仿宋_GB2312" w:eastAsia="仿宋_GB2312" w:cs="仿宋_GB2312"/>
          <w:color w:val="000000"/>
          <w:sz w:val="32"/>
          <w:szCs w:val="32"/>
          <w:shd w:val="clear" w:color="auto" w:fill="FFFFFF"/>
        </w:rPr>
        <w:t>近三年审计报告及最近一期财务报表</w:t>
      </w:r>
      <w:bookmarkEnd w:id="22"/>
      <w:bookmarkEnd w:id="23"/>
      <w:r>
        <w:rPr>
          <w:rFonts w:hint="eastAsia" w:ascii="仿宋_GB2312" w:hAnsi="仿宋_GB2312" w:eastAsia="仿宋_GB2312" w:cs="仿宋_GB2312"/>
          <w:color w:val="000000"/>
          <w:sz w:val="32"/>
          <w:szCs w:val="32"/>
          <w:shd w:val="clear" w:color="auto" w:fill="FFFFFF"/>
        </w:rPr>
        <w:t>。</w:t>
      </w:r>
    </w:p>
    <w:p w14:paraId="47F7BE51">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3.申报机构及其投资管理人员无受过行政主管机关或司法机关处罚的不良记录。</w:t>
      </w:r>
    </w:p>
    <w:p w14:paraId="670C4010">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4.申报机构所管理的或者所受托管理的股权投资基金的资金规模证明文件。</w:t>
      </w:r>
    </w:p>
    <w:p w14:paraId="241CB51D">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5.出具</w:t>
      </w:r>
      <w:r>
        <w:rPr>
          <w:rFonts w:hint="eastAsia" w:ascii="仿宋_GB2312" w:hAnsi="仿宋_GB2312" w:eastAsia="仿宋_GB2312" w:cs="仿宋_GB2312"/>
          <w:color w:val="000000"/>
          <w:sz w:val="32"/>
          <w:szCs w:val="32"/>
          <w:highlight w:val="none"/>
          <w:shd w:val="clear" w:color="auto" w:fill="FFFFFF"/>
          <w:lang w:val="zh-TW"/>
        </w:rPr>
        <w:t>投资于运城市辖区内注册设立的企业比例不低于60%的承诺函。</w:t>
      </w:r>
    </w:p>
    <w:p w14:paraId="37C8FF00">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6.社会出资人出具的出资承诺函。</w:t>
      </w:r>
    </w:p>
    <w:p w14:paraId="459B2FB2">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7.承诺管理基金后，具体负责的管理团队在申报基金完成70%投资前不募集或接受新</w:t>
      </w:r>
      <w:bookmarkStart w:id="26" w:name="_GoBack"/>
      <w:bookmarkEnd w:id="26"/>
      <w:r>
        <w:rPr>
          <w:rFonts w:hint="eastAsia" w:ascii="仿宋_GB2312" w:hAnsi="仿宋_GB2312" w:eastAsia="仿宋_GB2312" w:cs="仿宋_GB2312"/>
          <w:color w:val="000000"/>
          <w:sz w:val="32"/>
          <w:szCs w:val="32"/>
          <w:highlight w:val="none"/>
          <w:shd w:val="clear" w:color="auto" w:fill="FFFFFF"/>
        </w:rPr>
        <w:t>的委托管理其他股权投资基金。</w:t>
      </w:r>
    </w:p>
    <w:p w14:paraId="161D3CC3">
      <w:pPr>
        <w:snapToGrid w:val="0"/>
        <w:spacing w:line="600" w:lineRule="exact"/>
        <w:ind w:firstLine="640"/>
        <w:rPr>
          <w:rFonts w:ascii="黑体" w:hAnsi="黑体" w:eastAsia="黑体" w:cs="黑体"/>
          <w:sz w:val="32"/>
          <w:szCs w:val="32"/>
        </w:rPr>
      </w:pPr>
      <w:r>
        <w:rPr>
          <w:rFonts w:hint="eastAsia" w:ascii="黑体" w:hAnsi="黑体" w:eastAsia="黑体" w:cs="黑体"/>
          <w:sz w:val="32"/>
          <w:szCs w:val="32"/>
        </w:rPr>
        <w:t>四、运城市科创基金管理与风险控制</w:t>
      </w:r>
    </w:p>
    <w:p w14:paraId="541C93E1">
      <w:pPr>
        <w:snapToGrid w:val="0"/>
        <w:spacing w:line="600" w:lineRule="exact"/>
        <w:ind w:firstLine="640" w:firstLineChars="200"/>
        <w:rPr>
          <w:rFonts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（一）基金的管理运营与决策</w:t>
      </w:r>
    </w:p>
    <w:p w14:paraId="3596EE7D">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基金依据有关法律法规，设立投资决策委员会和合伙人会议，并通过合伙协议规定各自职责，具体细则以各方签署后的合伙协议为准。</w:t>
      </w:r>
    </w:p>
    <w:p w14:paraId="62956F3F">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合伙人会议：基金的最高权力机构，由每位合伙人各自委派1名代表组成。合伙人会议须由实缴出资总额三分之二合伙人出席方为有效，合伙人会议事项的表决应经出席会议的合伙人一致同意。合伙人会议原则上每年举行一次定期会议，由基金管理人召集。</w:t>
      </w:r>
    </w:p>
    <w:p w14:paraId="42968CA3">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资决策委员会：本基金设投资决策委员会，对项目立项、投资、投后管理、退出等基金投资事项进行决策。投资决策委员会委员由不少于5名单数成员组成，分别由合伙人代表、管理人代表、外聘的财务专业人士、法务专业人士、投资标的行业的专家等相关人员组成。表决方式采取公开投票方式进行，</w:t>
      </w:r>
      <w:r>
        <w:rPr>
          <w:rFonts w:ascii="仿宋_GB2312" w:hAnsi="仿宋_GB2312" w:eastAsia="仿宋_GB2312" w:cs="仿宋_GB2312"/>
          <w:sz w:val="32"/>
          <w:szCs w:val="32"/>
        </w:rPr>
        <w:t>单个项目投资金额500万</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以下须经4/5委员通过方可投资，单个项目投资金额500万以上须全票通过方可投资</w:t>
      </w:r>
      <w:r>
        <w:rPr>
          <w:rFonts w:hint="eastAsia" w:ascii="仿宋_GB2312" w:hAnsi="仿宋_GB2312" w:eastAsia="仿宋_GB2312" w:cs="仿宋_GB2312"/>
          <w:sz w:val="32"/>
          <w:szCs w:val="32"/>
        </w:rPr>
        <w:t>。</w:t>
      </w:r>
    </w:p>
    <w:p w14:paraId="53B87792">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基金管理人：</w:t>
      </w:r>
      <w:r>
        <w:rPr>
          <w:rFonts w:ascii="仿宋_GB2312" w:hAnsi="仿宋_GB2312" w:eastAsia="仿宋_GB2312" w:cs="仿宋_GB2312"/>
          <w:sz w:val="32"/>
          <w:szCs w:val="32"/>
        </w:rPr>
        <w:t>贯彻落实合伙人会议、投委会会议的决策部署。主要职责包括：负责基金运营管理；开展项目筛选、受理、立项、尽职调查、审批与决策、银行托管、项目执行、已投项目投后管理与增值服务、项目退出等；落实“募投管退”全流程合规性运作要求，规范基金管理各个环节；定期向合伙人报告基金运行情况。</w:t>
      </w:r>
    </w:p>
    <w:p w14:paraId="11BAAA21">
      <w:pPr>
        <w:snapToGrid w:val="0"/>
        <w:spacing w:line="600" w:lineRule="exact"/>
        <w:ind w:firstLine="640" w:firstLineChars="200"/>
        <w:rPr>
          <w:rFonts w:ascii="楷体_GB2312" w:hAnsi="楷体_GB2312" w:eastAsia="楷体_GB2312" w:cs="楷体_GB2312"/>
          <w:color w:val="000000"/>
          <w:sz w:val="32"/>
          <w:szCs w:val="32"/>
          <w:shd w:val="clear" w:color="auto" w:fill="FFFFFF"/>
          <w:lang w:val="zh-TW"/>
        </w:rPr>
      </w:pPr>
      <w:r>
        <w:rPr>
          <w:rFonts w:hint="eastAsia" w:ascii="楷体_GB2312" w:hAnsi="楷体_GB2312" w:eastAsia="楷体_GB2312" w:cs="楷体_GB2312"/>
          <w:color w:val="000000"/>
          <w:sz w:val="32"/>
          <w:szCs w:val="32"/>
          <w:shd w:val="clear" w:color="auto" w:fill="FFFFFF"/>
        </w:rPr>
        <w:t>（二）</w:t>
      </w:r>
      <w:r>
        <w:rPr>
          <w:rFonts w:hint="eastAsia" w:ascii="楷体_GB2312" w:hAnsi="楷体_GB2312" w:eastAsia="楷体_GB2312" w:cs="楷体_GB2312"/>
          <w:color w:val="000000"/>
          <w:sz w:val="32"/>
          <w:szCs w:val="32"/>
          <w:shd w:val="clear" w:color="auto" w:fill="FFFFFF"/>
          <w:lang w:val="zh-TW"/>
        </w:rPr>
        <w:t>风险控制</w:t>
      </w:r>
    </w:p>
    <w:p w14:paraId="67F71BE4">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1.投资限制 </w:t>
      </w:r>
    </w:p>
    <w:p w14:paraId="0753B17E">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基金原则上投资单个企业的持股比例不超过20%，且不 作为被投企业第一大股东，同时单个企业投资额上限不超过基金总规模20%。 </w:t>
      </w:r>
    </w:p>
    <w:p w14:paraId="06156F20">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基金的闲置资金只能投资于银行存款、国债、地方政府债、政策性金融债、政府支持债券等安全性和流动性较好的资产。 </w:t>
      </w:r>
    </w:p>
    <w:p w14:paraId="552D8151">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基金在运作过程中不得从事担保、抵押、委托贷款等业务，不得投资二级市场股票（以并购重组为目的的除外）、期货、房地产、证券投资基金、评级AAA以下的企业债、信托产品、保险计划及其他金融衍生品，不得向第三方提供赞助、捐赠（经批准公益性捐赠除外），不得吸收或变相吸收存款或向第三方提供贷款和资金拆借，不得进行承担无限连带责任的对外投资，不得发行信托或集合理财产品募集资金，不得从事明股实债等变相增加政府债务的业务等，其他以及国家法律法规禁止从事的其他业务。 </w:t>
      </w:r>
    </w:p>
    <w:p w14:paraId="54EA6562">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2.资金托管 </w:t>
      </w:r>
    </w:p>
    <w:p w14:paraId="441A8482">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基金应委托商业银行托管资金，托管银行接受基金委托并签订资金托管协议，按照托管协议开展资产保管、拨付、资金结算、登记基金财产等日常工作，定期报告资金情况；托管银行的选定由全体合伙人会议共同决策，确保基金财产独立性、合规性、专业性与成本效率。</w:t>
      </w:r>
    </w:p>
    <w:p w14:paraId="06E8A32A">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3.信息披露 </w:t>
      </w:r>
    </w:p>
    <w:p w14:paraId="5E3017F9">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投资基金运行期间，基金管理人应当按照《私募投资基金信息披露管理办法》《私募投资基金信息披露内容与格式指引2号》的相关规定进行信息披露外，按季度向合伙人提报基金运营报告、基金投后管理报告、按年度提报基金运作报告、估值报告、经审计的基金财务报告和资金托管报告。 </w:t>
      </w:r>
    </w:p>
    <w:p w14:paraId="44A07710">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4.投后管理 </w:t>
      </w:r>
    </w:p>
    <w:p w14:paraId="77B89867">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基金管理人向被投企业委派董事或监事，对企业重大事项参与决策，被投企业定期向基金提报财务报表，确保投资资金按照投资协议相关要求使用，定期形成投后管理报告。</w:t>
      </w:r>
    </w:p>
    <w:p w14:paraId="1010403C">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黑体" w:hAnsi="黑体" w:eastAsia="黑体" w:cs="黑体"/>
          <w:sz w:val="32"/>
          <w:szCs w:val="32"/>
        </w:rPr>
        <w:t>五、附则</w:t>
      </w:r>
    </w:p>
    <w:p w14:paraId="7697A4CC">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w:t>
      </w:r>
      <w:bookmarkStart w:id="24" w:name="OLE_LINK75"/>
      <w:bookmarkStart w:id="25" w:name="OLE_LINK74"/>
      <w:r>
        <w:rPr>
          <w:rFonts w:hint="eastAsia" w:ascii="仿宋_GB2312" w:hAnsi="仿宋_GB2312" w:eastAsia="仿宋_GB2312" w:cs="仿宋_GB2312"/>
          <w:color w:val="000000"/>
          <w:sz w:val="32"/>
          <w:szCs w:val="32"/>
          <w:shd w:val="clear" w:color="auto" w:fill="FFFFFF"/>
        </w:rPr>
        <w:t>运城财信投资控股有限公司</w:t>
      </w:r>
      <w:bookmarkEnd w:id="24"/>
      <w:bookmarkEnd w:id="25"/>
      <w:r>
        <w:rPr>
          <w:rFonts w:hint="eastAsia" w:ascii="仿宋_GB2312" w:hAnsi="仿宋_GB2312" w:eastAsia="仿宋_GB2312" w:cs="仿宋_GB2312"/>
          <w:color w:val="000000"/>
          <w:sz w:val="32"/>
          <w:szCs w:val="32"/>
          <w:shd w:val="clear" w:color="auto" w:fill="FFFFFF"/>
        </w:rPr>
        <w:t>承诺对接收的报送材料保密，除非该等信息于披露时属于可公开获取的信息或因相关法律规定而必须披露的信息。</w:t>
      </w:r>
    </w:p>
    <w:p w14:paraId="797DAFD0">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（二）运城财信投资控股有限公司对各申报机构提交的申报材料及按要求提供的反馈材料，均不予退回；对未进入下一环节或未中选的申报机构不另行通知。</w:t>
      </w:r>
    </w:p>
    <w:p w14:paraId="520ECA4F">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（三）本申报指南由运城财信投资控股有限公司解释。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1D30">
    <w:pPr>
      <w:pStyle w:val="5"/>
      <w:jc w:val="center"/>
    </w:pPr>
    <w:r>
      <w:fldChar w:fldCharType="begin"/>
    </w:r>
    <w:r>
      <w:instrText xml:space="preserve">PAGE   \* MERGEFORMAT</w:instrText>
    </w:r>
    <w:r>
      <w:fldChar w:fldCharType="separate"/>
    </w:r>
    <w:r>
      <w:rPr>
        <w:lang w:val="zh-CN"/>
      </w:rPr>
      <w:t>7</w:t>
    </w:r>
    <w:r>
      <w:fldChar w:fldCharType="end"/>
    </w:r>
  </w:p>
  <w:p w14:paraId="7AE6295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1431"/>
    <w:rsid w:val="0000784D"/>
    <w:rsid w:val="000E09E8"/>
    <w:rsid w:val="001508FA"/>
    <w:rsid w:val="001E0EF4"/>
    <w:rsid w:val="0028452D"/>
    <w:rsid w:val="002E6817"/>
    <w:rsid w:val="002F638A"/>
    <w:rsid w:val="0039150C"/>
    <w:rsid w:val="00397F6C"/>
    <w:rsid w:val="003C330D"/>
    <w:rsid w:val="00425B2A"/>
    <w:rsid w:val="00484C15"/>
    <w:rsid w:val="004D2B7D"/>
    <w:rsid w:val="00502DF1"/>
    <w:rsid w:val="00517457"/>
    <w:rsid w:val="0055245A"/>
    <w:rsid w:val="00553E71"/>
    <w:rsid w:val="005A5AE3"/>
    <w:rsid w:val="005F21B3"/>
    <w:rsid w:val="006037E2"/>
    <w:rsid w:val="0062012A"/>
    <w:rsid w:val="00626927"/>
    <w:rsid w:val="00644BAC"/>
    <w:rsid w:val="00656637"/>
    <w:rsid w:val="006A7565"/>
    <w:rsid w:val="006E1460"/>
    <w:rsid w:val="00726BF4"/>
    <w:rsid w:val="00742814"/>
    <w:rsid w:val="007B73DA"/>
    <w:rsid w:val="00843B72"/>
    <w:rsid w:val="00907134"/>
    <w:rsid w:val="00972382"/>
    <w:rsid w:val="00B01431"/>
    <w:rsid w:val="00B01FE2"/>
    <w:rsid w:val="00B03D0A"/>
    <w:rsid w:val="00C0661C"/>
    <w:rsid w:val="00C12A16"/>
    <w:rsid w:val="00C81F19"/>
    <w:rsid w:val="00DA4A6E"/>
    <w:rsid w:val="00DB3AC6"/>
    <w:rsid w:val="00DB4F60"/>
    <w:rsid w:val="00E01069"/>
    <w:rsid w:val="00E42731"/>
    <w:rsid w:val="00E53F13"/>
    <w:rsid w:val="00EB135E"/>
    <w:rsid w:val="00EB7D95"/>
    <w:rsid w:val="00F0595D"/>
    <w:rsid w:val="00F20070"/>
    <w:rsid w:val="00F45FA8"/>
    <w:rsid w:val="00F706D6"/>
    <w:rsid w:val="00F74C0C"/>
    <w:rsid w:val="03595144"/>
    <w:rsid w:val="1255782F"/>
    <w:rsid w:val="1A803BF2"/>
    <w:rsid w:val="265510D5"/>
    <w:rsid w:val="2CC822F1"/>
    <w:rsid w:val="40E73EDA"/>
    <w:rsid w:val="466F0041"/>
    <w:rsid w:val="4AFC7622"/>
    <w:rsid w:val="52F52E54"/>
    <w:rsid w:val="653320EF"/>
    <w:rsid w:val="67565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line="560" w:lineRule="exact"/>
      <w:ind w:firstLine="880" w:firstLineChars="200"/>
      <w:jc w:val="center"/>
      <w:outlineLvl w:val="0"/>
    </w:pPr>
    <w:rPr>
      <w:rFonts w:ascii="Times New Roman" w:hAnsi="Times New Roman" w:eastAsia="黑体" w:cs="Times New Roman"/>
      <w:kern w:val="44"/>
    </w:rPr>
  </w:style>
  <w:style w:type="paragraph" w:styleId="3">
    <w:name w:val="heading 2"/>
    <w:basedOn w:val="1"/>
    <w:next w:val="1"/>
    <w:qFormat/>
    <w:uiPriority w:val="0"/>
    <w:pPr>
      <w:keepNext/>
      <w:keepLines/>
      <w:outlineLvl w:val="1"/>
    </w:pPr>
    <w:rPr>
      <w:rFonts w:ascii="Arial" w:hAnsi="Arial" w:eastAsia="黑体"/>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qFormat/>
    <w:uiPriority w:val="0"/>
    <w:rPr>
      <w:rFonts w:ascii="仿宋" w:hAnsi="仿宋" w:eastAsia="仿宋" w:cs="仿宋"/>
      <w:sz w:val="31"/>
      <w:szCs w:val="31"/>
      <w:lang w:eastAsia="en-US"/>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tabs>
        <w:tab w:val="center" w:pos="4153"/>
        <w:tab w:val="right" w:pos="8306"/>
      </w:tabs>
      <w:snapToGrid w:val="0"/>
      <w:jc w:val="center"/>
    </w:pPr>
    <w:rPr>
      <w:sz w:val="18"/>
      <w:szCs w:val="18"/>
    </w:rPr>
  </w:style>
  <w:style w:type="paragraph" w:styleId="7">
    <w:name w:val="HTML Preformatted"/>
    <w:basedOn w:val="1"/>
    <w:link w:val="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正文文本 Char"/>
    <w:basedOn w:val="10"/>
    <w:link w:val="4"/>
    <w:qFormat/>
    <w:uiPriority w:val="0"/>
    <w:rPr>
      <w:rFonts w:ascii="仿宋" w:hAnsi="仿宋" w:eastAsia="仿宋" w:cs="仿宋"/>
      <w:sz w:val="31"/>
      <w:szCs w:val="31"/>
      <w:lang w:eastAsia="en-US"/>
    </w:rPr>
  </w:style>
  <w:style w:type="character" w:customStyle="1" w:styleId="15">
    <w:name w:val="HTML 预设格式 Char"/>
    <w:basedOn w:val="10"/>
    <w:link w:val="7"/>
    <w:qFormat/>
    <w:uiPriority w:val="0"/>
    <w:rPr>
      <w:rFonts w:ascii="宋体" w:hAnsi="宋体" w:eastAsia="宋体" w:cs="宋体"/>
      <w:kern w:val="0"/>
      <w:sz w:val="24"/>
      <w:szCs w:val="24"/>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7">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10</Pages>
  <Words>4058</Words>
  <Characters>4147</Characters>
  <Lines>29</Lines>
  <Paragraphs>8</Paragraphs>
  <TotalTime>5</TotalTime>
  <ScaleCrop>false</ScaleCrop>
  <LinksUpToDate>false</LinksUpToDate>
  <CharactersWithSpaces>4162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2023-09-28T09:15:00Z</dcterms:created>
  <dc:creator>China</dc:creator>
  <cp:lastModifiedBy>七熙</cp:lastModifiedBy>
  <cp:lastPrinted>2025-05-20T01:52:00Z</cp:lastPrinted>
  <dcterms:modified xsi:type="dcterms:W3CDTF">2025-12-23T07:37:04Z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eyJoZGlkIjoiZGYyYjE1NTAzNTFhZGEyOWZiNWEzMTM2ZGQ0MGFjZDQiLCJ1c2VySWQiOiI0NjM1MjcxMjcifQ==</vt:lpwstr>
  </property>
  <property fmtid="{D5CDD505-2E9C-101B-9397-08002B2CF9AE}" pid="3" name="KSOProductBuildVer">
    <vt:lpwstr>2052-12.1.0.19302</vt:lpwstr>
  </property>
  <property fmtid="{D5CDD505-2E9C-101B-9397-08002B2CF9AE}" pid="4" name="ICV">
    <vt:lpwstr>00859B4A05634AFFB2518224F743BF41_12</vt:lpwstr>
  </property>
</Properties>
</file>