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DA8A">
      <w:pPr>
        <w:pStyle w:val="12"/>
        <w:keepNext w:val="0"/>
        <w:keepLines w:val="0"/>
        <w:pageBreakBefore w:val="0"/>
        <w:widowControl w:val="0"/>
        <w:kinsoku w:val="0"/>
        <w:wordWrap/>
        <w:overflowPunct/>
        <w:topLinePunct w:val="0"/>
        <w:autoSpaceDE/>
        <w:autoSpaceDN/>
        <w:bidi w:val="0"/>
        <w:adjustRightInd w:val="0"/>
        <w:snapToGrid w:val="0"/>
        <w:spacing w:after="313" w:afterLines="100" w:line="700" w:lineRule="exact"/>
        <w:textAlignment w:val="auto"/>
        <w:rPr>
          <w:rFonts w:eastAsia="楷体_GB2312" w:cs="Times New Roman"/>
        </w:rPr>
      </w:pPr>
      <w:r>
        <w:rPr>
          <w:rFonts w:hint="eastAsia" w:ascii="方正小标宋简体" w:hAnsi="方正小标宋简体" w:eastAsia="方正小标宋简体" w:cs="方正小标宋简体"/>
        </w:rPr>
        <w:t>信阳市产业引导基金子基金申报指南</w:t>
      </w:r>
    </w:p>
    <w:p w14:paraId="7B2BBADE">
      <w:pPr>
        <w:keepNext w:val="0"/>
        <w:keepLines w:val="0"/>
        <w:pageBreakBefore w:val="0"/>
        <w:widowControl w:val="0"/>
        <w:kinsoku/>
        <w:wordWrap/>
        <w:overflowPunct/>
        <w:topLinePunct w:val="0"/>
        <w:autoSpaceDN/>
        <w:bidi w:val="0"/>
        <w:adjustRightInd w:val="0"/>
        <w:snapToGrid w:val="0"/>
        <w:textAlignment w:val="auto"/>
        <w:rPr>
          <w:rFonts w:cs="Times New Roman"/>
        </w:rPr>
      </w:pPr>
      <w:r>
        <w:rPr>
          <w:rFonts w:cs="Times New Roman"/>
        </w:rPr>
        <w:t>为贯彻</w:t>
      </w:r>
      <w:r>
        <w:rPr>
          <w:rFonts w:hint="eastAsia" w:cs="Times New Roman"/>
        </w:rPr>
        <w:t>信阳</w:t>
      </w:r>
      <w:r>
        <w:rPr>
          <w:rFonts w:cs="Times New Roman"/>
        </w:rPr>
        <w:t>市委、市政府相关工作部署，发挥</w:t>
      </w:r>
      <w:r>
        <w:rPr>
          <w:rFonts w:hint="eastAsia" w:cs="Times New Roman"/>
        </w:rPr>
        <w:t>基金</w:t>
      </w:r>
      <w:r>
        <w:rPr>
          <w:rFonts w:cs="Times New Roman"/>
        </w:rPr>
        <w:t>的产业引导、</w:t>
      </w:r>
      <w:r>
        <w:rPr>
          <w:rFonts w:hint="eastAsia" w:cs="Times New Roman"/>
        </w:rPr>
        <w:t>资本引领</w:t>
      </w:r>
      <w:r>
        <w:rPr>
          <w:rFonts w:cs="Times New Roman"/>
        </w:rPr>
        <w:t>作用，做好</w:t>
      </w:r>
      <w:r>
        <w:rPr>
          <w:rFonts w:hint="eastAsia" w:cs="Times New Roman"/>
        </w:rPr>
        <w:t>信阳市产业引导基金</w:t>
      </w:r>
      <w:r>
        <w:rPr>
          <w:rFonts w:cs="Times New Roman"/>
        </w:rPr>
        <w:t>（简称</w:t>
      </w:r>
      <w:r>
        <w:rPr>
          <w:rFonts w:hint="eastAsia" w:cs="Times New Roman"/>
          <w:lang w:eastAsia="zh-CN"/>
        </w:rPr>
        <w:t>“</w:t>
      </w:r>
      <w:r>
        <w:rPr>
          <w:rFonts w:hint="eastAsia" w:cs="Times New Roman"/>
        </w:rPr>
        <w:t>引导</w:t>
      </w:r>
      <w:r>
        <w:rPr>
          <w:rFonts w:cs="Times New Roman"/>
        </w:rPr>
        <w:t>基金</w:t>
      </w:r>
      <w:r>
        <w:rPr>
          <w:rFonts w:hint="eastAsia" w:cs="Times New Roman"/>
          <w:lang w:eastAsia="zh-CN"/>
        </w:rPr>
        <w:t>”</w:t>
      </w:r>
      <w:r>
        <w:rPr>
          <w:rFonts w:cs="Times New Roman"/>
        </w:rPr>
        <w:t>）</w:t>
      </w:r>
      <w:r>
        <w:rPr>
          <w:rFonts w:hint="eastAsia" w:cs="Times New Roman"/>
          <w:lang w:val="en-US" w:eastAsia="zh-CN"/>
        </w:rPr>
        <w:t>子基金</w:t>
      </w:r>
      <w:r>
        <w:rPr>
          <w:rFonts w:cs="Times New Roman"/>
        </w:rPr>
        <w:t>申报工作</w:t>
      </w:r>
      <w:r>
        <w:rPr>
          <w:rFonts w:hint="eastAsia" w:cs="Times New Roman"/>
          <w:lang w:eastAsia="zh-CN"/>
        </w:rPr>
        <w:t>，</w:t>
      </w:r>
      <w:r>
        <w:rPr>
          <w:rFonts w:cs="Times New Roman"/>
        </w:rPr>
        <w:t>根据</w:t>
      </w:r>
      <w:r>
        <w:rPr>
          <w:rFonts w:hint="eastAsia" w:cs="Times New Roman"/>
        </w:rPr>
        <w:t>相关</w:t>
      </w:r>
      <w:r>
        <w:rPr>
          <w:rFonts w:cs="Times New Roman"/>
        </w:rPr>
        <w:t>文件要求，现制定</w:t>
      </w:r>
      <w:r>
        <w:rPr>
          <w:rFonts w:hint="eastAsia" w:cs="Times New Roman"/>
        </w:rPr>
        <w:t>引导基金</w:t>
      </w:r>
      <w:r>
        <w:rPr>
          <w:rFonts w:cs="Times New Roman"/>
        </w:rPr>
        <w:t>子基金申报指南。</w:t>
      </w:r>
    </w:p>
    <w:p w14:paraId="57ACD593">
      <w:pPr>
        <w:pStyle w:val="2"/>
        <w:keepNext w:val="0"/>
        <w:keepLines w:val="0"/>
        <w:pageBreakBefore w:val="0"/>
        <w:widowControl w:val="0"/>
        <w:wordWrap/>
        <w:overflowPunct/>
        <w:topLinePunct w:val="0"/>
        <w:autoSpaceDN/>
        <w:bidi w:val="0"/>
        <w:adjustRightInd w:val="0"/>
        <w:snapToGrid w:val="0"/>
        <w:ind w:firstLine="640"/>
        <w:textAlignment w:val="auto"/>
        <w:rPr>
          <w:rFonts w:cs="Times New Roman"/>
        </w:rPr>
      </w:pPr>
      <w:r>
        <w:rPr>
          <w:rFonts w:cs="Times New Roman"/>
        </w:rPr>
        <w:t>一、</w:t>
      </w:r>
      <w:bookmarkStart w:id="0" w:name="_Hlk192777334"/>
      <w:r>
        <w:rPr>
          <w:rFonts w:cs="Times New Roman"/>
        </w:rPr>
        <w:t>子基金管理机构</w:t>
      </w:r>
      <w:bookmarkEnd w:id="0"/>
      <w:r>
        <w:rPr>
          <w:rFonts w:cs="Times New Roman"/>
        </w:rPr>
        <w:t>申报要求</w:t>
      </w:r>
    </w:p>
    <w:p w14:paraId="1C8A5D38">
      <w:pPr>
        <w:keepNext w:val="0"/>
        <w:keepLines w:val="0"/>
        <w:pageBreakBefore w:val="0"/>
        <w:widowControl w:val="0"/>
        <w:kinsoku/>
        <w:wordWrap/>
        <w:overflowPunct/>
        <w:topLinePunct w:val="0"/>
        <w:autoSpaceDN/>
        <w:bidi w:val="0"/>
        <w:adjustRightInd w:val="0"/>
        <w:snapToGrid w:val="0"/>
        <w:textAlignment w:val="auto"/>
        <w:rPr>
          <w:rFonts w:cs="Times New Roman"/>
          <w:b/>
          <w:bCs/>
          <w:shd w:val="clear" w:color="auto" w:fill="FFFFFF"/>
        </w:rPr>
      </w:pPr>
      <w:r>
        <w:rPr>
          <w:rFonts w:cs="Times New Roman"/>
          <w:shd w:val="clear" w:color="auto" w:fill="FFFFFF"/>
        </w:rPr>
        <w:t>本申报指南中所称的子基金是指申请</w:t>
      </w:r>
      <w:r>
        <w:rPr>
          <w:rFonts w:hint="eastAsia" w:cs="Times New Roman"/>
          <w:shd w:val="clear" w:color="auto" w:fill="FFFFFF"/>
        </w:rPr>
        <w:t>引导基金</w:t>
      </w:r>
      <w:r>
        <w:rPr>
          <w:rFonts w:cs="Times New Roman"/>
          <w:shd w:val="clear" w:color="auto" w:fill="FFFFFF"/>
        </w:rPr>
        <w:t>出资参与的基金，</w:t>
      </w:r>
      <w:bookmarkStart w:id="1" w:name="OLE_LINK19"/>
      <w:r>
        <w:rPr>
          <w:rFonts w:cs="Times New Roman"/>
          <w:shd w:val="clear" w:color="auto" w:fill="FFFFFF"/>
        </w:rPr>
        <w:t>申报主体应为拟（已）设子基金的管理人</w:t>
      </w:r>
      <w:bookmarkEnd w:id="1"/>
      <w:r>
        <w:rPr>
          <w:rFonts w:cs="Times New Roman"/>
          <w:shd w:val="clear" w:color="auto" w:fill="FFFFFF"/>
        </w:rPr>
        <w:t>。</w:t>
      </w:r>
      <w:r>
        <w:rPr>
          <w:rFonts w:cs="Times New Roman"/>
          <w:b/>
          <w:bCs/>
          <w:shd w:val="clear" w:color="auto" w:fill="FFFFFF"/>
        </w:rPr>
        <w:t>申报主体应逐项对照下列基本要求进行自查，并按附件清单及格式要求提供相应证明材料。</w:t>
      </w:r>
    </w:p>
    <w:p w14:paraId="0326E7A4">
      <w:pPr>
        <w:pStyle w:val="3"/>
        <w:keepNext w:val="0"/>
        <w:keepLines w:val="0"/>
        <w:pageBreakBefore w:val="0"/>
        <w:widowControl w:val="0"/>
        <w:wordWrap/>
        <w:overflowPunct/>
        <w:topLinePunct w:val="0"/>
        <w:autoSpaceDN/>
        <w:bidi w:val="0"/>
        <w:adjustRightInd w:val="0"/>
        <w:snapToGrid w:val="0"/>
        <w:textAlignment w:val="auto"/>
      </w:pPr>
      <w:r>
        <w:t>（一）基本要求</w:t>
      </w:r>
    </w:p>
    <w:p w14:paraId="0D0BBFD0">
      <w:pPr>
        <w:keepNext w:val="0"/>
        <w:keepLines w:val="0"/>
        <w:pageBreakBefore w:val="0"/>
        <w:widowControl w:val="0"/>
        <w:kinsoku/>
        <w:wordWrap/>
        <w:overflowPunct/>
        <w:topLinePunct w:val="0"/>
        <w:autoSpaceDN/>
        <w:bidi w:val="0"/>
        <w:adjustRightInd w:val="0"/>
        <w:snapToGrid w:val="0"/>
        <w:textAlignment w:val="auto"/>
        <w:rPr>
          <w:rFonts w:cs="Times New Roman"/>
          <w:shd w:val="clear" w:color="auto" w:fill="FFFFFF"/>
        </w:rPr>
      </w:pPr>
      <w:r>
        <w:rPr>
          <w:rFonts w:cs="Times New Roman"/>
          <w:shd w:val="clear" w:color="auto" w:fill="FFFFFF"/>
        </w:rPr>
        <w:t>1.已在中国证券投资基金业协会完成登记；未被中国证券投资基金业协会列为异常机构且</w:t>
      </w:r>
      <w:bookmarkStart w:id="2" w:name="OLE_LINK10"/>
      <w:r>
        <w:rPr>
          <w:rFonts w:cs="Times New Roman"/>
          <w:shd w:val="clear" w:color="auto" w:fill="FFFFFF"/>
        </w:rPr>
        <w:t>不存在不良诚信记录等情形</w:t>
      </w:r>
      <w:bookmarkEnd w:id="2"/>
      <w:r>
        <w:rPr>
          <w:rFonts w:cs="Times New Roman"/>
          <w:shd w:val="clear" w:color="auto" w:fill="FFFFFF"/>
        </w:rPr>
        <w:t>；</w:t>
      </w:r>
      <w:bookmarkStart w:id="3" w:name="_Hlk193740892"/>
      <w:r>
        <w:rPr>
          <w:rFonts w:hint="eastAsia" w:cs="Times New Roman"/>
          <w:shd w:val="clear" w:color="auto" w:fill="FFFFFF"/>
        </w:rPr>
        <w:t>子基金</w:t>
      </w:r>
      <w:bookmarkEnd w:id="3"/>
      <w:r>
        <w:rPr>
          <w:rFonts w:hint="eastAsia" w:cs="Times New Roman"/>
          <w:shd w:val="clear" w:color="auto" w:fill="FFFFFF"/>
        </w:rPr>
        <w:t>管理机构及其高级管理人员无重大过失、违法违纪行为，无受到行政主管机关或司法机关有关处罚影响基金正常运营的不良记录。</w:t>
      </w:r>
    </w:p>
    <w:p w14:paraId="16CA4926">
      <w:pPr>
        <w:keepNext w:val="0"/>
        <w:keepLines w:val="0"/>
        <w:pageBreakBefore w:val="0"/>
        <w:widowControl w:val="0"/>
        <w:kinsoku/>
        <w:wordWrap/>
        <w:overflowPunct/>
        <w:topLinePunct w:val="0"/>
        <w:autoSpaceDN/>
        <w:bidi w:val="0"/>
        <w:adjustRightInd w:val="0"/>
        <w:snapToGrid w:val="0"/>
        <w:textAlignment w:val="auto"/>
        <w:rPr>
          <w:rFonts w:cs="Times New Roman"/>
          <w:shd w:val="clear" w:color="auto" w:fill="FFFFFF"/>
        </w:rPr>
      </w:pPr>
      <w:r>
        <w:rPr>
          <w:rFonts w:cs="Times New Roman"/>
          <w:shd w:val="clear" w:color="auto" w:fill="FFFFFF"/>
        </w:rPr>
        <w:t>2.实缴注册资本不低于1000万元人民币（或等值货币）</w:t>
      </w:r>
      <w:r>
        <w:rPr>
          <w:rFonts w:hint="eastAsia" w:cs="Times New Roman"/>
          <w:shd w:val="clear" w:color="auto" w:fill="FFFFFF"/>
        </w:rPr>
        <w:t>(根据中国证券投资基金业协会要求动态调整实缴出资门槛)</w:t>
      </w:r>
      <w:r>
        <w:rPr>
          <w:rFonts w:cs="Times New Roman"/>
          <w:shd w:val="clear" w:color="auto" w:fill="FFFFFF"/>
        </w:rPr>
        <w:t>。</w:t>
      </w:r>
    </w:p>
    <w:p w14:paraId="69650308">
      <w:pPr>
        <w:keepNext w:val="0"/>
        <w:keepLines w:val="0"/>
        <w:pageBreakBefore w:val="0"/>
        <w:widowControl w:val="0"/>
        <w:kinsoku/>
        <w:wordWrap/>
        <w:overflowPunct/>
        <w:topLinePunct w:val="0"/>
        <w:autoSpaceDN/>
        <w:bidi w:val="0"/>
        <w:adjustRightInd w:val="0"/>
        <w:snapToGrid w:val="0"/>
        <w:textAlignment w:val="auto"/>
        <w:rPr>
          <w:rFonts w:cs="Times New Roman"/>
          <w:shd w:val="clear" w:color="auto" w:fill="FFFFFF"/>
        </w:rPr>
      </w:pPr>
      <w:r>
        <w:rPr>
          <w:rFonts w:cs="Times New Roman"/>
          <w:shd w:val="clear" w:color="auto" w:fill="FFFFFF"/>
        </w:rPr>
        <w:t>3.具有完善的公司治理结构、管理制度、决策流程和内控机制；如同时管理相同领域、地域及阶段的其他基金，应当建立关联交易和利益冲突的防范和化解机制并向基金出资人如实披露。</w:t>
      </w:r>
    </w:p>
    <w:p w14:paraId="6332471C">
      <w:pPr>
        <w:keepNext w:val="0"/>
        <w:keepLines w:val="0"/>
        <w:pageBreakBefore w:val="0"/>
        <w:widowControl w:val="0"/>
        <w:kinsoku/>
        <w:wordWrap/>
        <w:overflowPunct/>
        <w:topLinePunct w:val="0"/>
        <w:autoSpaceDN/>
        <w:bidi w:val="0"/>
        <w:adjustRightInd w:val="0"/>
        <w:snapToGrid w:val="0"/>
        <w:textAlignment w:val="auto"/>
        <w:rPr>
          <w:rFonts w:cs="Times New Roman"/>
          <w:lang w:bidi="ar"/>
        </w:rPr>
      </w:pPr>
      <w:r>
        <w:rPr>
          <w:rFonts w:cs="Times New Roman"/>
          <w:lang w:bidi="ar"/>
        </w:rPr>
        <w:t>4.</w:t>
      </w:r>
      <w:bookmarkStart w:id="4" w:name="OLE_LINK13"/>
      <w:r>
        <w:rPr>
          <w:rFonts w:cs="Times New Roman"/>
          <w:lang w:bidi="ar"/>
        </w:rPr>
        <w:t>子基金</w:t>
      </w:r>
      <w:bookmarkEnd w:id="4"/>
      <w:r>
        <w:rPr>
          <w:rFonts w:cs="Times New Roman"/>
          <w:lang w:bidi="ar"/>
        </w:rPr>
        <w:t>管理团队至少有3名具备5年以上</w:t>
      </w:r>
      <w:r>
        <w:rPr>
          <w:rFonts w:hint="eastAsia" w:cs="Times New Roman"/>
          <w:lang w:bidi="ar"/>
        </w:rPr>
        <w:t>股权投资或基金管理行业从业</w:t>
      </w:r>
      <w:r>
        <w:rPr>
          <w:rFonts w:cs="Times New Roman"/>
          <w:lang w:bidi="ar"/>
        </w:rPr>
        <w:t>经验的专职高级管理人员，高级管理人员是指在子基金管理机构担任总监（部门负责人）及以上职务或相当职务的管理人员</w:t>
      </w:r>
      <w:r>
        <w:rPr>
          <w:rFonts w:hint="eastAsia" w:cs="Times New Roman"/>
          <w:lang w:bidi="ar"/>
        </w:rPr>
        <w:t>（下同）</w:t>
      </w:r>
      <w:r>
        <w:rPr>
          <w:rFonts w:cs="Times New Roman"/>
          <w:lang w:bidi="ar"/>
        </w:rPr>
        <w:t>。</w:t>
      </w:r>
    </w:p>
    <w:p w14:paraId="1ADEEB05">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5.</w:t>
      </w:r>
      <w:r>
        <w:rPr>
          <w:rFonts w:hint="eastAsia" w:cs="Times New Roman"/>
          <w:lang w:bidi="ar"/>
        </w:rPr>
        <w:t>具有与本次申报方案相匹配的投资管理经验和优质项目储备，应满足以下条件：</w:t>
      </w:r>
    </w:p>
    <w:p w14:paraId="74EADD3B">
      <w:pPr>
        <w:keepNext w:val="0"/>
        <w:keepLines w:val="0"/>
        <w:pageBreakBefore w:val="0"/>
        <w:widowControl w:val="0"/>
        <w:wordWrap/>
        <w:overflowPunct/>
        <w:topLinePunct w:val="0"/>
        <w:autoSpaceDN/>
        <w:bidi w:val="0"/>
        <w:adjustRightInd w:val="0"/>
        <w:snapToGrid w:val="0"/>
        <w:textAlignment w:val="auto"/>
        <w:rPr>
          <w:rFonts w:cs="Times New Roman"/>
          <w:lang w:bidi="ar"/>
        </w:rPr>
      </w:pPr>
      <w:bookmarkStart w:id="5" w:name="OLE_LINK14"/>
      <w:r>
        <w:rPr>
          <w:rFonts w:hint="eastAsia" w:cs="Times New Roman"/>
          <w:lang w:bidi="ar"/>
        </w:rPr>
        <w:t>（</w:t>
      </w:r>
      <w:r>
        <w:rPr>
          <w:rFonts w:cs="Times New Roman"/>
          <w:lang w:bidi="ar"/>
        </w:rPr>
        <w:t>1</w:t>
      </w:r>
      <w:r>
        <w:rPr>
          <w:rFonts w:hint="eastAsia" w:cs="Times New Roman"/>
          <w:lang w:bidi="ar"/>
        </w:rPr>
        <w:t>）管理经验</w:t>
      </w:r>
    </w:p>
    <w:p w14:paraId="71360609">
      <w:pPr>
        <w:keepNext w:val="0"/>
        <w:keepLines w:val="0"/>
        <w:pageBreakBefore w:val="0"/>
        <w:widowControl w:val="0"/>
        <w:wordWrap/>
        <w:overflowPunct/>
        <w:topLinePunct w:val="0"/>
        <w:autoSpaceDN/>
        <w:bidi w:val="0"/>
        <w:adjustRightInd w:val="0"/>
        <w:snapToGrid w:val="0"/>
        <w:textAlignment w:val="auto"/>
        <w:rPr>
          <w:rFonts w:cs="Times New Roman"/>
          <w:lang w:bidi="ar"/>
        </w:rPr>
      </w:pPr>
      <w:bookmarkStart w:id="6" w:name="_Hlk193741120"/>
      <w:r>
        <w:rPr>
          <w:rFonts w:hint="eastAsia" w:cs="Times New Roman"/>
          <w:lang w:bidi="ar"/>
        </w:rPr>
        <w:t>子基金管理机构或管理团队最近</w:t>
      </w:r>
      <w:r>
        <w:rPr>
          <w:rFonts w:cs="Times New Roman"/>
          <w:lang w:bidi="ar"/>
        </w:rPr>
        <w:t>3</w:t>
      </w:r>
      <w:r>
        <w:rPr>
          <w:rFonts w:hint="eastAsia" w:cs="Times New Roman"/>
          <w:lang w:bidi="ar"/>
        </w:rPr>
        <w:t>年受托管理的基金实缴资金总额或参与管理的已实缴投资的项目资金总额（同一项目的不重复计算）不低于</w:t>
      </w:r>
      <w:r>
        <w:rPr>
          <w:rFonts w:cs="Times New Roman"/>
          <w:lang w:bidi="ar"/>
        </w:rPr>
        <w:t>5</w:t>
      </w:r>
      <w:r>
        <w:rPr>
          <w:rFonts w:hint="eastAsia" w:cs="Times New Roman"/>
          <w:lang w:bidi="ar"/>
        </w:rPr>
        <w:t>亿元人民币</w:t>
      </w:r>
      <w:bookmarkEnd w:id="6"/>
      <w:r>
        <w:rPr>
          <w:rFonts w:hint="eastAsia" w:cs="Times New Roman"/>
          <w:lang w:bidi="ar"/>
        </w:rPr>
        <w:t>。</w:t>
      </w:r>
    </w:p>
    <w:bookmarkEnd w:id="5"/>
    <w:p w14:paraId="40926CCC">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hint="eastAsia" w:cs="Times New Roman"/>
          <w:lang w:bidi="ar"/>
        </w:rPr>
        <w:t>（</w:t>
      </w:r>
      <w:r>
        <w:rPr>
          <w:rFonts w:cs="Times New Roman"/>
          <w:lang w:bidi="ar"/>
        </w:rPr>
        <w:t>2</w:t>
      </w:r>
      <w:r>
        <w:rPr>
          <w:rFonts w:hint="eastAsia" w:cs="Times New Roman"/>
          <w:lang w:bidi="ar"/>
        </w:rPr>
        <w:t>）投资经验</w:t>
      </w:r>
    </w:p>
    <w:p w14:paraId="4C64ACBE">
      <w:pPr>
        <w:keepNext w:val="0"/>
        <w:keepLines w:val="0"/>
        <w:pageBreakBefore w:val="0"/>
        <w:widowControl w:val="0"/>
        <w:wordWrap/>
        <w:overflowPunct/>
        <w:topLinePunct w:val="0"/>
        <w:autoSpaceDN/>
        <w:bidi w:val="0"/>
        <w:adjustRightInd w:val="0"/>
        <w:snapToGrid w:val="0"/>
        <w:textAlignment w:val="auto"/>
        <w:rPr>
          <w:rFonts w:cs="Times New Roman"/>
          <w:lang w:bidi="ar"/>
        </w:rPr>
      </w:pPr>
      <w:bookmarkStart w:id="7" w:name="_Hlk193741261"/>
      <w:r>
        <w:rPr>
          <w:rFonts w:hint="eastAsia" w:cs="Times New Roman"/>
          <w:lang w:bidi="ar"/>
        </w:rPr>
        <w:t>子基金管理机构或管理团队至少累计主导过</w:t>
      </w:r>
      <w:r>
        <w:rPr>
          <w:rFonts w:cs="Times New Roman"/>
          <w:lang w:bidi="ar"/>
        </w:rPr>
        <w:t>3</w:t>
      </w:r>
      <w:r>
        <w:rPr>
          <w:rFonts w:hint="eastAsia" w:cs="Times New Roman"/>
          <w:lang w:bidi="ar"/>
        </w:rPr>
        <w:t>个以上股权投资成功案例。</w:t>
      </w:r>
      <w:bookmarkEnd w:id="7"/>
    </w:p>
    <w:p w14:paraId="4D43DEAC">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hint="eastAsia" w:cs="Times New Roman"/>
          <w:lang w:bidi="ar"/>
        </w:rPr>
        <w:t>股权投资成功案例需满足以下任一要求：</w:t>
      </w:r>
    </w:p>
    <w:p w14:paraId="3FC24AAB">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A.</w:t>
      </w:r>
      <w:r>
        <w:rPr>
          <w:rFonts w:hint="eastAsia" w:cs="Times New Roman"/>
          <w:lang w:bidi="ar"/>
        </w:rPr>
        <w:t>实现以现金方式退出部分或全部股权，且该退出部分股权年化收益率超过</w:t>
      </w:r>
      <w:r>
        <w:rPr>
          <w:rFonts w:cs="Times New Roman"/>
          <w:lang w:bidi="ar"/>
        </w:rPr>
        <w:t>10%</w:t>
      </w:r>
      <w:r>
        <w:rPr>
          <w:rFonts w:hint="eastAsia" w:cs="Times New Roman"/>
          <w:lang w:bidi="ar"/>
        </w:rPr>
        <w:t>；</w:t>
      </w:r>
    </w:p>
    <w:p w14:paraId="1BB76853">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B.</w:t>
      </w:r>
      <w:r>
        <w:rPr>
          <w:rFonts w:hint="eastAsia" w:cs="Times New Roman"/>
          <w:lang w:bidi="ar"/>
        </w:rPr>
        <w:t>项目暂未退出，但根据最新一轮非关联机构投资人投资估值测算，已实现账面浮盈</w:t>
      </w:r>
      <w:r>
        <w:rPr>
          <w:rFonts w:cs="Times New Roman"/>
          <w:lang w:bidi="ar"/>
        </w:rPr>
        <w:t>80%</w:t>
      </w:r>
      <w:r>
        <w:rPr>
          <w:rFonts w:hint="eastAsia" w:cs="Times New Roman"/>
          <w:lang w:bidi="ar"/>
        </w:rPr>
        <w:t>以上；</w:t>
      </w:r>
    </w:p>
    <w:p w14:paraId="662A08B3">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C.</w:t>
      </w:r>
      <w:r>
        <w:rPr>
          <w:rFonts w:hint="eastAsia" w:cs="Times New Roman"/>
          <w:lang w:bidi="ar"/>
        </w:rPr>
        <w:t>项目已成功上市（含被上市公司并购）。</w:t>
      </w:r>
    </w:p>
    <w:p w14:paraId="759C9EFB">
      <w:pPr>
        <w:keepNext w:val="0"/>
        <w:keepLines w:val="0"/>
        <w:pageBreakBefore w:val="0"/>
        <w:widowControl w:val="0"/>
        <w:kinsoku/>
        <w:wordWrap/>
        <w:overflowPunct/>
        <w:topLinePunct w:val="0"/>
        <w:autoSpaceDN/>
        <w:bidi w:val="0"/>
        <w:adjustRightInd w:val="0"/>
        <w:snapToGrid w:val="0"/>
        <w:textAlignment w:val="auto"/>
        <w:rPr>
          <w:rFonts w:cs="Times New Roman"/>
        </w:rPr>
      </w:pPr>
      <w:r>
        <w:rPr>
          <w:rFonts w:cs="Times New Roman"/>
        </w:rPr>
        <w:t>（3）项目储备</w:t>
      </w:r>
    </w:p>
    <w:p w14:paraId="148BE8DD">
      <w:pPr>
        <w:keepNext w:val="0"/>
        <w:keepLines w:val="0"/>
        <w:pageBreakBefore w:val="0"/>
        <w:widowControl w:val="0"/>
        <w:kinsoku/>
        <w:wordWrap/>
        <w:overflowPunct/>
        <w:topLinePunct w:val="0"/>
        <w:autoSpaceDN/>
        <w:bidi w:val="0"/>
        <w:adjustRightInd w:val="0"/>
        <w:snapToGrid w:val="0"/>
        <w:textAlignment w:val="auto"/>
        <w:rPr>
          <w:rFonts w:cs="Times New Roman"/>
        </w:rPr>
      </w:pPr>
      <w:r>
        <w:rPr>
          <w:rFonts w:cs="Times New Roman"/>
        </w:rPr>
        <w:t>子基金管理机构应提供</w:t>
      </w:r>
      <w:r>
        <w:rPr>
          <w:rFonts w:hint="eastAsia" w:cs="Times New Roman"/>
        </w:rPr>
        <w:t>条件成熟的</w:t>
      </w:r>
      <w:r>
        <w:rPr>
          <w:rFonts w:cs="Times New Roman"/>
        </w:rPr>
        <w:t>项目储备清单。</w:t>
      </w:r>
    </w:p>
    <w:p w14:paraId="56712C7E">
      <w:pPr>
        <w:keepNext w:val="0"/>
        <w:keepLines w:val="0"/>
        <w:pageBreakBefore w:val="0"/>
        <w:widowControl w:val="0"/>
        <w:kinsoku/>
        <w:wordWrap/>
        <w:overflowPunct/>
        <w:topLinePunct w:val="0"/>
        <w:autoSpaceDN/>
        <w:bidi w:val="0"/>
        <w:adjustRightInd w:val="0"/>
        <w:snapToGrid w:val="0"/>
        <w:textAlignment w:val="auto"/>
        <w:rPr>
          <w:rFonts w:cs="Times New Roman"/>
          <w:lang w:bidi="ar"/>
        </w:rPr>
      </w:pPr>
      <w:r>
        <w:rPr>
          <w:rFonts w:cs="Times New Roman"/>
          <w:lang w:bidi="ar"/>
        </w:rPr>
        <w:t>6.能够为被投企业提供融资、订单、辅导、产业扶持、场景、管理咨询、人才引进等增值服务，并满足以下条件：</w:t>
      </w:r>
    </w:p>
    <w:p w14:paraId="4EC4BF2E">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（1）提供不低于</w:t>
      </w:r>
      <w:r>
        <w:rPr>
          <w:rFonts w:hint="eastAsia" w:cs="Times New Roman"/>
          <w:lang w:val="en-US" w:eastAsia="zh-CN" w:bidi="ar"/>
        </w:rPr>
        <w:t>2</w:t>
      </w:r>
      <w:r>
        <w:rPr>
          <w:rFonts w:cs="Times New Roman"/>
          <w:lang w:bidi="ar"/>
        </w:rPr>
        <w:t>个增值服务的过往案例；</w:t>
      </w:r>
    </w:p>
    <w:p w14:paraId="6CE726A5">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（2）</w:t>
      </w:r>
      <w:bookmarkStart w:id="8" w:name="OLE_LINK20"/>
      <w:r>
        <w:rPr>
          <w:rFonts w:hint="eastAsia" w:cs="Times New Roman"/>
          <w:lang w:bidi="ar"/>
        </w:rPr>
        <w:t>增值服务与</w:t>
      </w:r>
      <w:r>
        <w:rPr>
          <w:rFonts w:cs="Times New Roman"/>
          <w:lang w:bidi="ar"/>
        </w:rPr>
        <w:t>本只子基金</w:t>
      </w:r>
      <w:r>
        <w:rPr>
          <w:rFonts w:hint="eastAsia" w:cs="Times New Roman"/>
          <w:lang w:bidi="ar"/>
        </w:rPr>
        <w:t>申报投资领域</w:t>
      </w:r>
      <w:r>
        <w:rPr>
          <w:rFonts w:cs="Times New Roman"/>
          <w:lang w:bidi="ar"/>
        </w:rPr>
        <w:t>相关</w:t>
      </w:r>
      <w:bookmarkEnd w:id="8"/>
      <w:r>
        <w:rPr>
          <w:rFonts w:cs="Times New Roman"/>
          <w:lang w:bidi="ar"/>
        </w:rPr>
        <w:t>。</w:t>
      </w:r>
    </w:p>
    <w:p w14:paraId="36D8607A">
      <w:pPr>
        <w:keepNext w:val="0"/>
        <w:keepLines w:val="0"/>
        <w:pageBreakBefore w:val="0"/>
        <w:widowControl w:val="0"/>
        <w:kinsoku/>
        <w:wordWrap/>
        <w:overflowPunct/>
        <w:topLinePunct w:val="0"/>
        <w:autoSpaceDN/>
        <w:bidi w:val="0"/>
        <w:adjustRightInd w:val="0"/>
        <w:snapToGrid w:val="0"/>
        <w:textAlignment w:val="auto"/>
        <w:rPr>
          <w:rFonts w:hint="eastAsia" w:eastAsia="仿宋_GB2312" w:cs="Times New Roman"/>
          <w:lang w:eastAsia="zh-CN" w:bidi="ar"/>
        </w:rPr>
      </w:pPr>
      <w:r>
        <w:rPr>
          <w:rFonts w:cs="Times New Roman"/>
          <w:lang w:bidi="ar"/>
        </w:rPr>
        <w:t>7.具备较强的产业研究能力及成果、产业战略咨询能力、产业及上下游资源导入整合能力</w:t>
      </w:r>
      <w:r>
        <w:rPr>
          <w:rFonts w:hint="eastAsia" w:cs="Times New Roman"/>
          <w:lang w:eastAsia="zh-CN" w:bidi="ar"/>
        </w:rPr>
        <w:t>，</w:t>
      </w:r>
      <w:r>
        <w:rPr>
          <w:rFonts w:hint="eastAsia" w:cs="Times New Roman"/>
          <w:lang w:val="en-US" w:eastAsia="zh-CN" w:bidi="ar"/>
        </w:rPr>
        <w:t>能够</w:t>
      </w:r>
      <w:r>
        <w:rPr>
          <w:rFonts w:hint="eastAsia" w:cs="Times New Roman"/>
          <w:lang w:eastAsia="zh-CN" w:bidi="ar"/>
        </w:rPr>
        <w:t>提供主要投资方向相关产业过往研究报告或具有资源导入能力的案例。</w:t>
      </w:r>
    </w:p>
    <w:p w14:paraId="7F57BCEC">
      <w:pPr>
        <w:pStyle w:val="3"/>
        <w:keepNext w:val="0"/>
        <w:keepLines w:val="0"/>
        <w:pageBreakBefore w:val="0"/>
        <w:widowControl w:val="0"/>
        <w:wordWrap/>
        <w:overflowPunct/>
        <w:topLinePunct w:val="0"/>
        <w:autoSpaceDN/>
        <w:bidi w:val="0"/>
        <w:adjustRightInd w:val="0"/>
        <w:snapToGrid w:val="0"/>
        <w:textAlignment w:val="auto"/>
      </w:pPr>
      <w:r>
        <w:t>（二）管理要求</w:t>
      </w:r>
    </w:p>
    <w:p w14:paraId="63F7A391">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1.团队配备要求</w:t>
      </w:r>
    </w:p>
    <w:p w14:paraId="3EDDFFE2">
      <w:pPr>
        <w:pStyle w:val="14"/>
        <w:keepNext w:val="0"/>
        <w:keepLines w:val="0"/>
        <w:pageBreakBefore w:val="0"/>
        <w:widowControl w:val="0"/>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管理机构</w:t>
      </w:r>
      <w:r>
        <w:rPr>
          <w:rFonts w:cs="Times New Roman"/>
          <w:lang w:bidi="ar"/>
        </w:rPr>
        <w:t>根据子基金规模和业务需要配备合理的管理和投资人员。</w:t>
      </w:r>
    </w:p>
    <w:p w14:paraId="6CAA23CF">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2.</w:t>
      </w:r>
      <w:r>
        <w:rPr>
          <w:rFonts w:hint="eastAsia"/>
        </w:rPr>
        <w:t xml:space="preserve"> </w:t>
      </w:r>
      <w:r>
        <w:rPr>
          <w:rFonts w:hint="eastAsia" w:cs="Times New Roman"/>
          <w:lang w:bidi="ar"/>
        </w:rPr>
        <w:t>利益冲突及管理精力</w:t>
      </w:r>
      <w:r>
        <w:rPr>
          <w:rFonts w:cs="Times New Roman"/>
          <w:lang w:bidi="ar"/>
        </w:rPr>
        <w:t>要求</w:t>
      </w:r>
    </w:p>
    <w:p w14:paraId="562C9B48">
      <w:pPr>
        <w:keepNext w:val="0"/>
        <w:keepLines w:val="0"/>
        <w:pageBreakBefore w:val="0"/>
        <w:widowControl w:val="0"/>
        <w:wordWrap/>
        <w:overflowPunct/>
        <w:topLinePunct w:val="0"/>
        <w:autoSpaceDN/>
        <w:bidi w:val="0"/>
        <w:adjustRightInd w:val="0"/>
        <w:snapToGrid w:val="0"/>
        <w:textAlignment w:val="auto"/>
        <w:rPr>
          <w:rFonts w:cs="Times New Roman"/>
          <w:lang w:bidi="ar"/>
        </w:rPr>
      </w:pPr>
      <w:bookmarkStart w:id="9" w:name="OLE_LINK17"/>
      <w:r>
        <w:rPr>
          <w:rFonts w:cs="Times New Roman"/>
          <w:lang w:bidi="ar"/>
        </w:rPr>
        <w:t>在子基金投资期内应保证关键人士、子基金投委会成员稳定性，未经</w:t>
      </w:r>
      <w:r>
        <w:rPr>
          <w:rFonts w:hint="eastAsia" w:cs="Times New Roman"/>
          <w:lang w:bidi="ar"/>
        </w:rPr>
        <w:t>引导基金</w:t>
      </w:r>
      <w:r>
        <w:rPr>
          <w:rFonts w:cs="Times New Roman"/>
          <w:lang w:bidi="ar"/>
        </w:rPr>
        <w:t>管理机构同意，不得随意变动。子基金对关键人士、子基金投委会成员进行锁定。锁定人员的变更应提交子基金合伙人大会决策。</w:t>
      </w:r>
    </w:p>
    <w:bookmarkEnd w:id="9"/>
    <w:p w14:paraId="00E47D61">
      <w:pPr>
        <w:pStyle w:val="2"/>
        <w:keepNext w:val="0"/>
        <w:keepLines w:val="0"/>
        <w:pageBreakBefore w:val="0"/>
        <w:widowControl w:val="0"/>
        <w:wordWrap/>
        <w:overflowPunct/>
        <w:topLinePunct w:val="0"/>
        <w:autoSpaceDN/>
        <w:bidi w:val="0"/>
        <w:adjustRightInd w:val="0"/>
        <w:snapToGrid w:val="0"/>
        <w:ind w:firstLine="640"/>
        <w:textAlignment w:val="auto"/>
        <w:rPr>
          <w:rFonts w:cs="Times New Roman"/>
        </w:rPr>
      </w:pPr>
      <w:r>
        <w:rPr>
          <w:rFonts w:cs="Times New Roman"/>
        </w:rPr>
        <w:t>二、子基金方案申报要求</w:t>
      </w:r>
    </w:p>
    <w:p w14:paraId="58AAA6D6">
      <w:pPr>
        <w:keepNext w:val="0"/>
        <w:keepLines w:val="0"/>
        <w:pageBreakBefore w:val="0"/>
        <w:widowControl w:val="0"/>
        <w:wordWrap/>
        <w:overflowPunct/>
        <w:topLinePunct w:val="0"/>
        <w:autoSpaceDN/>
        <w:bidi w:val="0"/>
        <w:adjustRightInd w:val="0"/>
        <w:snapToGrid w:val="0"/>
        <w:textAlignment w:val="auto"/>
        <w:rPr>
          <w:rFonts w:cs="Times New Roman"/>
          <w:b/>
          <w:bCs/>
        </w:rPr>
      </w:pPr>
      <w:r>
        <w:rPr>
          <w:rFonts w:cs="Times New Roman"/>
          <w:b/>
          <w:bCs/>
        </w:rPr>
        <w:t>申报单位须在下列要素的基本要求上，根据自身情况，逐条提出明确、可量化、有竞争力的安排和阐述，按附件格式要求形成子基金申报方案。</w:t>
      </w:r>
    </w:p>
    <w:p w14:paraId="25CF4D37">
      <w:pPr>
        <w:pStyle w:val="3"/>
        <w:keepNext w:val="0"/>
        <w:keepLines w:val="0"/>
        <w:pageBreakBefore w:val="0"/>
        <w:widowControl w:val="0"/>
        <w:wordWrap/>
        <w:overflowPunct/>
        <w:topLinePunct w:val="0"/>
        <w:autoSpaceDN/>
        <w:bidi w:val="0"/>
        <w:adjustRightInd w:val="0"/>
        <w:snapToGrid w:val="0"/>
        <w:textAlignment w:val="auto"/>
      </w:pPr>
      <w:r>
        <w:t>（一）组织形式</w:t>
      </w:r>
    </w:p>
    <w:p w14:paraId="1CD20462">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原则上采取有限合伙制（若采取公司制请说明理由）。</w:t>
      </w:r>
    </w:p>
    <w:p w14:paraId="3FFEEF6E">
      <w:pPr>
        <w:pStyle w:val="3"/>
        <w:keepNext w:val="0"/>
        <w:keepLines w:val="0"/>
        <w:pageBreakBefore w:val="0"/>
        <w:widowControl w:val="0"/>
        <w:wordWrap/>
        <w:overflowPunct/>
        <w:topLinePunct w:val="0"/>
        <w:autoSpaceDN/>
        <w:bidi w:val="0"/>
        <w:adjustRightInd w:val="0"/>
        <w:snapToGrid w:val="0"/>
        <w:textAlignment w:val="auto"/>
      </w:pPr>
      <w:r>
        <w:t>（二）注册地址</w:t>
      </w:r>
    </w:p>
    <w:p w14:paraId="323421E8">
      <w:pPr>
        <w:keepNext w:val="0"/>
        <w:keepLines w:val="0"/>
        <w:pageBreakBefore w:val="0"/>
        <w:widowControl w:val="0"/>
        <w:wordWrap/>
        <w:overflowPunct/>
        <w:topLinePunct w:val="0"/>
        <w:autoSpaceDN/>
        <w:bidi w:val="0"/>
        <w:adjustRightInd w:val="0"/>
        <w:snapToGrid w:val="0"/>
        <w:textAlignment w:val="auto"/>
        <w:rPr>
          <w:rFonts w:cs="Times New Roman"/>
        </w:rPr>
      </w:pPr>
      <w:r>
        <w:rPr>
          <w:rFonts w:hint="eastAsia" w:cs="Times New Roman"/>
          <w:lang w:val="en-US" w:eastAsia="zh-CN"/>
        </w:rPr>
        <w:t>鼓励子基金注册在信阳市，若注册在外地请</w:t>
      </w:r>
      <w:r>
        <w:rPr>
          <w:rFonts w:hint="eastAsia" w:cs="Times New Roman"/>
        </w:rPr>
        <w:t>说明</w:t>
      </w:r>
      <w:r>
        <w:rPr>
          <w:rFonts w:hint="eastAsia" w:cs="Times New Roman"/>
          <w:lang w:val="en-US" w:eastAsia="zh-CN"/>
        </w:rPr>
        <w:t>理由</w:t>
      </w:r>
      <w:r>
        <w:rPr>
          <w:rFonts w:cs="Times New Roman"/>
        </w:rPr>
        <w:t>。</w:t>
      </w:r>
    </w:p>
    <w:p w14:paraId="15059E0C">
      <w:pPr>
        <w:pStyle w:val="3"/>
        <w:keepNext w:val="0"/>
        <w:keepLines w:val="0"/>
        <w:pageBreakBefore w:val="0"/>
        <w:widowControl w:val="0"/>
        <w:wordWrap/>
        <w:overflowPunct/>
        <w:topLinePunct w:val="0"/>
        <w:autoSpaceDN/>
        <w:bidi w:val="0"/>
        <w:adjustRightInd w:val="0"/>
        <w:snapToGrid w:val="0"/>
        <w:textAlignment w:val="auto"/>
      </w:pPr>
      <w:r>
        <w:t>（三）存续期限</w:t>
      </w:r>
    </w:p>
    <w:p w14:paraId="138CE0E5">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原则上不超过</w:t>
      </w:r>
      <w:r>
        <w:rPr>
          <w:rFonts w:hint="eastAsia" w:cs="Times New Roman"/>
          <w:color w:val="auto"/>
          <w:lang w:val="en-US" w:eastAsia="zh-CN"/>
        </w:rPr>
        <w:t>7</w:t>
      </w:r>
      <w:r>
        <w:rPr>
          <w:rFonts w:cs="Times New Roman"/>
        </w:rPr>
        <w:t>年，到期需延期的，依照子基金合伙协议约定程序决策，不得超过</w:t>
      </w:r>
      <w:r>
        <w:rPr>
          <w:rFonts w:hint="eastAsia" w:cs="Times New Roman"/>
        </w:rPr>
        <w:t>引导基金剩余</w:t>
      </w:r>
      <w:r>
        <w:rPr>
          <w:rFonts w:cs="Times New Roman"/>
        </w:rPr>
        <w:t>存续期限。</w:t>
      </w:r>
    </w:p>
    <w:p w14:paraId="1E9C5CF4">
      <w:pPr>
        <w:pStyle w:val="3"/>
        <w:keepNext w:val="0"/>
        <w:keepLines w:val="0"/>
        <w:pageBreakBefore w:val="0"/>
        <w:widowControl w:val="0"/>
        <w:wordWrap/>
        <w:overflowPunct/>
        <w:topLinePunct w:val="0"/>
        <w:autoSpaceDN/>
        <w:bidi w:val="0"/>
        <w:adjustRightInd w:val="0"/>
        <w:snapToGrid w:val="0"/>
        <w:textAlignment w:val="auto"/>
      </w:pPr>
      <w:r>
        <w:t>（四）基金规模</w:t>
      </w:r>
    </w:p>
    <w:p w14:paraId="6FA6B31C">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子基金规模应与其管理机构的投资能力相匹配。</w:t>
      </w:r>
    </w:p>
    <w:p w14:paraId="69323B65">
      <w:pPr>
        <w:pStyle w:val="3"/>
        <w:keepNext w:val="0"/>
        <w:keepLines w:val="0"/>
        <w:pageBreakBefore w:val="0"/>
        <w:widowControl w:val="0"/>
        <w:wordWrap/>
        <w:overflowPunct/>
        <w:topLinePunct w:val="0"/>
        <w:autoSpaceDN/>
        <w:bidi w:val="0"/>
        <w:adjustRightInd w:val="0"/>
        <w:snapToGrid w:val="0"/>
        <w:textAlignment w:val="auto"/>
        <w:rPr>
          <w:highlight w:val="none"/>
        </w:rPr>
      </w:pPr>
      <w:bookmarkStart w:id="10" w:name="OLE_LINK4"/>
      <w:r>
        <w:rPr>
          <w:rFonts w:hint="eastAsia"/>
          <w:highlight w:val="none"/>
        </w:rPr>
        <w:t>（五）出资结构</w:t>
      </w:r>
      <w:bookmarkEnd w:id="10"/>
    </w:p>
    <w:p w14:paraId="471D8634">
      <w:pPr>
        <w:keepNext w:val="0"/>
        <w:keepLines w:val="0"/>
        <w:pageBreakBefore w:val="0"/>
        <w:widowControl w:val="0"/>
        <w:wordWrap/>
        <w:overflowPunct/>
        <w:topLinePunct w:val="0"/>
        <w:autoSpaceDN/>
        <w:bidi w:val="0"/>
        <w:adjustRightInd w:val="0"/>
        <w:snapToGrid w:val="0"/>
        <w:textAlignment w:val="auto"/>
        <w:rPr>
          <w:rFonts w:cs="Times New Roman"/>
          <w:highlight w:val="none"/>
        </w:rPr>
      </w:pPr>
      <w:r>
        <w:rPr>
          <w:rFonts w:cs="Times New Roman"/>
          <w:highlight w:val="none"/>
        </w:rPr>
        <w:t>1.</w:t>
      </w:r>
      <w:r>
        <w:rPr>
          <w:rFonts w:hint="eastAsia" w:cs="Times New Roman"/>
          <w:highlight w:val="none"/>
        </w:rPr>
        <w:t>引导基金出资比例</w:t>
      </w:r>
    </w:p>
    <w:p w14:paraId="52B2640A">
      <w:pPr>
        <w:keepNext w:val="0"/>
        <w:keepLines w:val="0"/>
        <w:pageBreakBefore w:val="0"/>
        <w:widowControl w:val="0"/>
        <w:wordWrap/>
        <w:overflowPunct/>
        <w:topLinePunct w:val="0"/>
        <w:autoSpaceDN/>
        <w:bidi w:val="0"/>
        <w:adjustRightInd w:val="0"/>
        <w:snapToGrid w:val="0"/>
        <w:textAlignment w:val="auto"/>
        <w:rPr>
          <w:rFonts w:cs="Times New Roman"/>
          <w:highlight w:val="none"/>
          <w:lang w:bidi="ar"/>
        </w:rPr>
      </w:pPr>
      <w:r>
        <w:rPr>
          <w:rFonts w:hint="eastAsia" w:cs="Times New Roman"/>
          <w:highlight w:val="none"/>
        </w:rPr>
        <w:t>引导基金</w:t>
      </w:r>
      <w:r>
        <w:rPr>
          <w:rFonts w:hint="eastAsia" w:cs="Times New Roman"/>
          <w:highlight w:val="none"/>
          <w:lang w:bidi="ar"/>
        </w:rPr>
        <w:t>对子基金的出资比例原则上不超过子基金规模的</w:t>
      </w:r>
      <w:r>
        <w:rPr>
          <w:rFonts w:hint="eastAsia" w:cs="Times New Roman"/>
          <w:highlight w:val="none"/>
          <w:lang w:val="en-US" w:eastAsia="zh-CN" w:bidi="ar"/>
        </w:rPr>
        <w:t>3</w:t>
      </w:r>
      <w:r>
        <w:rPr>
          <w:rFonts w:cs="Times New Roman"/>
          <w:highlight w:val="none"/>
          <w:lang w:bidi="ar"/>
        </w:rPr>
        <w:t>0%</w:t>
      </w:r>
      <w:r>
        <w:rPr>
          <w:rFonts w:hint="eastAsia" w:cs="Times New Roman"/>
          <w:highlight w:val="none"/>
          <w:lang w:bidi="ar"/>
        </w:rPr>
        <w:t>（含），且不超过人民币</w:t>
      </w:r>
      <w:r>
        <w:rPr>
          <w:rFonts w:cs="Times New Roman"/>
          <w:color w:val="auto"/>
          <w:highlight w:val="none"/>
          <w:lang w:bidi="ar"/>
        </w:rPr>
        <w:t>5</w:t>
      </w:r>
      <w:r>
        <w:rPr>
          <w:rFonts w:hint="eastAsia" w:cs="Times New Roman"/>
          <w:color w:val="auto"/>
          <w:highlight w:val="none"/>
          <w:lang w:bidi="ar"/>
        </w:rPr>
        <w:t>亿</w:t>
      </w:r>
      <w:r>
        <w:rPr>
          <w:rFonts w:hint="eastAsia" w:cs="Times New Roman"/>
          <w:highlight w:val="none"/>
          <w:lang w:bidi="ar"/>
        </w:rPr>
        <w:t>元。</w:t>
      </w:r>
    </w:p>
    <w:p w14:paraId="20B4A3BC">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2.出资架构</w:t>
      </w:r>
    </w:p>
    <w:p w14:paraId="4CFA1D71">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管理机构提出的具体子基金出资架构安排，应确保满足中国证券投资基金业协会（简称</w:t>
      </w:r>
      <w:r>
        <w:rPr>
          <w:rFonts w:hint="eastAsia" w:cs="Times New Roman"/>
          <w:lang w:eastAsia="zh-CN" w:bidi="ar"/>
        </w:rPr>
        <w:t>“</w:t>
      </w:r>
      <w:r>
        <w:rPr>
          <w:rFonts w:cs="Times New Roman"/>
          <w:lang w:bidi="ar"/>
        </w:rPr>
        <w:t>中基协</w:t>
      </w:r>
      <w:r>
        <w:rPr>
          <w:rFonts w:hint="eastAsia" w:cs="Times New Roman"/>
          <w:lang w:eastAsia="zh-CN" w:bidi="ar"/>
        </w:rPr>
        <w:t>”</w:t>
      </w:r>
      <w:r>
        <w:rPr>
          <w:rFonts w:cs="Times New Roman"/>
          <w:lang w:bidi="ar"/>
        </w:rPr>
        <w:t>）备案要求。</w:t>
      </w:r>
    </w:p>
    <w:p w14:paraId="6B943F83">
      <w:pPr>
        <w:pStyle w:val="3"/>
        <w:keepNext w:val="0"/>
        <w:keepLines w:val="0"/>
        <w:pageBreakBefore w:val="0"/>
        <w:widowControl w:val="0"/>
        <w:wordWrap/>
        <w:overflowPunct/>
        <w:topLinePunct w:val="0"/>
        <w:autoSpaceDN/>
        <w:bidi w:val="0"/>
        <w:adjustRightInd w:val="0"/>
        <w:snapToGrid w:val="0"/>
        <w:textAlignment w:val="auto"/>
      </w:pPr>
      <w:r>
        <w:t>（六）出资要求</w:t>
      </w:r>
    </w:p>
    <w:p w14:paraId="31557030">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1.有与申报子基金规模相匹配的资金募集能力</w:t>
      </w:r>
    </w:p>
    <w:p w14:paraId="49D4EF54">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申报机构应于遴选评审前，</w:t>
      </w:r>
      <w:bookmarkStart w:id="11" w:name="OLE_LINK9"/>
      <w:r>
        <w:rPr>
          <w:rFonts w:hint="eastAsia" w:cs="Times New Roman"/>
          <w:lang w:bidi="ar"/>
        </w:rPr>
        <w:t>说明各主要出资人出资能力并提供证明材料</w:t>
      </w:r>
      <w:bookmarkEnd w:id="11"/>
      <w:r>
        <w:rPr>
          <w:rFonts w:cs="Times New Roman"/>
          <w:lang w:bidi="ar"/>
        </w:rPr>
        <w:t>，并说明募资时间安排。</w:t>
      </w:r>
    </w:p>
    <w:p w14:paraId="08EE43CF">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2.出资顺序</w:t>
      </w:r>
    </w:p>
    <w:p w14:paraId="37AC0AF5">
      <w:pPr>
        <w:keepNext w:val="0"/>
        <w:keepLines w:val="0"/>
        <w:pageBreakBefore w:val="0"/>
        <w:widowControl w:val="0"/>
        <w:kinsoku w:val="0"/>
        <w:wordWrap/>
        <w:overflowPunct/>
        <w:topLinePunct w:val="0"/>
        <w:autoSpaceDE/>
        <w:autoSpaceDN/>
        <w:bidi w:val="0"/>
        <w:adjustRightInd w:val="0"/>
        <w:snapToGrid w:val="0"/>
        <w:ind w:firstLine="640" w:firstLineChars="200"/>
        <w:jc w:val="left"/>
        <w:textAlignment w:val="auto"/>
        <w:rPr>
          <w:rFonts w:cs="Times New Roman"/>
          <w:lang w:bidi="ar"/>
        </w:rPr>
      </w:pPr>
      <w:r>
        <w:rPr>
          <w:rFonts w:cs="Times New Roman"/>
          <w:lang w:bidi="ar"/>
        </w:rPr>
        <w:t>对子基金出资时</w:t>
      </w:r>
      <w:r>
        <w:rPr>
          <w:rFonts w:hint="eastAsia" w:cs="Times New Roman"/>
          <w:lang w:bidi="ar"/>
        </w:rPr>
        <w:t>引导基金原则上与其他投资者按照认缴出资额同期同比例出资。</w:t>
      </w:r>
    </w:p>
    <w:p w14:paraId="6BCA5623">
      <w:pPr>
        <w:pStyle w:val="14"/>
        <w:keepNext w:val="0"/>
        <w:keepLines w:val="0"/>
        <w:pageBreakBefore w:val="0"/>
        <w:widowControl w:val="0"/>
        <w:numPr>
          <w:ilvl w:val="0"/>
          <w:numId w:val="0"/>
        </w:numPr>
        <w:kinsoku w:val="0"/>
        <w:wordWrap/>
        <w:overflowPunct/>
        <w:topLinePunct w:val="0"/>
        <w:autoSpaceDE/>
        <w:autoSpaceDN/>
        <w:bidi w:val="0"/>
        <w:adjustRightInd w:val="0"/>
        <w:snapToGrid w:val="0"/>
        <w:spacing w:after="0"/>
        <w:ind w:leftChars="200"/>
        <w:jc w:val="left"/>
        <w:textAlignment w:val="auto"/>
        <w:rPr>
          <w:rFonts w:hint="eastAsia"/>
          <w:lang w:eastAsia="zh-CN"/>
        </w:rPr>
      </w:pPr>
      <w:r>
        <w:rPr>
          <w:rFonts w:hint="eastAsia"/>
          <w:lang w:val="en-US" w:eastAsia="zh-CN" w:bidi="ar"/>
        </w:rPr>
        <w:t>3.</w:t>
      </w:r>
      <w:r>
        <w:rPr>
          <w:rFonts w:hint="eastAsia"/>
          <w:lang w:bidi="ar"/>
        </w:rPr>
        <w:t>管理机构及其关联方出资比例</w:t>
      </w:r>
      <w:r>
        <w:rPr>
          <w:rFonts w:hint="eastAsia"/>
          <w:lang w:eastAsia="zh-CN"/>
        </w:rPr>
        <w:tab/>
      </w:r>
    </w:p>
    <w:p w14:paraId="7A94E6C7">
      <w:pPr>
        <w:pStyle w:val="14"/>
        <w:keepNext w:val="0"/>
        <w:keepLines w:val="0"/>
        <w:pageBreakBefore w:val="0"/>
        <w:widowControl w:val="0"/>
        <w:numPr>
          <w:ilvl w:val="0"/>
          <w:numId w:val="0"/>
        </w:numPr>
        <w:kinsoku w:val="0"/>
        <w:wordWrap/>
        <w:overflowPunct/>
        <w:topLinePunct w:val="0"/>
        <w:autoSpaceDE/>
        <w:autoSpaceDN/>
        <w:bidi w:val="0"/>
        <w:adjustRightInd w:val="0"/>
        <w:snapToGrid w:val="0"/>
        <w:spacing w:after="0"/>
        <w:ind w:firstLine="640" w:firstLineChars="200"/>
        <w:jc w:val="left"/>
        <w:textAlignment w:val="auto"/>
        <w:rPr>
          <w:lang w:bidi="ar"/>
        </w:rPr>
      </w:pPr>
      <w:r>
        <w:rPr>
          <w:rFonts w:hint="eastAsia"/>
          <w:lang w:bidi="ar"/>
        </w:rPr>
        <w:t>管理机构及其关联方，单独或合计在本子基金中认缴出资不低于子基金认缴规模的</w:t>
      </w:r>
      <w:r>
        <w:rPr>
          <w:color w:val="auto"/>
          <w:highlight w:val="none"/>
          <w:lang w:bidi="ar"/>
        </w:rPr>
        <w:t>1%</w:t>
      </w:r>
      <w:r>
        <w:rPr>
          <w:rFonts w:hint="eastAsia"/>
          <w:color w:val="auto"/>
          <w:highlight w:val="none"/>
          <w:lang w:bidi="ar"/>
        </w:rPr>
        <w:t>。</w:t>
      </w:r>
    </w:p>
    <w:p w14:paraId="30A6B5B1">
      <w:pPr>
        <w:pStyle w:val="3"/>
        <w:keepNext w:val="0"/>
        <w:keepLines w:val="0"/>
        <w:pageBreakBefore w:val="0"/>
        <w:widowControl w:val="0"/>
        <w:wordWrap/>
        <w:overflowPunct/>
        <w:topLinePunct w:val="0"/>
        <w:autoSpaceDN/>
        <w:bidi w:val="0"/>
        <w:adjustRightInd w:val="0"/>
        <w:snapToGrid w:val="0"/>
        <w:textAlignment w:val="auto"/>
      </w:pPr>
      <w:r>
        <w:t>（七）投资领域</w:t>
      </w:r>
    </w:p>
    <w:p w14:paraId="06952411">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符合遴选公告相关要求。</w:t>
      </w:r>
    </w:p>
    <w:p w14:paraId="22954EB5">
      <w:pPr>
        <w:pStyle w:val="3"/>
        <w:keepNext w:val="0"/>
        <w:keepLines w:val="0"/>
        <w:pageBreakBefore w:val="0"/>
        <w:widowControl w:val="0"/>
        <w:wordWrap/>
        <w:overflowPunct/>
        <w:topLinePunct w:val="0"/>
        <w:autoSpaceDN/>
        <w:bidi w:val="0"/>
        <w:adjustRightInd w:val="0"/>
        <w:snapToGrid w:val="0"/>
        <w:textAlignment w:val="auto"/>
      </w:pPr>
      <w:r>
        <w:t>（</w:t>
      </w:r>
      <w:r>
        <w:rPr>
          <w:rFonts w:hint="eastAsia"/>
        </w:rPr>
        <w:t>八</w:t>
      </w:r>
      <w:r>
        <w:t>）投资要求</w:t>
      </w:r>
    </w:p>
    <w:p w14:paraId="7A473935">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cs="Times New Roman"/>
          <w:lang w:bidi="ar"/>
        </w:rPr>
        <w:t>子基金原则上以直接股权投资方式开展投资，不得再对外投资子基金（特殊目的载体除外）。</w:t>
      </w:r>
    </w:p>
    <w:p w14:paraId="196AA87B">
      <w:pPr>
        <w:pStyle w:val="3"/>
        <w:keepNext w:val="0"/>
        <w:keepLines w:val="0"/>
        <w:pageBreakBefore w:val="0"/>
        <w:widowControl w:val="0"/>
        <w:wordWrap/>
        <w:overflowPunct/>
        <w:topLinePunct w:val="0"/>
        <w:autoSpaceDN/>
        <w:bidi w:val="0"/>
        <w:adjustRightInd w:val="0"/>
        <w:snapToGrid w:val="0"/>
        <w:textAlignment w:val="auto"/>
      </w:pPr>
      <w:r>
        <w:t>（</w:t>
      </w:r>
      <w:r>
        <w:rPr>
          <w:rFonts w:hint="eastAsia"/>
        </w:rPr>
        <w:t>九</w:t>
      </w:r>
      <w:r>
        <w:t>）子基金运营费用</w:t>
      </w:r>
    </w:p>
    <w:p w14:paraId="2BCE44D6">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子基金</w:t>
      </w:r>
      <w:r>
        <w:rPr>
          <w:rFonts w:hint="eastAsia" w:cs="Times New Roman"/>
        </w:rPr>
        <w:t>投资期内管理费参考市场水平收取，退出期及延长期原则上应进一步降低管理费提取比例</w:t>
      </w:r>
      <w:r>
        <w:rPr>
          <w:rFonts w:cs="Times New Roman"/>
        </w:rPr>
        <w:t>。</w:t>
      </w:r>
      <w:bookmarkStart w:id="12" w:name="OLE_LINK5"/>
    </w:p>
    <w:bookmarkEnd w:id="12"/>
    <w:p w14:paraId="114223A8">
      <w:pPr>
        <w:pStyle w:val="3"/>
        <w:keepNext w:val="0"/>
        <w:keepLines w:val="0"/>
        <w:pageBreakBefore w:val="0"/>
        <w:widowControl w:val="0"/>
        <w:wordWrap/>
        <w:overflowPunct/>
        <w:topLinePunct w:val="0"/>
        <w:autoSpaceDN/>
        <w:bidi w:val="0"/>
        <w:adjustRightInd w:val="0"/>
        <w:snapToGrid w:val="0"/>
        <w:textAlignment w:val="auto"/>
      </w:pPr>
      <w:r>
        <w:t>（十）返投要求</w:t>
      </w:r>
    </w:p>
    <w:p w14:paraId="315EAD3D">
      <w:pPr>
        <w:keepNext w:val="0"/>
        <w:keepLines w:val="0"/>
        <w:pageBreakBefore w:val="0"/>
        <w:widowControl w:val="0"/>
        <w:kinsoku/>
        <w:wordWrap/>
        <w:overflowPunct/>
        <w:topLinePunct w:val="0"/>
        <w:autoSpaceDN/>
        <w:bidi w:val="0"/>
        <w:adjustRightInd w:val="0"/>
        <w:snapToGrid w:val="0"/>
        <w:textAlignment w:val="auto"/>
        <w:rPr>
          <w:rFonts w:cs="Times New Roman"/>
        </w:rPr>
      </w:pPr>
      <w:r>
        <w:rPr>
          <w:rFonts w:hint="eastAsia" w:cs="Times New Roman"/>
        </w:rPr>
        <w:t>子基金存续期内，对于注册在信阳</w:t>
      </w:r>
      <w:r>
        <w:rPr>
          <w:rFonts w:hint="eastAsia" w:cs="Times New Roman"/>
          <w:lang w:val="en-US" w:eastAsia="zh-CN"/>
        </w:rPr>
        <w:t>市</w:t>
      </w:r>
      <w:r>
        <w:rPr>
          <w:rFonts w:hint="eastAsia" w:cs="Times New Roman"/>
        </w:rPr>
        <w:t>的子基金，子基金及其管理机构作为管理人管理的其他基金（合称“相关主体”）对信阳市的返投金额合计应不低于引导基金对该子基金实缴出资额的1倍；对于注册在信阳</w:t>
      </w:r>
      <w:r>
        <w:rPr>
          <w:rFonts w:hint="eastAsia" w:cs="Times New Roman"/>
          <w:lang w:val="en-US" w:eastAsia="zh-CN"/>
        </w:rPr>
        <w:t>市</w:t>
      </w:r>
      <w:r>
        <w:rPr>
          <w:rFonts w:hint="eastAsia" w:cs="Times New Roman"/>
        </w:rPr>
        <w:t>以外的子基金，相关主体对信阳市的返投总额合计应不低于引导基金对该子基金实缴出资额的1.2倍。前述返投金额计算口径为：</w:t>
      </w:r>
    </w:p>
    <w:p w14:paraId="16970A2F">
      <w:pPr>
        <w:keepNext w:val="0"/>
        <w:keepLines w:val="0"/>
        <w:pageBreakBefore w:val="0"/>
        <w:widowControl w:val="0"/>
        <w:numPr>
          <w:ilvl w:val="0"/>
          <w:numId w:val="0"/>
        </w:numPr>
        <w:kinsoku w:val="0"/>
        <w:wordWrap/>
        <w:overflowPunct/>
        <w:topLinePunct w:val="0"/>
        <w:autoSpaceDE/>
        <w:autoSpaceDN/>
        <w:bidi w:val="0"/>
        <w:adjustRightInd w:val="0"/>
        <w:snapToGrid w:val="0"/>
        <w:ind w:firstLine="640" w:firstLineChars="200"/>
        <w:textAlignment w:val="auto"/>
        <w:rPr>
          <w:rFonts w:hint="eastAsia" w:eastAsia="仿宋_GB2312" w:cs="Times New Roman"/>
          <w:lang w:eastAsia="zh-CN" w:bidi="ar"/>
        </w:rPr>
      </w:pPr>
      <w:r>
        <w:rPr>
          <w:rFonts w:hint="eastAsia" w:cs="Times New Roman"/>
          <w:lang w:val="en-US" w:eastAsia="zh-CN" w:bidi="ar"/>
        </w:rPr>
        <w:t>1.</w:t>
      </w:r>
      <w:r>
        <w:rPr>
          <w:rFonts w:hint="eastAsia" w:cs="Times New Roman"/>
          <w:lang w:bidi="ar"/>
        </w:rPr>
        <w:t>相关主体对信阳市企业直接投资的，按实际投资金额（包括新设、增资、股权受让），通过SPV投资的按实际投向被投</w:t>
      </w:r>
      <w:r>
        <w:rPr>
          <w:rFonts w:hint="eastAsia"/>
        </w:rPr>
        <w:t>企业的金额计算</w:t>
      </w:r>
      <w:r>
        <w:rPr>
          <w:rFonts w:hint="eastAsia"/>
          <w:lang w:eastAsia="zh-CN"/>
        </w:rPr>
        <w:t>。</w:t>
      </w:r>
    </w:p>
    <w:p w14:paraId="6EB6703C">
      <w:pPr>
        <w:keepNext w:val="0"/>
        <w:keepLines w:val="0"/>
        <w:pageBreakBefore w:val="0"/>
        <w:widowControl w:val="0"/>
        <w:numPr>
          <w:ilvl w:val="0"/>
          <w:numId w:val="0"/>
        </w:numPr>
        <w:kinsoku w:val="0"/>
        <w:wordWrap/>
        <w:overflowPunct/>
        <w:topLinePunct w:val="0"/>
        <w:autoSpaceDE/>
        <w:autoSpaceDN/>
        <w:bidi w:val="0"/>
        <w:adjustRightInd w:val="0"/>
        <w:snapToGrid w:val="0"/>
        <w:ind w:firstLine="640" w:firstLineChars="200"/>
        <w:textAlignment w:val="auto"/>
        <w:rPr>
          <w:rFonts w:hint="eastAsia" w:eastAsia="仿宋_GB2312" w:cs="Times New Roman"/>
          <w:lang w:eastAsia="zh-CN" w:bidi="ar"/>
        </w:rPr>
      </w:pPr>
      <w:r>
        <w:rPr>
          <w:rFonts w:hint="eastAsia"/>
        </w:rPr>
        <w:t>2.相关主体对外地企业（注册地非信阳市）投资</w:t>
      </w:r>
      <w:r>
        <w:rPr>
          <w:rFonts w:hint="eastAsia"/>
          <w:lang w:eastAsia="zh-CN"/>
        </w:rPr>
        <w:t>，</w:t>
      </w:r>
      <w:r>
        <w:rPr>
          <w:rFonts w:hint="eastAsia"/>
        </w:rPr>
        <w:t>若被投企业将注册地</w:t>
      </w:r>
      <w:r>
        <w:rPr>
          <w:rFonts w:hint="eastAsia" w:cs="Times New Roman"/>
          <w:lang w:bidi="ar"/>
        </w:rPr>
        <w:t>迁至信阳</w:t>
      </w:r>
      <w:r>
        <w:rPr>
          <w:rFonts w:hint="eastAsia" w:cs="Times New Roman"/>
          <w:lang w:val="en-US" w:eastAsia="zh-CN" w:bidi="ar"/>
        </w:rPr>
        <w:t>市</w:t>
      </w:r>
      <w:r>
        <w:rPr>
          <w:rFonts w:hint="eastAsia" w:cs="Times New Roman"/>
          <w:lang w:bidi="ar"/>
        </w:rPr>
        <w:t>或在信阳</w:t>
      </w:r>
      <w:r>
        <w:rPr>
          <w:rFonts w:hint="eastAsia" w:cs="Times New Roman"/>
          <w:lang w:val="en-US" w:eastAsia="zh-CN" w:bidi="ar"/>
        </w:rPr>
        <w:t>市</w:t>
      </w:r>
      <w:r>
        <w:rPr>
          <w:rFonts w:hint="eastAsia" w:cs="Times New Roman"/>
          <w:lang w:bidi="ar"/>
        </w:rPr>
        <w:t>新设子公司，按以下各项标准分别计算并以最终计算结果总和值计入返投金额</w:t>
      </w:r>
      <w:r>
        <w:rPr>
          <w:rFonts w:hint="eastAsia" w:cs="Times New Roman"/>
          <w:lang w:eastAsia="zh-CN" w:bidi="ar"/>
        </w:rPr>
        <w:t>：</w:t>
      </w:r>
    </w:p>
    <w:p w14:paraId="67FC9BF0">
      <w:pPr>
        <w:pStyle w:val="14"/>
        <w:keepNext w:val="0"/>
        <w:keepLines w:val="0"/>
        <w:pageBreakBefore w:val="0"/>
        <w:widowControl w:val="0"/>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（1）迁入或新设主体在信阳</w:t>
      </w:r>
      <w:r>
        <w:rPr>
          <w:rFonts w:hint="eastAsia" w:cs="Times New Roman"/>
          <w:lang w:val="en-US" w:eastAsia="zh-CN" w:bidi="ar"/>
        </w:rPr>
        <w:t>市</w:t>
      </w:r>
      <w:r>
        <w:rPr>
          <w:rFonts w:hint="eastAsia" w:cs="Times New Roman"/>
          <w:lang w:bidi="ar"/>
        </w:rPr>
        <w:t>的实际投资额，含固定资产、无形资产、人员成本、注册资本的费用总和。</w:t>
      </w:r>
    </w:p>
    <w:p w14:paraId="60F746FD">
      <w:pPr>
        <w:pStyle w:val="14"/>
        <w:keepNext w:val="0"/>
        <w:keepLines w:val="0"/>
        <w:pageBreakBefore w:val="0"/>
        <w:widowControl w:val="0"/>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（2）被投资企业注册在信阳</w:t>
      </w:r>
      <w:r>
        <w:rPr>
          <w:rFonts w:hint="eastAsia" w:cs="Times New Roman"/>
          <w:lang w:val="en-US" w:eastAsia="zh-CN" w:bidi="ar"/>
        </w:rPr>
        <w:t>市</w:t>
      </w:r>
      <w:r>
        <w:rPr>
          <w:rFonts w:hint="eastAsia" w:cs="Times New Roman"/>
          <w:lang w:bidi="ar"/>
        </w:rPr>
        <w:t>外，通过对该项目投资，将其企业总部、区域总部、纳税主体、生产基地、研发基地落户信阳</w:t>
      </w:r>
      <w:r>
        <w:rPr>
          <w:rFonts w:hint="eastAsia" w:cs="Times New Roman"/>
          <w:lang w:val="en-US" w:eastAsia="zh-CN" w:bidi="ar"/>
        </w:rPr>
        <w:t>市</w:t>
      </w:r>
      <w:r>
        <w:rPr>
          <w:rFonts w:hint="eastAsia" w:cs="Times New Roman"/>
          <w:lang w:bidi="ar"/>
        </w:rPr>
        <w:t>内，或在信阳</w:t>
      </w:r>
      <w:r>
        <w:rPr>
          <w:rFonts w:hint="eastAsia" w:cs="Times New Roman"/>
          <w:lang w:val="en-US" w:eastAsia="zh-CN" w:bidi="ar"/>
        </w:rPr>
        <w:t>市</w:t>
      </w:r>
      <w:r>
        <w:rPr>
          <w:rFonts w:hint="eastAsia" w:cs="Times New Roman"/>
          <w:lang w:bidi="ar"/>
        </w:rPr>
        <w:t>内成立子公司的年产值</w:t>
      </w:r>
      <w:r>
        <w:rPr>
          <w:rFonts w:hint="eastAsia" w:cs="Times New Roman"/>
          <w:lang w:eastAsia="zh-CN" w:bidi="ar"/>
        </w:rPr>
        <w:t>、投资金额或企业落地注册资本实缴金额取孰高认定返投金额。</w:t>
      </w:r>
    </w:p>
    <w:p w14:paraId="096B3AF8">
      <w:pPr>
        <w:pStyle w:val="14"/>
        <w:keepNext w:val="0"/>
        <w:keepLines w:val="0"/>
        <w:pageBreakBefore w:val="0"/>
        <w:widowControl w:val="0"/>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（3）迁入或新设主体的实收资本或所有者权益。</w:t>
      </w:r>
    </w:p>
    <w:p w14:paraId="71C1F483">
      <w:pPr>
        <w:pStyle w:val="14"/>
        <w:keepNext w:val="0"/>
        <w:keepLines w:val="0"/>
        <w:pageBreakBefore w:val="0"/>
        <w:widowControl w:val="0"/>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（4）</w:t>
      </w:r>
      <w:r>
        <w:rPr>
          <w:rFonts w:hint="eastAsia" w:cs="Times New Roman"/>
          <w:lang w:val="en-US" w:eastAsia="zh-CN" w:bidi="ar"/>
        </w:rPr>
        <w:t>返投项目</w:t>
      </w:r>
      <w:r>
        <w:rPr>
          <w:rFonts w:hint="eastAsia" w:cs="Times New Roman"/>
          <w:lang w:bidi="ar"/>
        </w:rPr>
        <w:t>在信阳市的税收贡献留存总和或开票总额的10%孰高</w:t>
      </w:r>
      <w:r>
        <w:rPr>
          <w:rFonts w:hint="eastAsia" w:cs="Times New Roman"/>
          <w:lang w:val="en-US" w:eastAsia="zh-CN" w:bidi="ar"/>
        </w:rPr>
        <w:t>计入返投完成额</w:t>
      </w:r>
      <w:r>
        <w:rPr>
          <w:rFonts w:hint="eastAsia" w:cs="Times New Roman"/>
          <w:lang w:bidi="ar"/>
        </w:rPr>
        <w:t>。</w:t>
      </w:r>
    </w:p>
    <w:p w14:paraId="38CE3D2D">
      <w:pPr>
        <w:pStyle w:val="14"/>
        <w:keepNext w:val="0"/>
        <w:keepLines w:val="0"/>
        <w:pageBreakBefore w:val="0"/>
        <w:widowControl w:val="0"/>
        <w:kinsoku/>
        <w:wordWrap/>
        <w:overflowPunct/>
        <w:topLinePunct w:val="0"/>
        <w:autoSpaceDN/>
        <w:bidi w:val="0"/>
        <w:adjustRightInd w:val="0"/>
        <w:snapToGrid w:val="0"/>
        <w:spacing w:after="0"/>
        <w:ind w:firstLine="640"/>
        <w:textAlignment w:val="auto"/>
        <w:rPr>
          <w:rFonts w:cs="Times New Roman"/>
          <w:lang w:bidi="ar"/>
        </w:rPr>
      </w:pPr>
      <w:r>
        <w:rPr>
          <w:rFonts w:hint="eastAsia" w:cs="Times New Roman"/>
          <w:lang w:bidi="ar"/>
        </w:rPr>
        <w:t>（5）在基金存续期内，</w:t>
      </w:r>
      <w:r>
        <w:rPr>
          <w:rFonts w:hint="eastAsia" w:cs="Times New Roman"/>
          <w:lang w:val="en-US" w:eastAsia="zh-CN" w:bidi="ar"/>
        </w:rPr>
        <w:t>信阳市</w:t>
      </w:r>
      <w:r>
        <w:rPr>
          <w:rFonts w:hint="eastAsia" w:cs="Times New Roman"/>
          <w:lang w:bidi="ar"/>
        </w:rPr>
        <w:t>以外的被投企业注册地迁往市内</w:t>
      </w:r>
      <w:r>
        <w:rPr>
          <w:rFonts w:hint="eastAsia" w:cs="Times New Roman"/>
          <w:lang w:eastAsia="zh-CN" w:bidi="ar"/>
        </w:rPr>
        <w:t>，</w:t>
      </w:r>
      <w:r>
        <w:rPr>
          <w:rFonts w:hint="eastAsia" w:cs="Times New Roman"/>
          <w:lang w:bidi="ar"/>
        </w:rPr>
        <w:t>或被</w:t>
      </w:r>
      <w:r>
        <w:rPr>
          <w:rFonts w:hint="eastAsia" w:cs="Times New Roman"/>
          <w:lang w:val="en-US" w:eastAsia="zh-CN" w:bidi="ar"/>
        </w:rPr>
        <w:t>信阳</w:t>
      </w:r>
      <w:r>
        <w:rPr>
          <w:rFonts w:hint="eastAsia" w:cs="Times New Roman"/>
          <w:lang w:bidi="ar"/>
        </w:rPr>
        <w:t>注册企业收购（仅限于控股型收购或收购并表），按照本基金对该企业投资金额或并购金额取孰高认定返投金额。</w:t>
      </w:r>
    </w:p>
    <w:p w14:paraId="5B0DBD4A">
      <w:pPr>
        <w:keepNext w:val="0"/>
        <w:keepLines w:val="0"/>
        <w:pageBreakBefore w:val="0"/>
        <w:widowControl w:val="0"/>
        <w:kinsoku/>
        <w:wordWrap/>
        <w:overflowPunct/>
        <w:topLinePunct w:val="0"/>
        <w:autoSpaceDN/>
        <w:bidi w:val="0"/>
        <w:adjustRightInd w:val="0"/>
        <w:snapToGrid w:val="0"/>
        <w:textAlignment w:val="auto"/>
        <w:rPr>
          <w:rFonts w:hint="eastAsia" w:cs="Times New Roman"/>
          <w:lang w:bidi="ar"/>
        </w:rPr>
      </w:pPr>
      <w:r>
        <w:rPr>
          <w:rFonts w:hint="eastAsia" w:cs="Times New Roman"/>
          <w:lang w:bidi="ar"/>
        </w:rPr>
        <w:t>（6）对于投资信阳</w:t>
      </w:r>
      <w:r>
        <w:rPr>
          <w:rFonts w:hint="eastAsia" w:cs="Times New Roman"/>
          <w:lang w:val="en-US" w:eastAsia="zh-CN" w:bidi="ar"/>
        </w:rPr>
        <w:t>市</w:t>
      </w:r>
      <w:r>
        <w:rPr>
          <w:rFonts w:hint="eastAsia" w:cs="Times New Roman"/>
          <w:lang w:bidi="ar"/>
        </w:rPr>
        <w:t>以外上市公司、独角兽企业、链主企业、国家级制造业单项冠军企业等并引入信阳落地的，可按上述计算金额1.5倍认定返投金额。</w:t>
      </w:r>
    </w:p>
    <w:p w14:paraId="346CCB07">
      <w:pPr>
        <w:keepNext w:val="0"/>
        <w:keepLines w:val="0"/>
        <w:pageBreakBefore w:val="0"/>
        <w:widowControl w:val="0"/>
        <w:kinsoku w:val="0"/>
        <w:wordWrap/>
        <w:overflowPunct/>
        <w:topLinePunct w:val="0"/>
        <w:autoSpaceDE/>
        <w:autoSpaceDN/>
        <w:bidi w:val="0"/>
        <w:adjustRightInd w:val="0"/>
        <w:snapToGrid w:val="0"/>
        <w:textAlignment w:val="auto"/>
        <w:rPr>
          <w:rFonts w:hint="eastAsia" w:cs="Times New Roman"/>
          <w:lang w:eastAsia="zh-CN" w:bidi="ar"/>
        </w:rPr>
      </w:pPr>
      <w:r>
        <w:rPr>
          <w:rFonts w:hint="eastAsia" w:cs="Times New Roman"/>
          <w:lang w:eastAsia="zh-CN" w:bidi="ar"/>
        </w:rPr>
        <w:t>（</w:t>
      </w:r>
      <w:r>
        <w:rPr>
          <w:rFonts w:hint="eastAsia" w:cs="Times New Roman"/>
          <w:lang w:val="en-US" w:eastAsia="zh-CN" w:bidi="ar"/>
        </w:rPr>
        <w:t>7</w:t>
      </w:r>
      <w:r>
        <w:rPr>
          <w:rFonts w:hint="eastAsia" w:cs="Times New Roman"/>
          <w:lang w:eastAsia="zh-CN" w:bidi="ar"/>
        </w:rPr>
        <w:t>）直接投资于在</w:t>
      </w:r>
      <w:r>
        <w:rPr>
          <w:rFonts w:hint="eastAsia" w:cs="Times New Roman"/>
          <w:lang w:val="en-US" w:eastAsia="zh-CN" w:bidi="ar"/>
        </w:rPr>
        <w:t>信阳市</w:t>
      </w:r>
      <w:r>
        <w:rPr>
          <w:rFonts w:hint="eastAsia" w:cs="Times New Roman"/>
          <w:lang w:eastAsia="zh-CN" w:bidi="ar"/>
        </w:rPr>
        <w:t>的企业，按基金对该企业的投资金额认定。</w:t>
      </w:r>
    </w:p>
    <w:p w14:paraId="42A26DA3">
      <w:pPr>
        <w:keepNext w:val="0"/>
        <w:keepLines w:val="0"/>
        <w:pageBreakBefore w:val="0"/>
        <w:widowControl w:val="0"/>
        <w:kinsoku w:val="0"/>
        <w:wordWrap/>
        <w:overflowPunct/>
        <w:topLinePunct w:val="0"/>
        <w:autoSpaceDE/>
        <w:autoSpaceDN/>
        <w:bidi w:val="0"/>
        <w:adjustRightInd w:val="0"/>
        <w:snapToGrid w:val="0"/>
        <w:ind w:left="0" w:leftChars="0" w:firstLine="640" w:firstLineChars="200"/>
        <w:textAlignment w:val="auto"/>
        <w:rPr>
          <w:rFonts w:hint="eastAsia" w:cs="Times New Roman"/>
          <w:lang w:bidi="ar"/>
        </w:rPr>
      </w:pPr>
      <w:r>
        <w:rPr>
          <w:rFonts w:hint="eastAsia"/>
          <w:lang w:val="en-US" w:eastAsia="zh-CN"/>
        </w:rPr>
        <w:t>（8</w:t>
      </w:r>
      <w:r>
        <w:rPr>
          <w:rFonts w:hint="eastAsia" w:cs="Times New Roman"/>
          <w:lang w:bidi="ar"/>
        </w:rPr>
        <w:t>）</w:t>
      </w:r>
      <w:r>
        <w:rPr>
          <w:rFonts w:hint="eastAsia" w:cs="Times New Roman"/>
          <w:lang w:val="en-US" w:eastAsia="zh-CN" w:bidi="ar"/>
        </w:rPr>
        <w:t>基金</w:t>
      </w:r>
      <w:r>
        <w:rPr>
          <w:rFonts w:hint="eastAsia" w:cs="Times New Roman"/>
          <w:lang w:bidi="ar"/>
        </w:rPr>
        <w:t>管理人或其同一实际控制人控制的其他基金（无论是否属于产业基金体系）新增投资信阳市内企业，或投资市外企业且符合前述情形的，可计入返投金额。</w:t>
      </w:r>
    </w:p>
    <w:p w14:paraId="361EFE50">
      <w:pPr>
        <w:keepNext w:val="0"/>
        <w:keepLines w:val="0"/>
        <w:pageBreakBefore w:val="0"/>
        <w:widowControl w:val="0"/>
        <w:tabs>
          <w:tab w:val="left" w:pos="575"/>
        </w:tabs>
        <w:kinsoku w:val="0"/>
        <w:wordWrap/>
        <w:overflowPunct/>
        <w:topLinePunct w:val="0"/>
        <w:autoSpaceDE/>
        <w:autoSpaceDN/>
        <w:bidi w:val="0"/>
        <w:adjustRightInd w:val="0"/>
        <w:snapToGrid w:val="0"/>
        <w:ind w:left="0" w:leftChars="0" w:firstLine="640" w:firstLineChars="200"/>
        <w:jc w:val="left"/>
        <w:textAlignment w:val="auto"/>
        <w:rPr>
          <w:rFonts w:hint="eastAsia" w:eastAsia="仿宋_GB2312"/>
          <w:lang w:eastAsia="zh-CN"/>
        </w:rPr>
      </w:pPr>
      <w:r>
        <w:rPr>
          <w:rFonts w:hint="eastAsia" w:cs="Times New Roman"/>
          <w:lang w:bidi="ar"/>
        </w:rPr>
        <w:t>（</w:t>
      </w:r>
      <w:r>
        <w:rPr>
          <w:rFonts w:hint="eastAsia" w:cs="Times New Roman"/>
          <w:lang w:val="en-US" w:eastAsia="zh-CN" w:bidi="ar"/>
        </w:rPr>
        <w:t>9</w:t>
      </w:r>
      <w:r>
        <w:rPr>
          <w:rFonts w:hint="eastAsia" w:cs="Times New Roman"/>
          <w:lang w:bidi="ar"/>
        </w:rPr>
        <w:t>）本基金</w:t>
      </w:r>
      <w:r>
        <w:rPr>
          <w:rFonts w:hint="eastAsia" w:cs="Times New Roman"/>
          <w:lang w:val="en-US" w:eastAsia="zh-CN" w:bidi="ar"/>
        </w:rPr>
        <w:t>引进但未投资的</w:t>
      </w:r>
      <w:r>
        <w:rPr>
          <w:rFonts w:hint="eastAsia" w:cs="Times New Roman"/>
          <w:lang w:bidi="ar"/>
        </w:rPr>
        <w:t>项目经信阳</w:t>
      </w:r>
      <w:r>
        <w:rPr>
          <w:rFonts w:hint="eastAsia" w:cs="Times New Roman"/>
          <w:lang w:val="en-US" w:eastAsia="zh-CN" w:bidi="ar"/>
        </w:rPr>
        <w:t>市</w:t>
      </w:r>
      <w:r>
        <w:rPr>
          <w:rFonts w:hint="eastAsia" w:cs="Times New Roman"/>
          <w:lang w:bidi="ar"/>
        </w:rPr>
        <w:t>相关部门认定同意后，可按照该项目于本基金存续期内在信阳</w:t>
      </w:r>
      <w:r>
        <w:rPr>
          <w:rFonts w:hint="eastAsia" w:cs="Times New Roman"/>
          <w:lang w:val="en-US" w:eastAsia="zh-CN" w:bidi="ar"/>
        </w:rPr>
        <w:t>市</w:t>
      </w:r>
      <w:r>
        <w:rPr>
          <w:rFonts w:hint="eastAsia" w:cs="Times New Roman"/>
          <w:lang w:bidi="ar"/>
        </w:rPr>
        <w:t>的注册资本实缴或固定资产投资总额取孰高纳入完成的返投金额。</w:t>
      </w:r>
    </w:p>
    <w:p w14:paraId="6D557685">
      <w:pPr>
        <w:pStyle w:val="14"/>
        <w:keepNext w:val="0"/>
        <w:keepLines w:val="0"/>
        <w:pageBreakBefore w:val="0"/>
        <w:widowControl w:val="0"/>
        <w:kinsoku w:val="0"/>
        <w:wordWrap/>
        <w:overflowPunct/>
        <w:topLinePunct w:val="0"/>
        <w:autoSpaceDE/>
        <w:autoSpaceDN/>
        <w:bidi w:val="0"/>
        <w:adjustRightInd w:val="0"/>
        <w:snapToGrid w:val="0"/>
        <w:spacing w:after="0"/>
        <w:ind w:firstLine="640"/>
        <w:textAlignment w:val="auto"/>
        <w:rPr>
          <w:rFonts w:cs="Times New Roman"/>
          <w:lang w:bidi="ar"/>
        </w:rPr>
      </w:pPr>
      <w:r>
        <w:rPr>
          <w:rFonts w:hint="eastAsia" w:cs="Times New Roman"/>
          <w:lang w:bidi="ar"/>
        </w:rPr>
        <w:t>（</w:t>
      </w:r>
      <w:r>
        <w:rPr>
          <w:rFonts w:hint="eastAsia" w:cs="Times New Roman"/>
          <w:lang w:val="en-US" w:eastAsia="zh-CN" w:bidi="ar"/>
        </w:rPr>
        <w:t>10</w:t>
      </w:r>
      <w:r>
        <w:rPr>
          <w:rFonts w:hint="eastAsia" w:cs="Times New Roman"/>
          <w:lang w:bidi="ar"/>
        </w:rPr>
        <w:t>）根据关于返投招引的相关规定，经</w:t>
      </w:r>
      <w:r>
        <w:rPr>
          <w:rFonts w:hint="eastAsia" w:cs="Times New Roman"/>
          <w:color w:val="auto"/>
          <w:lang w:bidi="ar"/>
        </w:rPr>
        <w:t>信阳</w:t>
      </w:r>
      <w:r>
        <w:rPr>
          <w:rFonts w:hint="eastAsia" w:cs="Times New Roman"/>
          <w:color w:val="auto"/>
          <w:lang w:val="en-US" w:eastAsia="zh-CN" w:bidi="ar"/>
        </w:rPr>
        <w:t>市</w:t>
      </w:r>
      <w:r>
        <w:rPr>
          <w:rFonts w:hint="eastAsia" w:cs="Times New Roman"/>
          <w:color w:val="auto"/>
          <w:lang w:bidi="ar"/>
        </w:rPr>
        <w:t>相关部门</w:t>
      </w:r>
      <w:r>
        <w:rPr>
          <w:rFonts w:hint="eastAsia" w:cs="Times New Roman"/>
          <w:lang w:bidi="ar"/>
        </w:rPr>
        <w:t>认定，其他可视为返投信阳</w:t>
      </w:r>
      <w:r>
        <w:rPr>
          <w:rFonts w:hint="eastAsia" w:cs="Times New Roman"/>
          <w:lang w:val="en-US" w:eastAsia="zh-CN" w:bidi="ar"/>
        </w:rPr>
        <w:t>市</w:t>
      </w:r>
      <w:r>
        <w:rPr>
          <w:rFonts w:hint="eastAsia" w:cs="Times New Roman"/>
          <w:lang w:bidi="ar"/>
        </w:rPr>
        <w:t>的情形，也可纳入返投认定范围。</w:t>
      </w:r>
    </w:p>
    <w:p w14:paraId="3923A6D6">
      <w:pPr>
        <w:keepNext w:val="0"/>
        <w:keepLines w:val="0"/>
        <w:pageBreakBefore w:val="0"/>
        <w:widowControl w:val="0"/>
        <w:wordWrap/>
        <w:overflowPunct/>
        <w:topLinePunct w:val="0"/>
        <w:autoSpaceDN/>
        <w:bidi w:val="0"/>
        <w:adjustRightInd w:val="0"/>
        <w:snapToGrid w:val="0"/>
        <w:textAlignment w:val="auto"/>
        <w:rPr>
          <w:rFonts w:cs="Times New Roman"/>
          <w:lang w:bidi="ar"/>
        </w:rPr>
      </w:pPr>
      <w:r>
        <w:rPr>
          <w:rFonts w:hint="eastAsia" w:cs="Times New Roman"/>
          <w:lang w:bidi="ar"/>
        </w:rPr>
        <w:t>3.子基金管理机构和引导基金管理机构共同协商认定并经母基金投委会审批通过的可计入返投金额的其他情形。</w:t>
      </w:r>
    </w:p>
    <w:p w14:paraId="27C42940">
      <w:pPr>
        <w:keepNext w:val="0"/>
        <w:keepLines w:val="0"/>
        <w:pageBreakBefore w:val="0"/>
        <w:widowControl w:val="0"/>
        <w:kinsoku w:val="0"/>
        <w:wordWrap/>
        <w:overflowPunct/>
        <w:topLinePunct w:val="0"/>
        <w:autoSpaceDN/>
        <w:bidi w:val="0"/>
        <w:adjustRightInd w:val="0"/>
        <w:snapToGrid w:val="0"/>
        <w:textAlignment w:val="auto"/>
        <w:rPr>
          <w:rFonts w:cs="Times New Roman"/>
          <w:lang w:bidi="ar"/>
        </w:rPr>
      </w:pPr>
      <w:r>
        <w:rPr>
          <w:rFonts w:cs="Times New Roman"/>
          <w:b/>
          <w:bCs/>
          <w:lang w:bidi="ar"/>
        </w:rPr>
        <w:t>提示：</w:t>
      </w:r>
      <w:r>
        <w:rPr>
          <w:rFonts w:cs="Times New Roman"/>
          <w:lang w:bidi="ar"/>
        </w:rPr>
        <w:t>鼓励管理机构提出更有竞争力的返投计划（包括但不限于返投比例、返投目标等）；鼓励管理机构在返投目标中明确设置子基金存续期内培育、引入</w:t>
      </w:r>
      <w:r>
        <w:rPr>
          <w:rFonts w:hint="eastAsia" w:cs="Times New Roman"/>
          <w:lang w:eastAsia="zh-CN" w:bidi="ar"/>
        </w:rPr>
        <w:t>“</w:t>
      </w:r>
      <w:r>
        <w:rPr>
          <w:rFonts w:cs="Times New Roman"/>
          <w:lang w:bidi="ar"/>
        </w:rPr>
        <w:t>专精特新小巨人</w:t>
      </w:r>
      <w:r>
        <w:rPr>
          <w:rFonts w:hint="eastAsia" w:cs="Times New Roman"/>
          <w:lang w:eastAsia="zh-CN" w:bidi="ar"/>
        </w:rPr>
        <w:t>”</w:t>
      </w:r>
      <w:r>
        <w:rPr>
          <w:rFonts w:cs="Times New Roman"/>
          <w:lang w:bidi="ar"/>
        </w:rPr>
        <w:t>企业、</w:t>
      </w:r>
      <w:r>
        <w:rPr>
          <w:rFonts w:hint="eastAsia" w:cs="Times New Roman"/>
          <w:lang w:eastAsia="zh-CN" w:bidi="ar"/>
        </w:rPr>
        <w:t>“</w:t>
      </w:r>
      <w:r>
        <w:rPr>
          <w:rFonts w:cs="Times New Roman"/>
          <w:lang w:bidi="ar"/>
        </w:rPr>
        <w:t>独角兽</w:t>
      </w:r>
      <w:r>
        <w:rPr>
          <w:rFonts w:hint="eastAsia" w:cs="Times New Roman"/>
          <w:lang w:eastAsia="zh-CN" w:bidi="ar"/>
        </w:rPr>
        <w:t>”</w:t>
      </w:r>
      <w:r>
        <w:rPr>
          <w:rFonts w:cs="Times New Roman"/>
          <w:lang w:bidi="ar"/>
        </w:rPr>
        <w:t>以及</w:t>
      </w:r>
      <w:r>
        <w:rPr>
          <w:rFonts w:hint="eastAsia" w:cs="Times New Roman"/>
          <w:lang w:eastAsia="zh-CN" w:bidi="ar"/>
        </w:rPr>
        <w:t>“</w:t>
      </w:r>
      <w:r>
        <w:rPr>
          <w:rFonts w:cs="Times New Roman"/>
          <w:lang w:bidi="ar"/>
        </w:rPr>
        <w:t>上市公司</w:t>
      </w:r>
      <w:r>
        <w:rPr>
          <w:rFonts w:hint="eastAsia" w:cs="Times New Roman"/>
          <w:lang w:eastAsia="zh-CN" w:bidi="ar"/>
        </w:rPr>
        <w:t>”</w:t>
      </w:r>
      <w:r>
        <w:rPr>
          <w:rFonts w:cs="Times New Roman"/>
          <w:lang w:bidi="ar"/>
        </w:rPr>
        <w:t>的数量。以上将作为遴选评审的考量因素之一。</w:t>
      </w:r>
    </w:p>
    <w:p w14:paraId="2B6F36FF">
      <w:pPr>
        <w:pStyle w:val="3"/>
        <w:keepNext w:val="0"/>
        <w:keepLines w:val="0"/>
        <w:pageBreakBefore w:val="0"/>
        <w:widowControl w:val="0"/>
        <w:wordWrap/>
        <w:overflowPunct/>
        <w:topLinePunct w:val="0"/>
        <w:autoSpaceDN/>
        <w:bidi w:val="0"/>
        <w:adjustRightInd w:val="0"/>
        <w:snapToGrid w:val="0"/>
        <w:textAlignment w:val="auto"/>
      </w:pPr>
      <w:r>
        <w:t>（十</w:t>
      </w:r>
      <w:r>
        <w:rPr>
          <w:rFonts w:hint="eastAsia"/>
        </w:rPr>
        <w:t>一</w:t>
      </w:r>
      <w:r>
        <w:t>）投后管理</w:t>
      </w:r>
    </w:p>
    <w:p w14:paraId="649D97B2">
      <w:pPr>
        <w:keepNext w:val="0"/>
        <w:keepLines w:val="0"/>
        <w:pageBreakBefore w:val="0"/>
        <w:widowControl w:val="0"/>
        <w:kinsoku w:val="0"/>
        <w:wordWrap/>
        <w:overflowPunct/>
        <w:topLinePunct w:val="0"/>
        <w:autoSpaceDN/>
        <w:bidi w:val="0"/>
        <w:adjustRightInd w:val="0"/>
        <w:snapToGrid w:val="0"/>
        <w:textAlignment w:val="auto"/>
        <w:rPr>
          <w:rFonts w:cs="Times New Roman"/>
          <w:szCs w:val="40"/>
        </w:rPr>
      </w:pPr>
      <w:r>
        <w:rPr>
          <w:rFonts w:hint="eastAsia" w:cs="Times New Roman"/>
          <w:lang w:bidi="ar"/>
        </w:rPr>
        <w:t>子基金管理机构应具备较深厚的综合服务能力和资源，能够较好地为被投企业提供投后增值服务。</w:t>
      </w:r>
      <w:r>
        <w:rPr>
          <w:rFonts w:cs="Times New Roman"/>
          <w:lang w:bidi="ar"/>
        </w:rPr>
        <w:t>子基金管理机构的投后管理机制，</w:t>
      </w:r>
      <w:r>
        <w:rPr>
          <w:rFonts w:cs="Times New Roman"/>
          <w:szCs w:val="40"/>
        </w:rPr>
        <w:t>包括但不限于对被投企业三会、定期走访、项目跟踪与监控指标、重大事项评估等。</w:t>
      </w:r>
    </w:p>
    <w:p w14:paraId="0CD17750">
      <w:pPr>
        <w:pStyle w:val="14"/>
        <w:keepNext w:val="0"/>
        <w:keepLines w:val="0"/>
        <w:pageBreakBefore w:val="0"/>
        <w:widowControl w:val="0"/>
        <w:wordWrap/>
        <w:overflowPunct/>
        <w:topLinePunct w:val="0"/>
        <w:autoSpaceDN/>
        <w:bidi w:val="0"/>
        <w:adjustRightInd w:val="0"/>
        <w:snapToGrid w:val="0"/>
        <w:spacing w:after="0"/>
        <w:ind w:firstLine="640"/>
        <w:textAlignment w:val="auto"/>
      </w:pPr>
      <w:r>
        <w:rPr>
          <w:rFonts w:hint="eastAsia"/>
        </w:rPr>
        <w:t>子基金管理机构应于每季度定期向引导基金提交上季度子基金运营报告，并于每个会计年度结束后4个月内提交子基金年度审计报告、年度运营报告及年度银行托管报告。半年度信披报告按合伙协议约定执行。</w:t>
      </w:r>
    </w:p>
    <w:p w14:paraId="5ADADDE6">
      <w:pPr>
        <w:pStyle w:val="3"/>
        <w:keepNext w:val="0"/>
        <w:keepLines w:val="0"/>
        <w:pageBreakBefore w:val="0"/>
        <w:widowControl w:val="0"/>
        <w:kinsoku w:val="0"/>
        <w:wordWrap/>
        <w:overflowPunct/>
        <w:topLinePunct w:val="0"/>
        <w:autoSpaceDN/>
        <w:bidi w:val="0"/>
        <w:adjustRightInd w:val="0"/>
        <w:snapToGrid w:val="0"/>
        <w:textAlignment w:val="auto"/>
      </w:pPr>
      <w:r>
        <w:t>（十</w:t>
      </w:r>
      <w:r>
        <w:rPr>
          <w:rFonts w:hint="eastAsia"/>
        </w:rPr>
        <w:t>二</w:t>
      </w:r>
      <w:r>
        <w:t>）退出策略</w:t>
      </w:r>
    </w:p>
    <w:p w14:paraId="197FB658">
      <w:pPr>
        <w:keepNext w:val="0"/>
        <w:keepLines w:val="0"/>
        <w:pageBreakBefore w:val="0"/>
        <w:widowControl w:val="0"/>
        <w:kinsoku w:val="0"/>
        <w:wordWrap/>
        <w:overflowPunct w:val="0"/>
        <w:topLinePunct w:val="0"/>
        <w:autoSpaceDE/>
        <w:autoSpaceDN/>
        <w:bidi w:val="0"/>
        <w:adjustRightInd w:val="0"/>
        <w:snapToGrid w:val="0"/>
        <w:ind w:left="0" w:leftChars="0" w:firstLine="640" w:firstLineChars="200"/>
        <w:textAlignment w:val="auto"/>
        <w:rPr>
          <w:rFonts w:cs="Times New Roman"/>
          <w:lang w:bidi="ar"/>
        </w:rPr>
      </w:pPr>
      <w:r>
        <w:rPr>
          <w:rFonts w:cs="Times New Roman"/>
          <w:lang w:bidi="ar"/>
        </w:rPr>
        <w:t>子基金管理机构根据子基金的投资策略和投资方向，结合自身优势，提出</w:t>
      </w:r>
      <w:r>
        <w:rPr>
          <w:rFonts w:cs="Times New Roman"/>
          <w:highlight w:val="none"/>
          <w:lang w:bidi="ar"/>
        </w:rPr>
        <w:t>子</w:t>
      </w:r>
      <w:r>
        <w:rPr>
          <w:rFonts w:cs="Times New Roman"/>
          <w:lang w:bidi="ar"/>
        </w:rPr>
        <w:t>基金的退出策略（包括不局限于IPO退出等）。</w:t>
      </w:r>
    </w:p>
    <w:p w14:paraId="53831620">
      <w:pPr>
        <w:pStyle w:val="2"/>
        <w:keepNext w:val="0"/>
        <w:keepLines w:val="0"/>
        <w:pageBreakBefore w:val="0"/>
        <w:widowControl w:val="0"/>
        <w:wordWrap/>
        <w:overflowPunct/>
        <w:topLinePunct w:val="0"/>
        <w:autoSpaceDN/>
        <w:bidi w:val="0"/>
        <w:adjustRightInd w:val="0"/>
        <w:snapToGrid w:val="0"/>
        <w:ind w:firstLine="640"/>
        <w:textAlignment w:val="auto"/>
        <w:rPr>
          <w:rFonts w:cs="Times New Roman"/>
        </w:rPr>
      </w:pPr>
      <w:r>
        <w:rPr>
          <w:rFonts w:cs="Times New Roman"/>
        </w:rPr>
        <w:t>三、限制性安排及要求</w:t>
      </w:r>
    </w:p>
    <w:p w14:paraId="66F4A064">
      <w:pPr>
        <w:pStyle w:val="3"/>
        <w:keepNext w:val="0"/>
        <w:keepLines w:val="0"/>
        <w:pageBreakBefore w:val="0"/>
        <w:widowControl w:val="0"/>
        <w:wordWrap/>
        <w:overflowPunct/>
        <w:topLinePunct w:val="0"/>
        <w:autoSpaceDN/>
        <w:bidi w:val="0"/>
        <w:adjustRightInd w:val="0"/>
        <w:snapToGrid w:val="0"/>
        <w:textAlignment w:val="auto"/>
      </w:pPr>
      <w:r>
        <w:t>（一）投资限制</w:t>
      </w:r>
      <w:bookmarkStart w:id="13" w:name="OLE_LINK6"/>
      <w:bookmarkStart w:id="14" w:name="OLE_LINK8"/>
    </w:p>
    <w:p w14:paraId="51BA0334">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lang w:bidi="ar"/>
        </w:rPr>
        <w:t>子基金不得投资二级市场股票（大宗交易、协议转让、战略配售、定向增发除外）、期货、房地产、</w:t>
      </w:r>
      <w:r>
        <w:rPr>
          <w:rFonts w:hint="eastAsia" w:cs="Times New Roman"/>
          <w:lang w:bidi="ar"/>
        </w:rPr>
        <w:t>非保本型理财产品</w:t>
      </w:r>
      <w:r>
        <w:rPr>
          <w:rFonts w:cs="Times New Roman"/>
          <w:lang w:bidi="ar"/>
        </w:rPr>
        <w:t>以及国家和</w:t>
      </w:r>
      <w:r>
        <w:rPr>
          <w:rFonts w:hint="eastAsia" w:cs="Times New Roman"/>
          <w:lang w:val="en-US" w:eastAsia="zh-CN" w:bidi="ar"/>
        </w:rPr>
        <w:t>信阳</w:t>
      </w:r>
      <w:r>
        <w:rPr>
          <w:rFonts w:cs="Times New Roman"/>
          <w:lang w:bidi="ar"/>
        </w:rPr>
        <w:t>市政策限制类行业，不得从事担保、抵押、委托贷款等业务，不得进行承担无限连带责任的对外投资。</w:t>
      </w:r>
      <w:bookmarkEnd w:id="13"/>
      <w:bookmarkEnd w:id="14"/>
      <w:bookmarkStart w:id="15" w:name="OLE_LINK7"/>
    </w:p>
    <w:p w14:paraId="6819CACA">
      <w:pPr>
        <w:pStyle w:val="3"/>
        <w:keepNext w:val="0"/>
        <w:keepLines w:val="0"/>
        <w:pageBreakBefore w:val="0"/>
        <w:widowControl w:val="0"/>
        <w:wordWrap/>
        <w:overflowPunct/>
        <w:topLinePunct w:val="0"/>
        <w:autoSpaceDN/>
        <w:bidi w:val="0"/>
        <w:adjustRightInd w:val="0"/>
        <w:snapToGrid w:val="0"/>
        <w:textAlignment w:val="auto"/>
      </w:pPr>
      <w:r>
        <w:rPr>
          <w:rFonts w:hint="eastAsia"/>
        </w:rPr>
        <w:t>（二）</w:t>
      </w:r>
      <w:r>
        <w:t>管理要求</w:t>
      </w:r>
    </w:p>
    <w:p w14:paraId="40858C9C">
      <w:pPr>
        <w:keepNext w:val="0"/>
        <w:keepLines w:val="0"/>
        <w:pageBreakBefore w:val="0"/>
        <w:widowControl w:val="0"/>
        <w:wordWrap/>
        <w:overflowPunct/>
        <w:topLinePunct w:val="0"/>
        <w:autoSpaceDN/>
        <w:bidi w:val="0"/>
        <w:adjustRightInd w:val="0"/>
        <w:snapToGrid w:val="0"/>
        <w:textAlignment w:val="auto"/>
        <w:rPr>
          <w:rFonts w:cs="Times New Roman"/>
        </w:rPr>
      </w:pPr>
      <w:r>
        <w:rPr>
          <w:rFonts w:hint="eastAsia" w:cs="Times New Roman"/>
        </w:rPr>
        <w:t>引导基金</w:t>
      </w:r>
      <w:r>
        <w:rPr>
          <w:rFonts w:cs="Times New Roman"/>
        </w:rPr>
        <w:t>不干预子基金的日常管理运作，但有权通过委派投委会委员、观察员等市场化方式维护自身权益。</w:t>
      </w:r>
    </w:p>
    <w:bookmarkEnd w:id="15"/>
    <w:p w14:paraId="5E7025B8">
      <w:pPr>
        <w:pStyle w:val="3"/>
        <w:keepNext w:val="0"/>
        <w:keepLines w:val="0"/>
        <w:pageBreakBefore w:val="0"/>
        <w:widowControl w:val="0"/>
        <w:wordWrap/>
        <w:overflowPunct/>
        <w:topLinePunct w:val="0"/>
        <w:autoSpaceDN/>
        <w:bidi w:val="0"/>
        <w:adjustRightInd w:val="0"/>
        <w:snapToGrid w:val="0"/>
        <w:textAlignment w:val="auto"/>
      </w:pPr>
      <w:r>
        <w:t>（</w:t>
      </w:r>
      <w:r>
        <w:rPr>
          <w:rFonts w:hint="eastAsia"/>
        </w:rPr>
        <w:t>三</w:t>
      </w:r>
      <w:r>
        <w:t>）备案要求</w:t>
      </w:r>
    </w:p>
    <w:p w14:paraId="0F63F703">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子基金应按照中国证券投资基金业协会《私募投资基金登记备案办法》要求，自私募基金募集完毕之日起20个工作日内进行备案。</w:t>
      </w:r>
    </w:p>
    <w:p w14:paraId="0907E88A">
      <w:pPr>
        <w:pStyle w:val="3"/>
        <w:keepNext w:val="0"/>
        <w:keepLines w:val="0"/>
        <w:pageBreakBefore w:val="0"/>
        <w:widowControl w:val="0"/>
        <w:wordWrap/>
        <w:overflowPunct/>
        <w:topLinePunct w:val="0"/>
        <w:autoSpaceDN/>
        <w:bidi w:val="0"/>
        <w:adjustRightInd w:val="0"/>
        <w:snapToGrid w:val="0"/>
        <w:textAlignment w:val="auto"/>
      </w:pPr>
      <w:r>
        <w:t>（</w:t>
      </w:r>
      <w:r>
        <w:rPr>
          <w:rFonts w:hint="eastAsia"/>
        </w:rPr>
        <w:t>四</w:t>
      </w:r>
      <w:r>
        <w:t>）托管要求</w:t>
      </w:r>
    </w:p>
    <w:p w14:paraId="0F709D53">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子基金应选择具有托管资质的商业银行进行托管。</w:t>
      </w:r>
    </w:p>
    <w:p w14:paraId="6E502C8D">
      <w:pPr>
        <w:pStyle w:val="3"/>
        <w:keepNext w:val="0"/>
        <w:keepLines w:val="0"/>
        <w:pageBreakBefore w:val="0"/>
        <w:widowControl w:val="0"/>
        <w:wordWrap/>
        <w:overflowPunct/>
        <w:topLinePunct w:val="0"/>
        <w:autoSpaceDN/>
        <w:bidi w:val="0"/>
        <w:adjustRightInd w:val="0"/>
        <w:snapToGrid w:val="0"/>
        <w:textAlignment w:val="auto"/>
      </w:pPr>
      <w:r>
        <w:t>（</w:t>
      </w:r>
      <w:r>
        <w:rPr>
          <w:rFonts w:hint="eastAsia"/>
        </w:rPr>
        <w:t>五</w:t>
      </w:r>
      <w:r>
        <w:t>）</w:t>
      </w:r>
      <w:r>
        <w:rPr>
          <w:rFonts w:hint="eastAsia"/>
        </w:rPr>
        <w:t>违约责任</w:t>
      </w:r>
    </w:p>
    <w:p w14:paraId="14CA0E4B">
      <w:pPr>
        <w:pStyle w:val="14"/>
        <w:keepNext w:val="0"/>
        <w:keepLines w:val="0"/>
        <w:pageBreakBefore w:val="0"/>
        <w:widowControl w:val="0"/>
        <w:wordWrap/>
        <w:overflowPunct/>
        <w:topLinePunct w:val="0"/>
        <w:autoSpaceDN/>
        <w:bidi w:val="0"/>
        <w:adjustRightInd w:val="0"/>
        <w:snapToGrid w:val="0"/>
        <w:spacing w:after="0"/>
        <w:ind w:firstLine="640"/>
        <w:textAlignment w:val="auto"/>
      </w:pPr>
      <w:r>
        <w:rPr>
          <w:rFonts w:hint="eastAsia"/>
        </w:rPr>
        <w:t>在子基金运作期间，若出现欺诈、违反合伙协议约定或其他损害投资者利益的行为，投资方有权要求基金管理人或普通合伙人（GP）单独或共同承担违约责任。</w:t>
      </w:r>
    </w:p>
    <w:p w14:paraId="26930A78">
      <w:pPr>
        <w:pStyle w:val="2"/>
        <w:keepNext w:val="0"/>
        <w:keepLines w:val="0"/>
        <w:pageBreakBefore w:val="0"/>
        <w:widowControl w:val="0"/>
        <w:wordWrap/>
        <w:overflowPunct/>
        <w:topLinePunct w:val="0"/>
        <w:autoSpaceDN/>
        <w:bidi w:val="0"/>
        <w:adjustRightInd w:val="0"/>
        <w:snapToGrid w:val="0"/>
        <w:ind w:firstLine="640"/>
        <w:textAlignment w:val="auto"/>
        <w:rPr>
          <w:rFonts w:cs="Times New Roman"/>
        </w:rPr>
      </w:pPr>
      <w:r>
        <w:rPr>
          <w:rFonts w:cs="Times New Roman"/>
        </w:rPr>
        <w:t>四、附则</w:t>
      </w:r>
    </w:p>
    <w:p w14:paraId="72057269">
      <w:pPr>
        <w:pStyle w:val="3"/>
        <w:keepNext w:val="0"/>
        <w:keepLines w:val="0"/>
        <w:pageBreakBefore w:val="0"/>
        <w:widowControl w:val="0"/>
        <w:kinsoku/>
        <w:wordWrap/>
        <w:overflowPunct/>
        <w:topLinePunct w:val="0"/>
        <w:autoSpaceDN/>
        <w:bidi w:val="0"/>
        <w:adjustRightInd w:val="0"/>
        <w:snapToGrid w:val="0"/>
        <w:textAlignment w:val="auto"/>
      </w:pPr>
      <w:r>
        <w:t>（一）本申报指南中，</w:t>
      </w:r>
      <w:r>
        <w:rPr>
          <w:rFonts w:hint="eastAsia"/>
          <w:lang w:eastAsia="zh-CN"/>
        </w:rPr>
        <w:t>“</w:t>
      </w:r>
      <w:r>
        <w:t>不低于</w:t>
      </w:r>
      <w:r>
        <w:rPr>
          <w:rFonts w:hint="eastAsia"/>
          <w:lang w:eastAsia="zh-CN"/>
        </w:rPr>
        <w:t>”“</w:t>
      </w:r>
      <w:r>
        <w:t>不超过</w:t>
      </w:r>
      <w:r>
        <w:rPr>
          <w:rFonts w:hint="eastAsia"/>
          <w:lang w:eastAsia="zh-CN"/>
        </w:rPr>
        <w:t>”“</w:t>
      </w:r>
      <w:r>
        <w:t>不少于</w:t>
      </w:r>
      <w:r>
        <w:rPr>
          <w:rFonts w:hint="eastAsia"/>
          <w:lang w:eastAsia="zh-CN"/>
        </w:rPr>
        <w:t>”“</w:t>
      </w:r>
      <w:r>
        <w:t>以上</w:t>
      </w:r>
      <w:r>
        <w:rPr>
          <w:rFonts w:hint="eastAsia"/>
          <w:lang w:eastAsia="zh-CN"/>
        </w:rPr>
        <w:t>”</w:t>
      </w:r>
      <w:r>
        <w:t>等均含本数。</w:t>
      </w:r>
    </w:p>
    <w:p w14:paraId="560317A9">
      <w:pPr>
        <w:pStyle w:val="3"/>
        <w:keepNext w:val="0"/>
        <w:keepLines w:val="0"/>
        <w:pageBreakBefore w:val="0"/>
        <w:widowControl w:val="0"/>
        <w:kinsoku/>
        <w:wordWrap/>
        <w:overflowPunct/>
        <w:topLinePunct w:val="0"/>
        <w:autoSpaceDN/>
        <w:bidi w:val="0"/>
        <w:adjustRightInd w:val="0"/>
        <w:snapToGrid w:val="0"/>
        <w:textAlignment w:val="auto"/>
      </w:pPr>
      <w:r>
        <w:t>（二）</w:t>
      </w:r>
      <w:r>
        <w:rPr>
          <w:rFonts w:hint="eastAsia"/>
        </w:rPr>
        <w:t>引导基金</w:t>
      </w:r>
      <w:r>
        <w:t>及管理</w:t>
      </w:r>
      <w:bookmarkStart w:id="17" w:name="_GoBack"/>
      <w:bookmarkEnd w:id="17"/>
      <w:r>
        <w:t>公司承诺对接收的报送材料保密，除非该等信息于披露时属于可公开获取的信息或因相关法律规定而必须披露的信息。</w:t>
      </w:r>
    </w:p>
    <w:p w14:paraId="4FAF8F6D">
      <w:pPr>
        <w:pStyle w:val="3"/>
        <w:keepNext w:val="0"/>
        <w:keepLines w:val="0"/>
        <w:pageBreakBefore w:val="0"/>
        <w:widowControl w:val="0"/>
        <w:kinsoku/>
        <w:wordWrap/>
        <w:overflowPunct/>
        <w:topLinePunct w:val="0"/>
        <w:autoSpaceDN/>
        <w:bidi w:val="0"/>
        <w:adjustRightInd w:val="0"/>
        <w:snapToGrid w:val="0"/>
        <w:textAlignment w:val="auto"/>
      </w:pPr>
      <w:r>
        <w:t>（三）本申报指南（含附件）由</w:t>
      </w:r>
      <w:r>
        <w:rPr>
          <w:rFonts w:hint="eastAsia"/>
        </w:rPr>
        <w:t>信阳</w:t>
      </w:r>
      <w:r>
        <w:rPr>
          <w:rFonts w:hint="eastAsia"/>
          <w:lang w:val="en-US" w:eastAsia="zh-CN"/>
        </w:rPr>
        <w:t>市</w:t>
      </w:r>
      <w:r>
        <w:rPr>
          <w:rFonts w:hint="eastAsia"/>
        </w:rPr>
        <w:t>鼎信国资私募基金管理有限公司</w:t>
      </w:r>
      <w:r>
        <w:t>解释。</w:t>
      </w:r>
    </w:p>
    <w:p w14:paraId="1D1E2B0E">
      <w:pPr>
        <w:keepNext w:val="0"/>
        <w:keepLines w:val="0"/>
        <w:pageBreakBefore w:val="0"/>
        <w:widowControl w:val="0"/>
        <w:wordWrap/>
        <w:overflowPunct/>
        <w:topLinePunct w:val="0"/>
        <w:autoSpaceDN/>
        <w:bidi w:val="0"/>
        <w:adjustRightInd w:val="0"/>
        <w:snapToGrid w:val="0"/>
        <w:textAlignment w:val="auto"/>
        <w:rPr>
          <w:rFonts w:cs="Times New Roman"/>
        </w:rPr>
      </w:pPr>
    </w:p>
    <w:p w14:paraId="2966857D">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申报指南附件：</w:t>
      </w:r>
    </w:p>
    <w:p w14:paraId="10436F1C">
      <w:pPr>
        <w:keepNext w:val="0"/>
        <w:keepLines w:val="0"/>
        <w:pageBreakBefore w:val="0"/>
        <w:widowControl w:val="0"/>
        <w:wordWrap/>
        <w:overflowPunct/>
        <w:topLinePunct w:val="0"/>
        <w:autoSpaceDN/>
        <w:bidi w:val="0"/>
        <w:adjustRightInd w:val="0"/>
        <w:snapToGrid w:val="0"/>
        <w:textAlignment w:val="auto"/>
        <w:rPr>
          <w:rFonts w:cs="Times New Roman"/>
        </w:rPr>
      </w:pPr>
      <w:r>
        <w:rPr>
          <w:rFonts w:cs="Times New Roman"/>
        </w:rPr>
        <w:t>1.申报</w:t>
      </w:r>
      <w:r>
        <w:rPr>
          <w:rFonts w:hint="eastAsia" w:cs="Times New Roman"/>
        </w:rPr>
        <w:t>方案模板</w:t>
      </w:r>
    </w:p>
    <w:p w14:paraId="519C24EF">
      <w:pPr>
        <w:keepNext w:val="0"/>
        <w:keepLines w:val="0"/>
        <w:pageBreakBefore w:val="0"/>
        <w:widowControl w:val="0"/>
        <w:wordWrap/>
        <w:overflowPunct/>
        <w:topLinePunct w:val="0"/>
        <w:autoSpaceDN/>
        <w:bidi w:val="0"/>
        <w:adjustRightInd w:val="0"/>
        <w:snapToGrid w:val="0"/>
        <w:textAlignment w:val="auto"/>
        <w:rPr>
          <w:rFonts w:cs="Times New Roman"/>
        </w:rPr>
      </w:pPr>
      <w:r>
        <w:rPr>
          <w:rFonts w:hint="eastAsia" w:cs="Times New Roman"/>
        </w:rPr>
        <w:t>2</w:t>
      </w:r>
      <w:r>
        <w:rPr>
          <w:rFonts w:cs="Times New Roman"/>
        </w:rPr>
        <w:t>.申报材料附表模板</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start="1"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FB2FDA9-BB31-4E87-BF83-9742FD0153DC}"/>
  </w:font>
  <w:font w:name="仿宋_GB2312">
    <w:panose1 w:val="02010609030101010101"/>
    <w:charset w:val="86"/>
    <w:family w:val="auto"/>
    <w:pitch w:val="default"/>
    <w:sig w:usb0="00000001" w:usb1="080E0000" w:usb2="00000000" w:usb3="00000000" w:csb0="00040000" w:csb1="00000000"/>
    <w:embedRegular r:id="rId2" w:fontKey="{C87D0E77-027F-4BAC-87A9-9058F0CBBF5D}"/>
  </w:font>
  <w:font w:name="方正小标宋简体">
    <w:panose1 w:val="03000509000000000000"/>
    <w:charset w:val="86"/>
    <w:family w:val="auto"/>
    <w:pitch w:val="default"/>
    <w:sig w:usb0="00000001" w:usb1="080E0000" w:usb2="00000000" w:usb3="00000000" w:csb0="00040000" w:csb1="00000000"/>
    <w:embedRegular r:id="rId3" w:fontKey="{C84EDC70-E6DF-408C-9C2C-2880878F667E}"/>
  </w:font>
  <w:font w:name="楷体_GB2312">
    <w:panose1 w:val="02010609030101010101"/>
    <w:charset w:val="86"/>
    <w:family w:val="auto"/>
    <w:pitch w:val="default"/>
    <w:sig w:usb0="00000001" w:usb1="080E0000" w:usb2="00000000" w:usb3="00000000" w:csb0="00040000" w:csb1="00000000"/>
    <w:embedRegular r:id="rId4" w:fontKey="{A21EA589-8850-4C8C-BD52-AE4A02439372}"/>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E4D3">
    <w:pPr>
      <w:pStyle w:val="8"/>
      <w:ind w:firstLine="360"/>
    </w:pPr>
    <w:r>
      <mc:AlternateContent>
        <mc:Choice Requires="wps">
          <w:drawing>
            <wp:anchor distT="0" distB="0" distL="114300" distR="114300" simplePos="0" relativeHeight="251659264" behindDoc="0" locked="0" layoutInCell="1" allowOverlap="1">
              <wp:simplePos x="0" y="0"/>
              <wp:positionH relativeFrom="margin">
                <wp:posOffset>2531110</wp:posOffset>
              </wp:positionH>
              <wp:positionV relativeFrom="paragraph">
                <wp:posOffset>0</wp:posOffset>
              </wp:positionV>
              <wp:extent cx="748030" cy="1828800"/>
              <wp:effectExtent l="0" t="0" r="13970" b="6350"/>
              <wp:wrapNone/>
              <wp:docPr id="6" name="文本框 6"/>
              <wp:cNvGraphicFramePr/>
              <a:graphic xmlns:a="http://schemas.openxmlformats.org/drawingml/2006/main">
                <a:graphicData uri="http://schemas.microsoft.com/office/word/2010/wordprocessingShape">
                  <wps:wsp>
                    <wps:cNvSpPr txBox="1"/>
                    <wps:spPr>
                      <a:xfrm>
                        <a:off x="0" y="0"/>
                        <a:ext cx="7483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251"/>
                          </w:sdtPr>
                          <w:sdtEndPr>
                            <w:rPr>
                              <w:rFonts w:asciiTheme="minorEastAsia" w:hAnsiTheme="minorEastAsia"/>
                              <w:sz w:val="28"/>
                              <w:szCs w:val="28"/>
                            </w:rPr>
                          </w:sdtEndPr>
                          <w:sdtContent>
                            <w:p w14:paraId="51CC0DBC">
                              <w:pPr>
                                <w:pStyle w:val="8"/>
                                <w:ind w:firstLine="360"/>
                                <w:rPr>
                                  <w:rFonts w:hint="eastAsia" w:asciiTheme="minorEastAsia" w:hAnsiTheme="minorEastAsia"/>
                                  <w:sz w:val="28"/>
                                  <w:szCs w:val="28"/>
                                </w:rPr>
                              </w:pPr>
                              <w:bookmarkStart w:id="16" w:name="OLE_LINK12"/>
                              <w:r>
                                <w:rPr>
                                  <w:rFonts w:hint="eastAsia"/>
                                </w:rPr>
                                <w:t>—</w:t>
                              </w:r>
                              <w:bookmarkEnd w:id="16"/>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r>
                                <w:rPr>
                                  <w:rFonts w:hint="eastAsia"/>
                                </w:rPr>
                                <w:t>—</w:t>
                              </w:r>
                            </w:p>
                          </w:sdtContent>
                        </w:sdt>
                        <w:p w14:paraId="1C37C1FD">
                          <w:pPr>
                            <w:pStyle w:val="14"/>
                            <w:ind w:firstLine="64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3pt;margin-top:0pt;height:144pt;width:58.9pt;mso-position-horizontal-relative:margin;z-index:251659264;mso-width-relative:page;mso-height-relative:page;" filled="f" stroked="f" coordsize="21600,21600" o:gfxdata="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4HHl9cAAAAIAQAADwAAAAAAAAABACAAAAAiAAAAZHJzL2Rvd25yZXYueG1s&#10;UEsBAhQAFAAAAAgAh07iQCplYaIyAgAAVgQAAA4AAAAAAAAAAQAgAAAAJgEAAGRycy9lMm9Eb2Mu&#10;eG1sUEsFBgAAAAAGAAYAWQEAAMoFAAAAAA==&#10;">
              <v:fill on="f" focussize="0,0"/>
              <v:stroke on="f" weight="0.5pt"/>
              <v:imagedata o:title=""/>
              <o:lock v:ext="edit" aspectratio="f"/>
              <v:textbox inset="0mm,0mm,0mm,0mm" style="mso-fit-shape-to-text:t;">
                <w:txbxContent>
                  <w:sdt>
                    <w:sdtPr>
                      <w:id w:val="147475251"/>
                    </w:sdtPr>
                    <w:sdtEndPr>
                      <w:rPr>
                        <w:rFonts w:asciiTheme="minorEastAsia" w:hAnsiTheme="minorEastAsia"/>
                        <w:sz w:val="28"/>
                        <w:szCs w:val="28"/>
                      </w:rPr>
                    </w:sdtEndPr>
                    <w:sdtContent>
                      <w:p w14:paraId="51CC0DBC">
                        <w:pPr>
                          <w:pStyle w:val="8"/>
                          <w:ind w:firstLine="360"/>
                          <w:rPr>
                            <w:rFonts w:hint="eastAsia" w:asciiTheme="minorEastAsia" w:hAnsiTheme="minorEastAsia"/>
                            <w:sz w:val="28"/>
                            <w:szCs w:val="28"/>
                          </w:rPr>
                        </w:pPr>
                        <w:bookmarkStart w:id="16" w:name="OLE_LINK12"/>
                        <w:r>
                          <w:rPr>
                            <w:rFonts w:hint="eastAsia"/>
                          </w:rPr>
                          <w:t>—</w:t>
                        </w:r>
                        <w:bookmarkEnd w:id="16"/>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r>
                          <w:rPr>
                            <w:rFonts w:hint="eastAsia"/>
                          </w:rPr>
                          <w:t>—</w:t>
                        </w:r>
                      </w:p>
                    </w:sdtContent>
                  </w:sdt>
                  <w:p w14:paraId="1C37C1FD">
                    <w:pPr>
                      <w:pStyle w:val="14"/>
                      <w:ind w:firstLine="6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E46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E23E">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6207">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217A">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2A25">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6D61"/>
    <w:rsid w:val="000035A6"/>
    <w:rsid w:val="00005CC8"/>
    <w:rsid w:val="00010C66"/>
    <w:rsid w:val="00020BFD"/>
    <w:rsid w:val="0002202B"/>
    <w:rsid w:val="0002708F"/>
    <w:rsid w:val="00033CFA"/>
    <w:rsid w:val="0004198F"/>
    <w:rsid w:val="0004371F"/>
    <w:rsid w:val="0004496E"/>
    <w:rsid w:val="00046EC6"/>
    <w:rsid w:val="00047081"/>
    <w:rsid w:val="000470FB"/>
    <w:rsid w:val="000544A5"/>
    <w:rsid w:val="00055E15"/>
    <w:rsid w:val="00061448"/>
    <w:rsid w:val="00066BB4"/>
    <w:rsid w:val="00067900"/>
    <w:rsid w:val="00071151"/>
    <w:rsid w:val="0007229C"/>
    <w:rsid w:val="0008402F"/>
    <w:rsid w:val="00084F25"/>
    <w:rsid w:val="0008594E"/>
    <w:rsid w:val="00093464"/>
    <w:rsid w:val="00093D2C"/>
    <w:rsid w:val="00093F74"/>
    <w:rsid w:val="00096473"/>
    <w:rsid w:val="00097509"/>
    <w:rsid w:val="000A141D"/>
    <w:rsid w:val="000A2189"/>
    <w:rsid w:val="000A294E"/>
    <w:rsid w:val="000A4332"/>
    <w:rsid w:val="000A646B"/>
    <w:rsid w:val="000A6BC8"/>
    <w:rsid w:val="000A728B"/>
    <w:rsid w:val="000B23F8"/>
    <w:rsid w:val="000B4D29"/>
    <w:rsid w:val="000B6193"/>
    <w:rsid w:val="000C222C"/>
    <w:rsid w:val="000C2424"/>
    <w:rsid w:val="000C2982"/>
    <w:rsid w:val="000C3F68"/>
    <w:rsid w:val="000C60FB"/>
    <w:rsid w:val="000D0CD7"/>
    <w:rsid w:val="000D1BAC"/>
    <w:rsid w:val="000D2054"/>
    <w:rsid w:val="000D2A43"/>
    <w:rsid w:val="000D38A2"/>
    <w:rsid w:val="000D7C96"/>
    <w:rsid w:val="000E1C17"/>
    <w:rsid w:val="000E6D0F"/>
    <w:rsid w:val="000F1763"/>
    <w:rsid w:val="000F51F4"/>
    <w:rsid w:val="00101DDC"/>
    <w:rsid w:val="00102ACF"/>
    <w:rsid w:val="00105459"/>
    <w:rsid w:val="00106E6F"/>
    <w:rsid w:val="001072C1"/>
    <w:rsid w:val="0011042A"/>
    <w:rsid w:val="001126E1"/>
    <w:rsid w:val="001137F0"/>
    <w:rsid w:val="0011416B"/>
    <w:rsid w:val="0012027F"/>
    <w:rsid w:val="0012037B"/>
    <w:rsid w:val="001223D2"/>
    <w:rsid w:val="00123F1E"/>
    <w:rsid w:val="001244B1"/>
    <w:rsid w:val="00124582"/>
    <w:rsid w:val="0012587A"/>
    <w:rsid w:val="00133FF4"/>
    <w:rsid w:val="00134211"/>
    <w:rsid w:val="001342AC"/>
    <w:rsid w:val="0013711C"/>
    <w:rsid w:val="001428C0"/>
    <w:rsid w:val="00144778"/>
    <w:rsid w:val="001466B1"/>
    <w:rsid w:val="0015347C"/>
    <w:rsid w:val="00153E6B"/>
    <w:rsid w:val="001559B5"/>
    <w:rsid w:val="0015667D"/>
    <w:rsid w:val="001574D7"/>
    <w:rsid w:val="00161D5E"/>
    <w:rsid w:val="00162487"/>
    <w:rsid w:val="001626AE"/>
    <w:rsid w:val="00162E34"/>
    <w:rsid w:val="00164271"/>
    <w:rsid w:val="00166350"/>
    <w:rsid w:val="0017089D"/>
    <w:rsid w:val="001740FA"/>
    <w:rsid w:val="00174434"/>
    <w:rsid w:val="00174AD9"/>
    <w:rsid w:val="0017707E"/>
    <w:rsid w:val="00177F0B"/>
    <w:rsid w:val="00180528"/>
    <w:rsid w:val="00180582"/>
    <w:rsid w:val="00182044"/>
    <w:rsid w:val="001853B8"/>
    <w:rsid w:val="0018577B"/>
    <w:rsid w:val="0018691A"/>
    <w:rsid w:val="00191FC0"/>
    <w:rsid w:val="00193DD9"/>
    <w:rsid w:val="001951C1"/>
    <w:rsid w:val="001954FA"/>
    <w:rsid w:val="00195D1A"/>
    <w:rsid w:val="001A3DFC"/>
    <w:rsid w:val="001B0ABD"/>
    <w:rsid w:val="001B61D4"/>
    <w:rsid w:val="001B6B71"/>
    <w:rsid w:val="001C0731"/>
    <w:rsid w:val="001C2527"/>
    <w:rsid w:val="001C28D2"/>
    <w:rsid w:val="001C7A96"/>
    <w:rsid w:val="001D1E2D"/>
    <w:rsid w:val="001D2040"/>
    <w:rsid w:val="001D2539"/>
    <w:rsid w:val="001D49D1"/>
    <w:rsid w:val="001D4D45"/>
    <w:rsid w:val="001D6D07"/>
    <w:rsid w:val="001D7904"/>
    <w:rsid w:val="001D7E82"/>
    <w:rsid w:val="001D7FAA"/>
    <w:rsid w:val="001E61FB"/>
    <w:rsid w:val="001F3592"/>
    <w:rsid w:val="00200068"/>
    <w:rsid w:val="00200197"/>
    <w:rsid w:val="0020043D"/>
    <w:rsid w:val="0020216E"/>
    <w:rsid w:val="00205481"/>
    <w:rsid w:val="00207FF0"/>
    <w:rsid w:val="0021178E"/>
    <w:rsid w:val="002128BC"/>
    <w:rsid w:val="00214F85"/>
    <w:rsid w:val="00216B73"/>
    <w:rsid w:val="0022081F"/>
    <w:rsid w:val="00222CF9"/>
    <w:rsid w:val="00222E8B"/>
    <w:rsid w:val="002277AE"/>
    <w:rsid w:val="0023030A"/>
    <w:rsid w:val="002309C5"/>
    <w:rsid w:val="00230F7B"/>
    <w:rsid w:val="00231727"/>
    <w:rsid w:val="00232346"/>
    <w:rsid w:val="00233C38"/>
    <w:rsid w:val="00237BB9"/>
    <w:rsid w:val="00240DD1"/>
    <w:rsid w:val="0024285C"/>
    <w:rsid w:val="00246606"/>
    <w:rsid w:val="00247904"/>
    <w:rsid w:val="00252199"/>
    <w:rsid w:val="002561DD"/>
    <w:rsid w:val="002569A4"/>
    <w:rsid w:val="00262E4F"/>
    <w:rsid w:val="002633BE"/>
    <w:rsid w:val="0026583D"/>
    <w:rsid w:val="002709F0"/>
    <w:rsid w:val="002717AE"/>
    <w:rsid w:val="00271BB0"/>
    <w:rsid w:val="00272948"/>
    <w:rsid w:val="0027333A"/>
    <w:rsid w:val="0027613A"/>
    <w:rsid w:val="002833FA"/>
    <w:rsid w:val="0028403C"/>
    <w:rsid w:val="00285CD4"/>
    <w:rsid w:val="00291A48"/>
    <w:rsid w:val="00293886"/>
    <w:rsid w:val="00293F9E"/>
    <w:rsid w:val="0029632C"/>
    <w:rsid w:val="002A0EA1"/>
    <w:rsid w:val="002A106B"/>
    <w:rsid w:val="002B0800"/>
    <w:rsid w:val="002B0A29"/>
    <w:rsid w:val="002B2B99"/>
    <w:rsid w:val="002B663A"/>
    <w:rsid w:val="002B6E5A"/>
    <w:rsid w:val="002C12DE"/>
    <w:rsid w:val="002C3E60"/>
    <w:rsid w:val="002C3EA9"/>
    <w:rsid w:val="002C629C"/>
    <w:rsid w:val="002C72F6"/>
    <w:rsid w:val="002D14B0"/>
    <w:rsid w:val="002D1780"/>
    <w:rsid w:val="002D2598"/>
    <w:rsid w:val="002D34FA"/>
    <w:rsid w:val="002D6262"/>
    <w:rsid w:val="002E3261"/>
    <w:rsid w:val="002E3F27"/>
    <w:rsid w:val="002E4CB1"/>
    <w:rsid w:val="002E4F6E"/>
    <w:rsid w:val="002E7C47"/>
    <w:rsid w:val="002F0409"/>
    <w:rsid w:val="002F2B76"/>
    <w:rsid w:val="002F34B5"/>
    <w:rsid w:val="002F38F6"/>
    <w:rsid w:val="002F4B2F"/>
    <w:rsid w:val="00303409"/>
    <w:rsid w:val="003101E2"/>
    <w:rsid w:val="003118C3"/>
    <w:rsid w:val="00312592"/>
    <w:rsid w:val="00317D27"/>
    <w:rsid w:val="00320567"/>
    <w:rsid w:val="00321E36"/>
    <w:rsid w:val="00321E9B"/>
    <w:rsid w:val="00325A63"/>
    <w:rsid w:val="00331685"/>
    <w:rsid w:val="003337BD"/>
    <w:rsid w:val="0033581D"/>
    <w:rsid w:val="00335EF7"/>
    <w:rsid w:val="00336D38"/>
    <w:rsid w:val="00341BD7"/>
    <w:rsid w:val="00343A06"/>
    <w:rsid w:val="00344AE0"/>
    <w:rsid w:val="00354883"/>
    <w:rsid w:val="003570BF"/>
    <w:rsid w:val="00360A44"/>
    <w:rsid w:val="00362AE0"/>
    <w:rsid w:val="00362F10"/>
    <w:rsid w:val="003662CE"/>
    <w:rsid w:val="0036795A"/>
    <w:rsid w:val="003702D6"/>
    <w:rsid w:val="00382545"/>
    <w:rsid w:val="003845A4"/>
    <w:rsid w:val="00385BC1"/>
    <w:rsid w:val="003862D5"/>
    <w:rsid w:val="003872BF"/>
    <w:rsid w:val="003872CC"/>
    <w:rsid w:val="00387865"/>
    <w:rsid w:val="003908CB"/>
    <w:rsid w:val="00391BA3"/>
    <w:rsid w:val="00393A75"/>
    <w:rsid w:val="00397A17"/>
    <w:rsid w:val="00397EBB"/>
    <w:rsid w:val="003A0B44"/>
    <w:rsid w:val="003A1888"/>
    <w:rsid w:val="003A5C6B"/>
    <w:rsid w:val="003A7DAF"/>
    <w:rsid w:val="003B455B"/>
    <w:rsid w:val="003C065A"/>
    <w:rsid w:val="003C2BE8"/>
    <w:rsid w:val="003C345D"/>
    <w:rsid w:val="003D05D3"/>
    <w:rsid w:val="003D102E"/>
    <w:rsid w:val="003D5AAF"/>
    <w:rsid w:val="003D6D75"/>
    <w:rsid w:val="003D76B3"/>
    <w:rsid w:val="003D7852"/>
    <w:rsid w:val="003E1041"/>
    <w:rsid w:val="003E26F9"/>
    <w:rsid w:val="003E2C78"/>
    <w:rsid w:val="003E451C"/>
    <w:rsid w:val="003F1E93"/>
    <w:rsid w:val="003F4A0A"/>
    <w:rsid w:val="003F53E4"/>
    <w:rsid w:val="003F7228"/>
    <w:rsid w:val="004030B4"/>
    <w:rsid w:val="00405A35"/>
    <w:rsid w:val="004135D4"/>
    <w:rsid w:val="0041550A"/>
    <w:rsid w:val="004167A4"/>
    <w:rsid w:val="00416BF6"/>
    <w:rsid w:val="00416C2A"/>
    <w:rsid w:val="0041767F"/>
    <w:rsid w:val="00417A3C"/>
    <w:rsid w:val="00420436"/>
    <w:rsid w:val="00420A3B"/>
    <w:rsid w:val="00421311"/>
    <w:rsid w:val="0042286E"/>
    <w:rsid w:val="0042420C"/>
    <w:rsid w:val="00424E8C"/>
    <w:rsid w:val="00425349"/>
    <w:rsid w:val="00425928"/>
    <w:rsid w:val="004266AC"/>
    <w:rsid w:val="0043159D"/>
    <w:rsid w:val="004316E9"/>
    <w:rsid w:val="00431AE4"/>
    <w:rsid w:val="00432839"/>
    <w:rsid w:val="00435117"/>
    <w:rsid w:val="0043611A"/>
    <w:rsid w:val="00441FFE"/>
    <w:rsid w:val="004436B6"/>
    <w:rsid w:val="004444F0"/>
    <w:rsid w:val="0044522A"/>
    <w:rsid w:val="00452E0A"/>
    <w:rsid w:val="00455367"/>
    <w:rsid w:val="00462295"/>
    <w:rsid w:val="004657E2"/>
    <w:rsid w:val="00466A50"/>
    <w:rsid w:val="00466F2B"/>
    <w:rsid w:val="00467C4C"/>
    <w:rsid w:val="00470A98"/>
    <w:rsid w:val="00472589"/>
    <w:rsid w:val="0047302B"/>
    <w:rsid w:val="00473865"/>
    <w:rsid w:val="004749CF"/>
    <w:rsid w:val="00474EBA"/>
    <w:rsid w:val="004753FF"/>
    <w:rsid w:val="00487A26"/>
    <w:rsid w:val="0049483F"/>
    <w:rsid w:val="00495262"/>
    <w:rsid w:val="0049579C"/>
    <w:rsid w:val="00496152"/>
    <w:rsid w:val="004961CC"/>
    <w:rsid w:val="00497C63"/>
    <w:rsid w:val="004A0561"/>
    <w:rsid w:val="004A1BC3"/>
    <w:rsid w:val="004A240D"/>
    <w:rsid w:val="004A353B"/>
    <w:rsid w:val="004A3AC6"/>
    <w:rsid w:val="004A3AFF"/>
    <w:rsid w:val="004A5B6F"/>
    <w:rsid w:val="004A682A"/>
    <w:rsid w:val="004B0E51"/>
    <w:rsid w:val="004B18A2"/>
    <w:rsid w:val="004B423C"/>
    <w:rsid w:val="004C05E8"/>
    <w:rsid w:val="004C4210"/>
    <w:rsid w:val="004C4D36"/>
    <w:rsid w:val="004C6134"/>
    <w:rsid w:val="004D110F"/>
    <w:rsid w:val="004D172F"/>
    <w:rsid w:val="004D1D3D"/>
    <w:rsid w:val="004D2463"/>
    <w:rsid w:val="004D3ADB"/>
    <w:rsid w:val="004D64F6"/>
    <w:rsid w:val="004E07C9"/>
    <w:rsid w:val="004E2B9F"/>
    <w:rsid w:val="004E3368"/>
    <w:rsid w:val="004E517C"/>
    <w:rsid w:val="004F5275"/>
    <w:rsid w:val="00501E55"/>
    <w:rsid w:val="0050397A"/>
    <w:rsid w:val="00503D53"/>
    <w:rsid w:val="0050516C"/>
    <w:rsid w:val="00505AC0"/>
    <w:rsid w:val="00507F2D"/>
    <w:rsid w:val="00510693"/>
    <w:rsid w:val="00512969"/>
    <w:rsid w:val="005150EB"/>
    <w:rsid w:val="0051533C"/>
    <w:rsid w:val="00516FCA"/>
    <w:rsid w:val="005171F4"/>
    <w:rsid w:val="00517354"/>
    <w:rsid w:val="00520E77"/>
    <w:rsid w:val="00524773"/>
    <w:rsid w:val="0052656F"/>
    <w:rsid w:val="00527C52"/>
    <w:rsid w:val="00533375"/>
    <w:rsid w:val="005342D7"/>
    <w:rsid w:val="005366BB"/>
    <w:rsid w:val="005376E6"/>
    <w:rsid w:val="005419BD"/>
    <w:rsid w:val="00546AC9"/>
    <w:rsid w:val="00546EF3"/>
    <w:rsid w:val="00551F91"/>
    <w:rsid w:val="00555B84"/>
    <w:rsid w:val="00556761"/>
    <w:rsid w:val="005617EF"/>
    <w:rsid w:val="005624A7"/>
    <w:rsid w:val="005630D4"/>
    <w:rsid w:val="00564BE5"/>
    <w:rsid w:val="00566B26"/>
    <w:rsid w:val="005714A8"/>
    <w:rsid w:val="00573DC2"/>
    <w:rsid w:val="005747B5"/>
    <w:rsid w:val="005765EC"/>
    <w:rsid w:val="00577718"/>
    <w:rsid w:val="00577A3F"/>
    <w:rsid w:val="00577D6C"/>
    <w:rsid w:val="005805DD"/>
    <w:rsid w:val="00580783"/>
    <w:rsid w:val="00580DF9"/>
    <w:rsid w:val="0058105D"/>
    <w:rsid w:val="005906FC"/>
    <w:rsid w:val="005911A8"/>
    <w:rsid w:val="005925E7"/>
    <w:rsid w:val="00593A56"/>
    <w:rsid w:val="005943F4"/>
    <w:rsid w:val="005A0495"/>
    <w:rsid w:val="005A30BA"/>
    <w:rsid w:val="005A4803"/>
    <w:rsid w:val="005B035D"/>
    <w:rsid w:val="005B2A8D"/>
    <w:rsid w:val="005B329F"/>
    <w:rsid w:val="005B5200"/>
    <w:rsid w:val="005C590C"/>
    <w:rsid w:val="005C6E2C"/>
    <w:rsid w:val="005C7A63"/>
    <w:rsid w:val="005D2599"/>
    <w:rsid w:val="005D45A8"/>
    <w:rsid w:val="005D7F32"/>
    <w:rsid w:val="005E0AE9"/>
    <w:rsid w:val="005E2EE8"/>
    <w:rsid w:val="005E338F"/>
    <w:rsid w:val="005E3B19"/>
    <w:rsid w:val="005E409C"/>
    <w:rsid w:val="005E4345"/>
    <w:rsid w:val="005E4F8F"/>
    <w:rsid w:val="005E63A2"/>
    <w:rsid w:val="005E6776"/>
    <w:rsid w:val="005E73F2"/>
    <w:rsid w:val="005F0F30"/>
    <w:rsid w:val="005F19D8"/>
    <w:rsid w:val="005F2898"/>
    <w:rsid w:val="005F3215"/>
    <w:rsid w:val="005F3655"/>
    <w:rsid w:val="005F7308"/>
    <w:rsid w:val="0060321D"/>
    <w:rsid w:val="006103B8"/>
    <w:rsid w:val="0061280A"/>
    <w:rsid w:val="006142C0"/>
    <w:rsid w:val="00614E05"/>
    <w:rsid w:val="00615DAE"/>
    <w:rsid w:val="0061723D"/>
    <w:rsid w:val="00623B22"/>
    <w:rsid w:val="00624CD0"/>
    <w:rsid w:val="006304C4"/>
    <w:rsid w:val="0063065A"/>
    <w:rsid w:val="00633D26"/>
    <w:rsid w:val="00635C8F"/>
    <w:rsid w:val="006373C5"/>
    <w:rsid w:val="00640861"/>
    <w:rsid w:val="00640E3A"/>
    <w:rsid w:val="00641A8B"/>
    <w:rsid w:val="00642CD9"/>
    <w:rsid w:val="006435BD"/>
    <w:rsid w:val="00645F1A"/>
    <w:rsid w:val="00647E6E"/>
    <w:rsid w:val="0065138E"/>
    <w:rsid w:val="00652B78"/>
    <w:rsid w:val="0065308C"/>
    <w:rsid w:val="00657DCB"/>
    <w:rsid w:val="00662216"/>
    <w:rsid w:val="00662F60"/>
    <w:rsid w:val="00665670"/>
    <w:rsid w:val="00667282"/>
    <w:rsid w:val="00667BC4"/>
    <w:rsid w:val="00671292"/>
    <w:rsid w:val="00671648"/>
    <w:rsid w:val="00673D68"/>
    <w:rsid w:val="00680098"/>
    <w:rsid w:val="006803BD"/>
    <w:rsid w:val="00681416"/>
    <w:rsid w:val="00683465"/>
    <w:rsid w:val="00686BFB"/>
    <w:rsid w:val="0069110F"/>
    <w:rsid w:val="0069726A"/>
    <w:rsid w:val="00697EDB"/>
    <w:rsid w:val="006A05E7"/>
    <w:rsid w:val="006A65F4"/>
    <w:rsid w:val="006B03C5"/>
    <w:rsid w:val="006B42CE"/>
    <w:rsid w:val="006B4954"/>
    <w:rsid w:val="006B6809"/>
    <w:rsid w:val="006C05BD"/>
    <w:rsid w:val="006C64AC"/>
    <w:rsid w:val="006D2123"/>
    <w:rsid w:val="006E4DB7"/>
    <w:rsid w:val="006E7F72"/>
    <w:rsid w:val="006F2290"/>
    <w:rsid w:val="006F2861"/>
    <w:rsid w:val="006F334E"/>
    <w:rsid w:val="00700840"/>
    <w:rsid w:val="0070190D"/>
    <w:rsid w:val="0070376F"/>
    <w:rsid w:val="00703EB6"/>
    <w:rsid w:val="00704B14"/>
    <w:rsid w:val="00707909"/>
    <w:rsid w:val="007104D1"/>
    <w:rsid w:val="00710ADF"/>
    <w:rsid w:val="00710C0F"/>
    <w:rsid w:val="0071539B"/>
    <w:rsid w:val="00715FE7"/>
    <w:rsid w:val="00720A2F"/>
    <w:rsid w:val="00723CC4"/>
    <w:rsid w:val="00725290"/>
    <w:rsid w:val="00725764"/>
    <w:rsid w:val="007279A0"/>
    <w:rsid w:val="00727DB2"/>
    <w:rsid w:val="00732C29"/>
    <w:rsid w:val="007337C0"/>
    <w:rsid w:val="00735F7F"/>
    <w:rsid w:val="0073658C"/>
    <w:rsid w:val="00737348"/>
    <w:rsid w:val="00740031"/>
    <w:rsid w:val="007411AE"/>
    <w:rsid w:val="00744486"/>
    <w:rsid w:val="0074573F"/>
    <w:rsid w:val="0074580D"/>
    <w:rsid w:val="007515F4"/>
    <w:rsid w:val="007538C3"/>
    <w:rsid w:val="00754375"/>
    <w:rsid w:val="00755218"/>
    <w:rsid w:val="00756259"/>
    <w:rsid w:val="00761860"/>
    <w:rsid w:val="00763E9C"/>
    <w:rsid w:val="00764B86"/>
    <w:rsid w:val="00765CF1"/>
    <w:rsid w:val="007701BE"/>
    <w:rsid w:val="00770328"/>
    <w:rsid w:val="0077034E"/>
    <w:rsid w:val="007719C4"/>
    <w:rsid w:val="0077295F"/>
    <w:rsid w:val="00773B73"/>
    <w:rsid w:val="00774827"/>
    <w:rsid w:val="0078355A"/>
    <w:rsid w:val="00783725"/>
    <w:rsid w:val="00783756"/>
    <w:rsid w:val="00784250"/>
    <w:rsid w:val="0078531E"/>
    <w:rsid w:val="007854DD"/>
    <w:rsid w:val="00791D07"/>
    <w:rsid w:val="007934A7"/>
    <w:rsid w:val="00794952"/>
    <w:rsid w:val="007A10F1"/>
    <w:rsid w:val="007A26C7"/>
    <w:rsid w:val="007A2732"/>
    <w:rsid w:val="007A27D5"/>
    <w:rsid w:val="007A4E24"/>
    <w:rsid w:val="007A5A8B"/>
    <w:rsid w:val="007A6272"/>
    <w:rsid w:val="007A76C1"/>
    <w:rsid w:val="007B03FF"/>
    <w:rsid w:val="007B4B80"/>
    <w:rsid w:val="007B56F8"/>
    <w:rsid w:val="007B5FF3"/>
    <w:rsid w:val="007B6906"/>
    <w:rsid w:val="007B6FA2"/>
    <w:rsid w:val="007C0FA5"/>
    <w:rsid w:val="007C1578"/>
    <w:rsid w:val="007C1A68"/>
    <w:rsid w:val="007C3F66"/>
    <w:rsid w:val="007C6E9A"/>
    <w:rsid w:val="007D108A"/>
    <w:rsid w:val="007D1B2A"/>
    <w:rsid w:val="007D3CF8"/>
    <w:rsid w:val="007D4225"/>
    <w:rsid w:val="007E0C92"/>
    <w:rsid w:val="007E4D2E"/>
    <w:rsid w:val="007F3692"/>
    <w:rsid w:val="007F4929"/>
    <w:rsid w:val="0080087F"/>
    <w:rsid w:val="008037E0"/>
    <w:rsid w:val="00805CD1"/>
    <w:rsid w:val="008160AC"/>
    <w:rsid w:val="008205A9"/>
    <w:rsid w:val="00820A10"/>
    <w:rsid w:val="00821804"/>
    <w:rsid w:val="00823784"/>
    <w:rsid w:val="008243C3"/>
    <w:rsid w:val="00833C24"/>
    <w:rsid w:val="008374D0"/>
    <w:rsid w:val="008454FE"/>
    <w:rsid w:val="0084631F"/>
    <w:rsid w:val="0085071E"/>
    <w:rsid w:val="0085630C"/>
    <w:rsid w:val="00857325"/>
    <w:rsid w:val="00857619"/>
    <w:rsid w:val="00857763"/>
    <w:rsid w:val="00860D2A"/>
    <w:rsid w:val="00863214"/>
    <w:rsid w:val="008662E3"/>
    <w:rsid w:val="0086711F"/>
    <w:rsid w:val="00867DB0"/>
    <w:rsid w:val="008707F6"/>
    <w:rsid w:val="008709A9"/>
    <w:rsid w:val="00872A32"/>
    <w:rsid w:val="00873605"/>
    <w:rsid w:val="00873C81"/>
    <w:rsid w:val="008755B2"/>
    <w:rsid w:val="008764BC"/>
    <w:rsid w:val="00877C2A"/>
    <w:rsid w:val="00882889"/>
    <w:rsid w:val="0088296D"/>
    <w:rsid w:val="00883221"/>
    <w:rsid w:val="0088771F"/>
    <w:rsid w:val="00891E11"/>
    <w:rsid w:val="00895F6E"/>
    <w:rsid w:val="008A302B"/>
    <w:rsid w:val="008A442A"/>
    <w:rsid w:val="008B4C57"/>
    <w:rsid w:val="008B65FB"/>
    <w:rsid w:val="008B67A2"/>
    <w:rsid w:val="008C01B3"/>
    <w:rsid w:val="008C21B8"/>
    <w:rsid w:val="008D18BA"/>
    <w:rsid w:val="008D21B8"/>
    <w:rsid w:val="008D3CB1"/>
    <w:rsid w:val="008D4BAF"/>
    <w:rsid w:val="008E1666"/>
    <w:rsid w:val="008E32B0"/>
    <w:rsid w:val="008E4D2E"/>
    <w:rsid w:val="008E5EC8"/>
    <w:rsid w:val="008F0C8F"/>
    <w:rsid w:val="008F135B"/>
    <w:rsid w:val="008F1A92"/>
    <w:rsid w:val="008F1FAC"/>
    <w:rsid w:val="008F2144"/>
    <w:rsid w:val="008F3C59"/>
    <w:rsid w:val="008F412A"/>
    <w:rsid w:val="00900B75"/>
    <w:rsid w:val="00901161"/>
    <w:rsid w:val="009016E4"/>
    <w:rsid w:val="0090233D"/>
    <w:rsid w:val="00902A49"/>
    <w:rsid w:val="00902EB8"/>
    <w:rsid w:val="009037E6"/>
    <w:rsid w:val="009156CC"/>
    <w:rsid w:val="00920050"/>
    <w:rsid w:val="009248B0"/>
    <w:rsid w:val="00926F99"/>
    <w:rsid w:val="00930561"/>
    <w:rsid w:val="00932952"/>
    <w:rsid w:val="0093353F"/>
    <w:rsid w:val="009337D9"/>
    <w:rsid w:val="00941FA1"/>
    <w:rsid w:val="00942B4A"/>
    <w:rsid w:val="00943EE4"/>
    <w:rsid w:val="009444C9"/>
    <w:rsid w:val="00947169"/>
    <w:rsid w:val="00947716"/>
    <w:rsid w:val="00951D63"/>
    <w:rsid w:val="0095277B"/>
    <w:rsid w:val="00953B3E"/>
    <w:rsid w:val="00954BF8"/>
    <w:rsid w:val="00955ACE"/>
    <w:rsid w:val="00955D75"/>
    <w:rsid w:val="00956B6B"/>
    <w:rsid w:val="00957C27"/>
    <w:rsid w:val="00960214"/>
    <w:rsid w:val="009604B3"/>
    <w:rsid w:val="00960587"/>
    <w:rsid w:val="00960BC8"/>
    <w:rsid w:val="009616F3"/>
    <w:rsid w:val="00962A0B"/>
    <w:rsid w:val="009651B7"/>
    <w:rsid w:val="00966E51"/>
    <w:rsid w:val="009672C5"/>
    <w:rsid w:val="0097056E"/>
    <w:rsid w:val="009730C9"/>
    <w:rsid w:val="00975C2B"/>
    <w:rsid w:val="00976FDC"/>
    <w:rsid w:val="0098268D"/>
    <w:rsid w:val="00983407"/>
    <w:rsid w:val="00986F28"/>
    <w:rsid w:val="009874E4"/>
    <w:rsid w:val="00990BE7"/>
    <w:rsid w:val="009913EE"/>
    <w:rsid w:val="00991DE1"/>
    <w:rsid w:val="009935D2"/>
    <w:rsid w:val="00993F6D"/>
    <w:rsid w:val="0099563D"/>
    <w:rsid w:val="00996BD2"/>
    <w:rsid w:val="009A01CF"/>
    <w:rsid w:val="009A0593"/>
    <w:rsid w:val="009A1412"/>
    <w:rsid w:val="009A5C63"/>
    <w:rsid w:val="009A609C"/>
    <w:rsid w:val="009A677A"/>
    <w:rsid w:val="009A6CDE"/>
    <w:rsid w:val="009B2378"/>
    <w:rsid w:val="009B46D1"/>
    <w:rsid w:val="009B70E8"/>
    <w:rsid w:val="009B74A3"/>
    <w:rsid w:val="009C0F8C"/>
    <w:rsid w:val="009C1609"/>
    <w:rsid w:val="009C6DB9"/>
    <w:rsid w:val="009C724B"/>
    <w:rsid w:val="009D0328"/>
    <w:rsid w:val="009D04CC"/>
    <w:rsid w:val="009D3D95"/>
    <w:rsid w:val="009D55B2"/>
    <w:rsid w:val="009D6047"/>
    <w:rsid w:val="009E012B"/>
    <w:rsid w:val="009E7260"/>
    <w:rsid w:val="009F1F53"/>
    <w:rsid w:val="009F2344"/>
    <w:rsid w:val="009F4159"/>
    <w:rsid w:val="009F49A3"/>
    <w:rsid w:val="009F4CCD"/>
    <w:rsid w:val="009F57F0"/>
    <w:rsid w:val="009F75FD"/>
    <w:rsid w:val="00A035F5"/>
    <w:rsid w:val="00A03A6D"/>
    <w:rsid w:val="00A04C8E"/>
    <w:rsid w:val="00A11B68"/>
    <w:rsid w:val="00A16338"/>
    <w:rsid w:val="00A1668E"/>
    <w:rsid w:val="00A214B2"/>
    <w:rsid w:val="00A21D6E"/>
    <w:rsid w:val="00A22C53"/>
    <w:rsid w:val="00A258AA"/>
    <w:rsid w:val="00A345E0"/>
    <w:rsid w:val="00A34CF4"/>
    <w:rsid w:val="00A35A43"/>
    <w:rsid w:val="00A3603D"/>
    <w:rsid w:val="00A40540"/>
    <w:rsid w:val="00A40B95"/>
    <w:rsid w:val="00A415A3"/>
    <w:rsid w:val="00A42D88"/>
    <w:rsid w:val="00A44690"/>
    <w:rsid w:val="00A44F1A"/>
    <w:rsid w:val="00A451FC"/>
    <w:rsid w:val="00A45BC4"/>
    <w:rsid w:val="00A47D5B"/>
    <w:rsid w:val="00A54DD2"/>
    <w:rsid w:val="00A551FA"/>
    <w:rsid w:val="00A5568A"/>
    <w:rsid w:val="00A609FD"/>
    <w:rsid w:val="00A627D5"/>
    <w:rsid w:val="00A643F5"/>
    <w:rsid w:val="00A64BBF"/>
    <w:rsid w:val="00A657E8"/>
    <w:rsid w:val="00A76059"/>
    <w:rsid w:val="00A81B8A"/>
    <w:rsid w:val="00A81D75"/>
    <w:rsid w:val="00A8297F"/>
    <w:rsid w:val="00A9074F"/>
    <w:rsid w:val="00A916E7"/>
    <w:rsid w:val="00A93121"/>
    <w:rsid w:val="00A97710"/>
    <w:rsid w:val="00AA1A6D"/>
    <w:rsid w:val="00AA3483"/>
    <w:rsid w:val="00AA5263"/>
    <w:rsid w:val="00AA732D"/>
    <w:rsid w:val="00AB22E0"/>
    <w:rsid w:val="00AC2E63"/>
    <w:rsid w:val="00AC3182"/>
    <w:rsid w:val="00AC5F32"/>
    <w:rsid w:val="00AC78C5"/>
    <w:rsid w:val="00AD173B"/>
    <w:rsid w:val="00AD3B69"/>
    <w:rsid w:val="00AD3C49"/>
    <w:rsid w:val="00AE17C3"/>
    <w:rsid w:val="00AE26A9"/>
    <w:rsid w:val="00AE7B86"/>
    <w:rsid w:val="00AE7C7E"/>
    <w:rsid w:val="00AF0059"/>
    <w:rsid w:val="00AF14C2"/>
    <w:rsid w:val="00AF2BD5"/>
    <w:rsid w:val="00AF325B"/>
    <w:rsid w:val="00AF73A1"/>
    <w:rsid w:val="00AF746F"/>
    <w:rsid w:val="00B061AE"/>
    <w:rsid w:val="00B07434"/>
    <w:rsid w:val="00B13DD1"/>
    <w:rsid w:val="00B13E55"/>
    <w:rsid w:val="00B143AA"/>
    <w:rsid w:val="00B14416"/>
    <w:rsid w:val="00B14A28"/>
    <w:rsid w:val="00B16B68"/>
    <w:rsid w:val="00B17983"/>
    <w:rsid w:val="00B26954"/>
    <w:rsid w:val="00B26AE5"/>
    <w:rsid w:val="00B26B06"/>
    <w:rsid w:val="00B27B56"/>
    <w:rsid w:val="00B35D87"/>
    <w:rsid w:val="00B35E72"/>
    <w:rsid w:val="00B43B85"/>
    <w:rsid w:val="00B43EBC"/>
    <w:rsid w:val="00B461A9"/>
    <w:rsid w:val="00B50FF0"/>
    <w:rsid w:val="00B55376"/>
    <w:rsid w:val="00B55823"/>
    <w:rsid w:val="00B56EA0"/>
    <w:rsid w:val="00B63EAB"/>
    <w:rsid w:val="00B70487"/>
    <w:rsid w:val="00B74DBA"/>
    <w:rsid w:val="00B75577"/>
    <w:rsid w:val="00B77001"/>
    <w:rsid w:val="00B80B3B"/>
    <w:rsid w:val="00B80B50"/>
    <w:rsid w:val="00B827E3"/>
    <w:rsid w:val="00B82E3E"/>
    <w:rsid w:val="00B83FBD"/>
    <w:rsid w:val="00B84FD3"/>
    <w:rsid w:val="00B90767"/>
    <w:rsid w:val="00B91619"/>
    <w:rsid w:val="00B91BD0"/>
    <w:rsid w:val="00B92451"/>
    <w:rsid w:val="00B92AD5"/>
    <w:rsid w:val="00B94889"/>
    <w:rsid w:val="00B95781"/>
    <w:rsid w:val="00B96AA5"/>
    <w:rsid w:val="00B97D6D"/>
    <w:rsid w:val="00BA29FA"/>
    <w:rsid w:val="00BA443C"/>
    <w:rsid w:val="00BA5C8B"/>
    <w:rsid w:val="00BA6EF1"/>
    <w:rsid w:val="00BB0820"/>
    <w:rsid w:val="00BB6B8C"/>
    <w:rsid w:val="00BC10E0"/>
    <w:rsid w:val="00BC3749"/>
    <w:rsid w:val="00BC757C"/>
    <w:rsid w:val="00BD1EB1"/>
    <w:rsid w:val="00BD40ED"/>
    <w:rsid w:val="00BD4379"/>
    <w:rsid w:val="00BE0034"/>
    <w:rsid w:val="00BE1420"/>
    <w:rsid w:val="00BE14B3"/>
    <w:rsid w:val="00BE4BA7"/>
    <w:rsid w:val="00BE6083"/>
    <w:rsid w:val="00BE6147"/>
    <w:rsid w:val="00BE77AC"/>
    <w:rsid w:val="00BE7BD9"/>
    <w:rsid w:val="00BF05CF"/>
    <w:rsid w:val="00BF157D"/>
    <w:rsid w:val="00BF20A5"/>
    <w:rsid w:val="00BF215F"/>
    <w:rsid w:val="00BF24AA"/>
    <w:rsid w:val="00BF7288"/>
    <w:rsid w:val="00C0071F"/>
    <w:rsid w:val="00C00F29"/>
    <w:rsid w:val="00C04A3B"/>
    <w:rsid w:val="00C12FED"/>
    <w:rsid w:val="00C13E6A"/>
    <w:rsid w:val="00C14091"/>
    <w:rsid w:val="00C17D54"/>
    <w:rsid w:val="00C20B95"/>
    <w:rsid w:val="00C23F55"/>
    <w:rsid w:val="00C24263"/>
    <w:rsid w:val="00C26183"/>
    <w:rsid w:val="00C26844"/>
    <w:rsid w:val="00C3047A"/>
    <w:rsid w:val="00C327C8"/>
    <w:rsid w:val="00C36BF0"/>
    <w:rsid w:val="00C37580"/>
    <w:rsid w:val="00C37C52"/>
    <w:rsid w:val="00C45DA1"/>
    <w:rsid w:val="00C45E95"/>
    <w:rsid w:val="00C519F2"/>
    <w:rsid w:val="00C5380A"/>
    <w:rsid w:val="00C5561D"/>
    <w:rsid w:val="00C57571"/>
    <w:rsid w:val="00C6052C"/>
    <w:rsid w:val="00C60D4D"/>
    <w:rsid w:val="00C63007"/>
    <w:rsid w:val="00C7267D"/>
    <w:rsid w:val="00C748B7"/>
    <w:rsid w:val="00C7550B"/>
    <w:rsid w:val="00C76707"/>
    <w:rsid w:val="00C77983"/>
    <w:rsid w:val="00C77E54"/>
    <w:rsid w:val="00C807CF"/>
    <w:rsid w:val="00C826E6"/>
    <w:rsid w:val="00C90F7E"/>
    <w:rsid w:val="00C96BED"/>
    <w:rsid w:val="00CA3097"/>
    <w:rsid w:val="00CB01FD"/>
    <w:rsid w:val="00CB1C05"/>
    <w:rsid w:val="00CB3767"/>
    <w:rsid w:val="00CB5C26"/>
    <w:rsid w:val="00CB62F7"/>
    <w:rsid w:val="00CC1807"/>
    <w:rsid w:val="00CC76BE"/>
    <w:rsid w:val="00CD0159"/>
    <w:rsid w:val="00CD4C1E"/>
    <w:rsid w:val="00CD6C56"/>
    <w:rsid w:val="00CD6F08"/>
    <w:rsid w:val="00CD7B29"/>
    <w:rsid w:val="00CE05C4"/>
    <w:rsid w:val="00CE1D05"/>
    <w:rsid w:val="00CE2565"/>
    <w:rsid w:val="00CE6F00"/>
    <w:rsid w:val="00CF0AAB"/>
    <w:rsid w:val="00CF157A"/>
    <w:rsid w:val="00CF1D68"/>
    <w:rsid w:val="00CF1FA3"/>
    <w:rsid w:val="00CF6F7E"/>
    <w:rsid w:val="00D07522"/>
    <w:rsid w:val="00D12EBC"/>
    <w:rsid w:val="00D14EB6"/>
    <w:rsid w:val="00D14F44"/>
    <w:rsid w:val="00D164EF"/>
    <w:rsid w:val="00D22C9C"/>
    <w:rsid w:val="00D246FC"/>
    <w:rsid w:val="00D2489F"/>
    <w:rsid w:val="00D260C0"/>
    <w:rsid w:val="00D31E1D"/>
    <w:rsid w:val="00D36D31"/>
    <w:rsid w:val="00D40118"/>
    <w:rsid w:val="00D41C66"/>
    <w:rsid w:val="00D4395F"/>
    <w:rsid w:val="00D45054"/>
    <w:rsid w:val="00D475C7"/>
    <w:rsid w:val="00D4763D"/>
    <w:rsid w:val="00D509BC"/>
    <w:rsid w:val="00D51F1A"/>
    <w:rsid w:val="00D5350A"/>
    <w:rsid w:val="00D5510C"/>
    <w:rsid w:val="00D56846"/>
    <w:rsid w:val="00D61CFC"/>
    <w:rsid w:val="00D631B3"/>
    <w:rsid w:val="00D666ED"/>
    <w:rsid w:val="00D67587"/>
    <w:rsid w:val="00D70A96"/>
    <w:rsid w:val="00D71908"/>
    <w:rsid w:val="00D75A91"/>
    <w:rsid w:val="00D807D6"/>
    <w:rsid w:val="00D8129A"/>
    <w:rsid w:val="00D82822"/>
    <w:rsid w:val="00D83579"/>
    <w:rsid w:val="00D83ADC"/>
    <w:rsid w:val="00D85677"/>
    <w:rsid w:val="00D87DA3"/>
    <w:rsid w:val="00D91A3E"/>
    <w:rsid w:val="00D92F4E"/>
    <w:rsid w:val="00D95C9B"/>
    <w:rsid w:val="00D961EC"/>
    <w:rsid w:val="00DA26EA"/>
    <w:rsid w:val="00DB1CF3"/>
    <w:rsid w:val="00DB2EB2"/>
    <w:rsid w:val="00DB584D"/>
    <w:rsid w:val="00DB7E15"/>
    <w:rsid w:val="00DC0668"/>
    <w:rsid w:val="00DC175F"/>
    <w:rsid w:val="00DC2BAE"/>
    <w:rsid w:val="00DC3AE5"/>
    <w:rsid w:val="00DC4959"/>
    <w:rsid w:val="00DC5D29"/>
    <w:rsid w:val="00DC7258"/>
    <w:rsid w:val="00DE091A"/>
    <w:rsid w:val="00DE6A70"/>
    <w:rsid w:val="00DF0420"/>
    <w:rsid w:val="00DF25F7"/>
    <w:rsid w:val="00DF5E2C"/>
    <w:rsid w:val="00DF6740"/>
    <w:rsid w:val="00E0160D"/>
    <w:rsid w:val="00E01DA8"/>
    <w:rsid w:val="00E05B1E"/>
    <w:rsid w:val="00E05F79"/>
    <w:rsid w:val="00E0637F"/>
    <w:rsid w:val="00E13C2A"/>
    <w:rsid w:val="00E15A9F"/>
    <w:rsid w:val="00E15D40"/>
    <w:rsid w:val="00E164D3"/>
    <w:rsid w:val="00E17723"/>
    <w:rsid w:val="00E17E65"/>
    <w:rsid w:val="00E201F8"/>
    <w:rsid w:val="00E33324"/>
    <w:rsid w:val="00E33866"/>
    <w:rsid w:val="00E35559"/>
    <w:rsid w:val="00E35F8A"/>
    <w:rsid w:val="00E3745E"/>
    <w:rsid w:val="00E3773E"/>
    <w:rsid w:val="00E37904"/>
    <w:rsid w:val="00E4169A"/>
    <w:rsid w:val="00E42013"/>
    <w:rsid w:val="00E42D2F"/>
    <w:rsid w:val="00E43716"/>
    <w:rsid w:val="00E442BC"/>
    <w:rsid w:val="00E45D84"/>
    <w:rsid w:val="00E50970"/>
    <w:rsid w:val="00E50F4E"/>
    <w:rsid w:val="00E516F8"/>
    <w:rsid w:val="00E607EA"/>
    <w:rsid w:val="00E70E5A"/>
    <w:rsid w:val="00E73BBA"/>
    <w:rsid w:val="00E744C2"/>
    <w:rsid w:val="00E75E37"/>
    <w:rsid w:val="00E77CC3"/>
    <w:rsid w:val="00E809EF"/>
    <w:rsid w:val="00E85714"/>
    <w:rsid w:val="00E85D38"/>
    <w:rsid w:val="00E871CE"/>
    <w:rsid w:val="00E9076D"/>
    <w:rsid w:val="00E94C0A"/>
    <w:rsid w:val="00E9732A"/>
    <w:rsid w:val="00EA394C"/>
    <w:rsid w:val="00EA63DC"/>
    <w:rsid w:val="00EB496A"/>
    <w:rsid w:val="00EB5743"/>
    <w:rsid w:val="00EB7E42"/>
    <w:rsid w:val="00EC44FF"/>
    <w:rsid w:val="00EC5362"/>
    <w:rsid w:val="00ED0385"/>
    <w:rsid w:val="00ED0636"/>
    <w:rsid w:val="00ED2075"/>
    <w:rsid w:val="00ED2DC0"/>
    <w:rsid w:val="00ED6081"/>
    <w:rsid w:val="00EE01BE"/>
    <w:rsid w:val="00EE13FC"/>
    <w:rsid w:val="00EE4B1F"/>
    <w:rsid w:val="00EE5903"/>
    <w:rsid w:val="00EF01C6"/>
    <w:rsid w:val="00EF0886"/>
    <w:rsid w:val="00EF195F"/>
    <w:rsid w:val="00EF39AC"/>
    <w:rsid w:val="00EF42DD"/>
    <w:rsid w:val="00F007DA"/>
    <w:rsid w:val="00F01007"/>
    <w:rsid w:val="00F0242D"/>
    <w:rsid w:val="00F033C7"/>
    <w:rsid w:val="00F037AE"/>
    <w:rsid w:val="00F043F6"/>
    <w:rsid w:val="00F076D9"/>
    <w:rsid w:val="00F1187A"/>
    <w:rsid w:val="00F14142"/>
    <w:rsid w:val="00F14C45"/>
    <w:rsid w:val="00F1577C"/>
    <w:rsid w:val="00F15B0D"/>
    <w:rsid w:val="00F20BFE"/>
    <w:rsid w:val="00F2181A"/>
    <w:rsid w:val="00F22FB5"/>
    <w:rsid w:val="00F25184"/>
    <w:rsid w:val="00F26EFC"/>
    <w:rsid w:val="00F30C1B"/>
    <w:rsid w:val="00F32DFD"/>
    <w:rsid w:val="00F360D2"/>
    <w:rsid w:val="00F426A8"/>
    <w:rsid w:val="00F428EC"/>
    <w:rsid w:val="00F42CC9"/>
    <w:rsid w:val="00F45BD8"/>
    <w:rsid w:val="00F465A9"/>
    <w:rsid w:val="00F46674"/>
    <w:rsid w:val="00F46704"/>
    <w:rsid w:val="00F50AB8"/>
    <w:rsid w:val="00F517B0"/>
    <w:rsid w:val="00F521A2"/>
    <w:rsid w:val="00F568E7"/>
    <w:rsid w:val="00F64211"/>
    <w:rsid w:val="00F646D1"/>
    <w:rsid w:val="00F709AF"/>
    <w:rsid w:val="00F714B6"/>
    <w:rsid w:val="00F72B44"/>
    <w:rsid w:val="00F72C17"/>
    <w:rsid w:val="00F760FC"/>
    <w:rsid w:val="00F81E9A"/>
    <w:rsid w:val="00F837A8"/>
    <w:rsid w:val="00F856A4"/>
    <w:rsid w:val="00F8690E"/>
    <w:rsid w:val="00F878AE"/>
    <w:rsid w:val="00F9060E"/>
    <w:rsid w:val="00F90724"/>
    <w:rsid w:val="00F91411"/>
    <w:rsid w:val="00F9445F"/>
    <w:rsid w:val="00F953A8"/>
    <w:rsid w:val="00F95CE0"/>
    <w:rsid w:val="00F97E30"/>
    <w:rsid w:val="00FA18CD"/>
    <w:rsid w:val="00FA20ED"/>
    <w:rsid w:val="00FA5D26"/>
    <w:rsid w:val="00FA62FF"/>
    <w:rsid w:val="00FA6CAE"/>
    <w:rsid w:val="00FB1C04"/>
    <w:rsid w:val="00FB22E5"/>
    <w:rsid w:val="00FB5C7C"/>
    <w:rsid w:val="00FB5E4E"/>
    <w:rsid w:val="00FB7803"/>
    <w:rsid w:val="00FC241E"/>
    <w:rsid w:val="00FC3590"/>
    <w:rsid w:val="00FD237C"/>
    <w:rsid w:val="00FE0CD5"/>
    <w:rsid w:val="00FE4310"/>
    <w:rsid w:val="00FE7C7B"/>
    <w:rsid w:val="00FE7E39"/>
    <w:rsid w:val="00FF1839"/>
    <w:rsid w:val="00FF1D05"/>
    <w:rsid w:val="00FF1EFB"/>
    <w:rsid w:val="00FF3248"/>
    <w:rsid w:val="00FF431D"/>
    <w:rsid w:val="00FF4F6E"/>
    <w:rsid w:val="00FF5AE3"/>
    <w:rsid w:val="02584629"/>
    <w:rsid w:val="03A70F58"/>
    <w:rsid w:val="067E7C40"/>
    <w:rsid w:val="071D041C"/>
    <w:rsid w:val="081B6713"/>
    <w:rsid w:val="0BD4739E"/>
    <w:rsid w:val="10A13437"/>
    <w:rsid w:val="10B52552"/>
    <w:rsid w:val="14061965"/>
    <w:rsid w:val="14937211"/>
    <w:rsid w:val="14FFE14F"/>
    <w:rsid w:val="1703785A"/>
    <w:rsid w:val="17934F75"/>
    <w:rsid w:val="1979037A"/>
    <w:rsid w:val="19875E26"/>
    <w:rsid w:val="1A6271A3"/>
    <w:rsid w:val="1AE45682"/>
    <w:rsid w:val="1B502228"/>
    <w:rsid w:val="1E7E2729"/>
    <w:rsid w:val="1EE30125"/>
    <w:rsid w:val="1F725B2A"/>
    <w:rsid w:val="22287F85"/>
    <w:rsid w:val="22EC48DA"/>
    <w:rsid w:val="230F2BBB"/>
    <w:rsid w:val="23B929DA"/>
    <w:rsid w:val="24297821"/>
    <w:rsid w:val="249650AB"/>
    <w:rsid w:val="27776360"/>
    <w:rsid w:val="28AD6D61"/>
    <w:rsid w:val="28CD1A76"/>
    <w:rsid w:val="2A3C4070"/>
    <w:rsid w:val="2A6D3F66"/>
    <w:rsid w:val="2C695B08"/>
    <w:rsid w:val="35881ADE"/>
    <w:rsid w:val="398936B4"/>
    <w:rsid w:val="3C1E32AD"/>
    <w:rsid w:val="3C6E2A42"/>
    <w:rsid w:val="3D2B181D"/>
    <w:rsid w:val="3DEBD41E"/>
    <w:rsid w:val="3E264BBC"/>
    <w:rsid w:val="3FCF1349"/>
    <w:rsid w:val="41FE3818"/>
    <w:rsid w:val="452A1170"/>
    <w:rsid w:val="47323CE2"/>
    <w:rsid w:val="48AF06A2"/>
    <w:rsid w:val="49393526"/>
    <w:rsid w:val="4C6C1FCF"/>
    <w:rsid w:val="4E41068C"/>
    <w:rsid w:val="4F985C90"/>
    <w:rsid w:val="4FDA66A3"/>
    <w:rsid w:val="51112E4D"/>
    <w:rsid w:val="542F57C0"/>
    <w:rsid w:val="55DC6DED"/>
    <w:rsid w:val="563F7B29"/>
    <w:rsid w:val="57E34D08"/>
    <w:rsid w:val="58095B6F"/>
    <w:rsid w:val="5B550B15"/>
    <w:rsid w:val="5E426F85"/>
    <w:rsid w:val="622D046D"/>
    <w:rsid w:val="653816C2"/>
    <w:rsid w:val="66891510"/>
    <w:rsid w:val="6CCF58B7"/>
    <w:rsid w:val="6D557C2C"/>
    <w:rsid w:val="6D602E19"/>
    <w:rsid w:val="6E1D15BE"/>
    <w:rsid w:val="6E8CCA02"/>
    <w:rsid w:val="6F28198E"/>
    <w:rsid w:val="6F484F7F"/>
    <w:rsid w:val="6F7D6386"/>
    <w:rsid w:val="6FB30247"/>
    <w:rsid w:val="74CE3554"/>
    <w:rsid w:val="75932CCC"/>
    <w:rsid w:val="777E280C"/>
    <w:rsid w:val="77CE623E"/>
    <w:rsid w:val="78C3365C"/>
    <w:rsid w:val="7EEB5BFD"/>
    <w:rsid w:val="7F3B065C"/>
    <w:rsid w:val="AFF9E547"/>
    <w:rsid w:val="D7BF451A"/>
    <w:rsid w:val="FDCF9834"/>
    <w:rsid w:val="FE9FD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overflowPunct w:val="0"/>
      <w:adjustRightInd w:val="0"/>
      <w:snapToGrid w:val="0"/>
      <w:spacing w:line="560" w:lineRule="exact"/>
      <w:ind w:firstLine="640" w:firstLineChars="200"/>
      <w:jc w:val="both"/>
    </w:pPr>
    <w:rPr>
      <w:rFonts w:ascii="Times New Roman" w:hAnsi="Times New Roman" w:eastAsia="仿宋_GB2312" w:cs="仿宋_GB2312"/>
      <w:sz w:val="32"/>
      <w:szCs w:val="32"/>
      <w:lang w:val="en-US" w:eastAsia="zh-CN" w:bidi="ar-SA"/>
    </w:rPr>
  </w:style>
  <w:style w:type="paragraph" w:styleId="2">
    <w:name w:val="heading 1"/>
    <w:basedOn w:val="1"/>
    <w:next w:val="1"/>
    <w:qFormat/>
    <w:uiPriority w:val="0"/>
    <w:pPr>
      <w:keepNext/>
      <w:keepLines/>
      <w:ind w:firstLine="200"/>
      <w:outlineLvl w:val="0"/>
    </w:pPr>
    <w:rPr>
      <w:rFonts w:eastAsia="黑体" w:cs="黑体"/>
      <w:bCs/>
      <w:kern w:val="44"/>
    </w:rPr>
  </w:style>
  <w:style w:type="paragraph" w:styleId="3">
    <w:name w:val="heading 2"/>
    <w:basedOn w:val="1"/>
    <w:next w:val="1"/>
    <w:qFormat/>
    <w:uiPriority w:val="9"/>
    <w:pPr>
      <w:autoSpaceDE w:val="0"/>
      <w:outlineLvl w:val="1"/>
    </w:pPr>
    <w:rPr>
      <w:rFonts w:eastAsia="楷体_GB2312" w:cs="Times New Roman"/>
    </w:rPr>
  </w:style>
  <w:style w:type="paragraph" w:styleId="4">
    <w:name w:val="heading 4"/>
    <w:basedOn w:val="1"/>
    <w:next w:val="1"/>
    <w:unhideWhenUsed/>
    <w:qFormat/>
    <w:uiPriority w:val="0"/>
    <w:pPr>
      <w:keepNext/>
      <w:keepLines/>
      <w:ind w:firstLine="562"/>
      <w:outlineLvl w:val="3"/>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annotation text"/>
    <w:basedOn w:val="1"/>
    <w:link w:val="25"/>
    <w:qFormat/>
    <w:uiPriority w:val="0"/>
  </w:style>
  <w:style w:type="paragraph" w:styleId="7">
    <w:name w:val="Body Text Indent"/>
    <w:basedOn w:val="1"/>
    <w:qFormat/>
    <w:uiPriority w:val="0"/>
    <w:pPr>
      <w:spacing w:after="120"/>
      <w:ind w:left="420" w:leftChars="200"/>
    </w:pPr>
  </w:style>
  <w:style w:type="paragraph" w:styleId="8">
    <w:name w:val="footer"/>
    <w:basedOn w:val="1"/>
    <w:link w:val="21"/>
    <w:qFormat/>
    <w:uiPriority w:val="99"/>
    <w:pPr>
      <w:tabs>
        <w:tab w:val="center" w:pos="4153"/>
        <w:tab w:val="right" w:pos="8306"/>
      </w:tabs>
    </w:pPr>
    <w:rPr>
      <w:sz w:val="18"/>
      <w:szCs w:val="18"/>
    </w:rPr>
  </w:style>
  <w:style w:type="paragraph" w:styleId="9">
    <w:name w:val="header"/>
    <w:basedOn w:val="1"/>
    <w:link w:val="20"/>
    <w:qFormat/>
    <w:uiPriority w:val="0"/>
    <w:pPr>
      <w:tabs>
        <w:tab w:val="center" w:pos="4153"/>
        <w:tab w:val="right" w:pos="8306"/>
      </w:tabs>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paragraph" w:styleId="12">
    <w:name w:val="Title"/>
    <w:basedOn w:val="1"/>
    <w:next w:val="1"/>
    <w:link w:val="23"/>
    <w:qFormat/>
    <w:uiPriority w:val="0"/>
    <w:pPr>
      <w:ind w:firstLine="0" w:firstLineChars="0"/>
      <w:jc w:val="center"/>
      <w:outlineLvl w:val="0"/>
    </w:pPr>
    <w:rPr>
      <w:rFonts w:eastAsia="微软雅黑" w:cs="微软雅黑"/>
      <w:sz w:val="44"/>
      <w:szCs w:val="44"/>
    </w:rPr>
  </w:style>
  <w:style w:type="paragraph" w:styleId="13">
    <w:name w:val="annotation subject"/>
    <w:basedOn w:val="6"/>
    <w:next w:val="6"/>
    <w:link w:val="26"/>
    <w:qFormat/>
    <w:uiPriority w:val="0"/>
    <w:pPr>
      <w:jc w:val="left"/>
    </w:pPr>
    <w:rPr>
      <w:b/>
      <w:bCs/>
    </w:rPr>
  </w:style>
  <w:style w:type="paragraph" w:styleId="14">
    <w:name w:val="Body Text First Indent 2"/>
    <w:basedOn w:val="7"/>
    <w:next w:val="1"/>
    <w:qFormat/>
    <w:uiPriority w:val="0"/>
    <w:pPr>
      <w:ind w:left="0" w:leftChars="0" w:firstLine="42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26E5"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9"/>
    <w:qFormat/>
    <w:uiPriority w:val="0"/>
    <w:rPr>
      <w:rFonts w:ascii="宋体" w:hAnsi="宋体" w:eastAsia="宋体" w:cs="宋体"/>
      <w:sz w:val="18"/>
      <w:szCs w:val="18"/>
    </w:rPr>
  </w:style>
  <w:style w:type="character" w:customStyle="1" w:styleId="21">
    <w:name w:val="页脚 字符"/>
    <w:basedOn w:val="17"/>
    <w:link w:val="8"/>
    <w:qFormat/>
    <w:uiPriority w:val="99"/>
    <w:rPr>
      <w:rFonts w:ascii="宋体" w:hAnsi="宋体" w:eastAsia="宋体" w:cs="宋体"/>
      <w:sz w:val="18"/>
      <w:szCs w:val="18"/>
    </w:rPr>
  </w:style>
  <w:style w:type="paragraph" w:customStyle="1" w:styleId="22">
    <w:name w:val="修订1"/>
    <w:hidden/>
    <w:unhideWhenUsed/>
    <w:qFormat/>
    <w:uiPriority w:val="99"/>
    <w:rPr>
      <w:rFonts w:ascii="宋体" w:hAnsi="宋体" w:eastAsia="宋体" w:cs="宋体"/>
      <w:sz w:val="24"/>
      <w:szCs w:val="24"/>
      <w:lang w:val="en-US" w:eastAsia="zh-CN" w:bidi="ar-SA"/>
    </w:rPr>
  </w:style>
  <w:style w:type="character" w:customStyle="1" w:styleId="23">
    <w:name w:val="标题 字符"/>
    <w:basedOn w:val="17"/>
    <w:link w:val="12"/>
    <w:qFormat/>
    <w:uiPriority w:val="0"/>
    <w:rPr>
      <w:rFonts w:ascii="Times New Roman" w:hAnsi="Times New Roman" w:eastAsia="微软雅黑" w:cs="微软雅黑"/>
      <w:sz w:val="44"/>
      <w:szCs w:val="44"/>
    </w:rPr>
  </w:style>
  <w:style w:type="paragraph" w:customStyle="1" w:styleId="24">
    <w:name w:val="修订2"/>
    <w:hidden/>
    <w:unhideWhenUsed/>
    <w:qFormat/>
    <w:uiPriority w:val="99"/>
    <w:rPr>
      <w:rFonts w:ascii="Times New Roman" w:hAnsi="Times New Roman" w:eastAsia="仿宋_GB2312" w:cs="仿宋_GB2312"/>
      <w:sz w:val="32"/>
      <w:szCs w:val="32"/>
      <w:lang w:val="en-US" w:eastAsia="zh-CN" w:bidi="ar-SA"/>
    </w:rPr>
  </w:style>
  <w:style w:type="character" w:customStyle="1" w:styleId="25">
    <w:name w:val="批注文字 字符"/>
    <w:basedOn w:val="17"/>
    <w:link w:val="6"/>
    <w:qFormat/>
    <w:uiPriority w:val="0"/>
    <w:rPr>
      <w:rFonts w:ascii="Times New Roman" w:hAnsi="Times New Roman" w:eastAsia="仿宋_GB2312" w:cs="仿宋_GB2312"/>
      <w:sz w:val="32"/>
      <w:szCs w:val="32"/>
    </w:rPr>
  </w:style>
  <w:style w:type="character" w:customStyle="1" w:styleId="26">
    <w:name w:val="批注主题 字符"/>
    <w:basedOn w:val="25"/>
    <w:link w:val="13"/>
    <w:qFormat/>
    <w:uiPriority w:val="0"/>
    <w:rPr>
      <w:rFonts w:ascii="Times New Roman" w:hAnsi="Times New Roman" w:eastAsia="仿宋_GB2312" w:cs="仿宋_GB2312"/>
      <w:b/>
      <w:bCs/>
      <w:sz w:val="32"/>
      <w:szCs w:val="32"/>
    </w:rPr>
  </w:style>
  <w:style w:type="paragraph" w:customStyle="1" w:styleId="27">
    <w:name w:val="修订3"/>
    <w:hidden/>
    <w:unhideWhenUsed/>
    <w:qFormat/>
    <w:uiPriority w:val="99"/>
    <w:rPr>
      <w:rFonts w:ascii="Times New Roman" w:hAnsi="Times New Roman" w:eastAsia="仿宋_GB2312" w:cs="仿宋_GB2312"/>
      <w:sz w:val="32"/>
      <w:szCs w:val="32"/>
      <w:lang w:val="en-US" w:eastAsia="zh-CN" w:bidi="ar-SA"/>
    </w:rPr>
  </w:style>
  <w:style w:type="paragraph" w:customStyle="1" w:styleId="28">
    <w:name w:val="修订4"/>
    <w:hidden/>
    <w:unhideWhenUsed/>
    <w:qFormat/>
    <w:uiPriority w:val="99"/>
    <w:rPr>
      <w:rFonts w:ascii="Times New Roman" w:hAnsi="Times New Roman" w:eastAsia="仿宋_GB2312" w:cs="仿宋_GB2312"/>
      <w:sz w:val="32"/>
      <w:szCs w:val="32"/>
      <w:lang w:val="en-US" w:eastAsia="zh-CN" w:bidi="ar-SA"/>
    </w:rPr>
  </w:style>
  <w:style w:type="paragraph" w:customStyle="1" w:styleId="29">
    <w:name w:val="TOC 标题1"/>
    <w:basedOn w:val="2"/>
    <w:next w:val="1"/>
    <w:unhideWhenUsed/>
    <w:qFormat/>
    <w:uiPriority w:val="39"/>
    <w:pPr>
      <w:kinsoku/>
      <w:overflowPunct/>
      <w:adjustRightInd/>
      <w:snapToGrid/>
      <w:spacing w:before="240" w:line="259" w:lineRule="auto"/>
      <w:ind w:firstLine="0" w:firstLineChars="0"/>
      <w:jc w:val="left"/>
      <w:outlineLvl w:val="9"/>
    </w:pPr>
    <w:rPr>
      <w:rFonts w:asciiTheme="majorHAnsi" w:hAnsiTheme="majorHAnsi" w:eastAsiaTheme="majorEastAsia" w:cstheme="majorBidi"/>
      <w:bCs w:val="0"/>
      <w:color w:val="2E54A1" w:themeColor="accent1" w:themeShade="BF"/>
      <w:kern w:val="0"/>
    </w:rPr>
  </w:style>
  <w:style w:type="paragraph" w:customStyle="1" w:styleId="30">
    <w:name w:val="修订5"/>
    <w:hidden/>
    <w:unhideWhenUsed/>
    <w:qFormat/>
    <w:uiPriority w:val="99"/>
    <w:rPr>
      <w:rFonts w:ascii="Times New Roman" w:hAnsi="Times New Roman" w:eastAsia="仿宋_GB2312" w:cs="仿宋_GB2312"/>
      <w:sz w:val="32"/>
      <w:szCs w:val="32"/>
      <w:lang w:val="en-US" w:eastAsia="zh-CN" w:bidi="ar-SA"/>
    </w:rPr>
  </w:style>
  <w:style w:type="paragraph" w:customStyle="1" w:styleId="31">
    <w:name w:val="Revision"/>
    <w:hidden/>
    <w:unhideWhenUsed/>
    <w:qFormat/>
    <w:uiPriority w:val="99"/>
    <w:rPr>
      <w:rFonts w:ascii="Times New Roman" w:hAnsi="Times New Roman"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6CF14-E8C5-4D2A-8824-0C2175C4F31B}">
  <ds:schemaRefs/>
</ds:datastoreItem>
</file>

<file path=docProps/app.xml><?xml version="1.0" encoding="utf-8"?>
<Properties xmlns="http://schemas.openxmlformats.org/officeDocument/2006/extended-properties" xmlns:vt="http://schemas.openxmlformats.org/officeDocument/2006/docPropsVTypes">
  <Template>Normal</Template>
  <Pages>9</Pages>
  <Words>3561</Words>
  <Characters>3606</Characters>
  <Lines>109</Lines>
  <Paragraphs>111</Paragraphs>
  <TotalTime>65</TotalTime>
  <ScaleCrop>false</ScaleCrop>
  <LinksUpToDate>false</LinksUpToDate>
  <CharactersWithSpaces>3608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2025-03-14T14:52:00Z</dcterms:created>
  <dc:creator>Data</dc:creator>
  <cp:lastModifiedBy>张德洋</cp:lastModifiedBy>
  <cp:lastPrinted>2026-03-16T01:39:42Z</cp:lastPrinted>
  <dcterms:modified xsi:type="dcterms:W3CDTF">2026-03-16T01:40:05Z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50D08390981085A61A254269CDB4CDFA_43</vt:lpwstr>
  </property>
  <property fmtid="{D5CDD505-2E9C-101B-9397-08002B2CF9AE}" pid="4" name="KSOTemplateDocerSaveRecord">
    <vt:lpwstr>eyJoZGlkIjoiYTViNmQ2MDgxYjUxMDU1YWY2NjEzMDZmZmM2ZGRmNTkiLCJ1c2VySWQiOiI0MTg3NzU0NzAifQ==</vt:lpwstr>
  </property>
</Properties>
</file>