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b/>
          <w:kern w:val="0"/>
          <w:sz w:val="32"/>
          <w:szCs w:val="44"/>
          <w:lang w:val="en-US" w:eastAsia="zh-CN"/>
        </w:rPr>
        <w:t>子基金设立方案（样稿）</w:t>
      </w:r>
    </w:p>
    <w:tbl>
      <w:tblPr>
        <w:tblStyle w:val="5"/>
        <w:tblW w:w="8304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3"/>
        <w:gridCol w:w="1320"/>
        <w:gridCol w:w="121"/>
        <w:gridCol w:w="1163"/>
        <w:gridCol w:w="530"/>
        <w:gridCol w:w="994"/>
        <w:gridCol w:w="699"/>
        <w:gridCol w:w="513"/>
        <w:gridCol w:w="11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设立背景及目标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请简要阐述子基金的定位，所属行业现状及趋势分析，与江西省产业及国控战略的协同情况等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基金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xxxx基金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组织形式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江西优先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基金管理人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存续期限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存续期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，其中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：投资期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退出期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延长期X年，注明延长期确定方式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基金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认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缴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规模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x亿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783" w:type="dxa"/>
            <w:vMerge w:val="restart"/>
            <w:tcBorders>
              <w:top w:val="single" w:color="444444" w:sz="6" w:space="0"/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申请省现代产业引导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基金</w:t>
            </w:r>
          </w:p>
        </w:tc>
        <w:tc>
          <w:tcPr>
            <w:tcW w:w="1320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出资金额</w:t>
            </w:r>
          </w:p>
        </w:tc>
        <w:tc>
          <w:tcPr>
            <w:tcW w:w="2808" w:type="dxa"/>
            <w:gridSpan w:val="4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Xxxxx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212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出资比例（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1181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x%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出资顺序</w:t>
            </w:r>
          </w:p>
        </w:tc>
        <w:tc>
          <w:tcPr>
            <w:tcW w:w="4020" w:type="dxa"/>
            <w:gridSpan w:val="6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783" w:type="dxa"/>
            <w:vMerge w:val="restart"/>
            <w:tcBorders>
              <w:top w:val="single" w:color="444444" w:sz="6" w:space="0"/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募集资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金情况</w:t>
            </w:r>
          </w:p>
          <w:p>
            <w:pPr>
              <w:widowControl/>
              <w:wordWrap w:val="0"/>
              <w:snapToGrid w:val="0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（填列应包含普通合伙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出资）</w:t>
            </w:r>
          </w:p>
        </w:tc>
        <w:tc>
          <w:tcPr>
            <w:tcW w:w="1320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出资</w:t>
            </w:r>
            <w:r>
              <w:rPr>
                <w:rFonts w:hint="eastAsia" w:ascii="宋体" w:hAnsi="宋体" w:cs="___WRD_EMBED_SUB_39"/>
                <w:bCs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128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出资人性质</w:t>
            </w:r>
          </w:p>
        </w:tc>
        <w:tc>
          <w:tcPr>
            <w:tcW w:w="152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认</w:t>
            </w:r>
            <w:r>
              <w:rPr>
                <w:rFonts w:hint="eastAsia" w:ascii="宋体" w:hAnsi="宋体" w:cs="___WRD_EMBED_SUB_39"/>
                <w:bCs/>
                <w:sz w:val="24"/>
                <w:szCs w:val="24"/>
                <w:highlight w:val="none"/>
              </w:rPr>
              <w:t>缴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出资额</w:t>
            </w:r>
          </w:p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212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认</w:t>
            </w:r>
            <w:r>
              <w:rPr>
                <w:rFonts w:hint="eastAsia" w:ascii="宋体" w:hAnsi="宋体" w:cs="___WRD_EMBED_SUB_39"/>
                <w:bCs/>
                <w:sz w:val="24"/>
                <w:szCs w:val="24"/>
                <w:highlight w:val="none"/>
              </w:rPr>
              <w:t>缴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出资比例（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81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募资进度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国企</w:t>
            </w:r>
          </w:p>
        </w:tc>
        <w:tc>
          <w:tcPr>
            <w:tcW w:w="152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出资意向函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上市公司</w:t>
            </w:r>
          </w:p>
        </w:tc>
        <w:tc>
          <w:tcPr>
            <w:tcW w:w="152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立项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28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政府资金</w:t>
            </w:r>
          </w:p>
        </w:tc>
        <w:tc>
          <w:tcPr>
            <w:tcW w:w="152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pStyle w:val="3"/>
              <w:spacing w:line="560" w:lineRule="exact"/>
              <w:ind w:firstLine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已决策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其中，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政府出资（含申请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的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省现代产业引导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基金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）总额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万元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出资比例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%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；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83" w:type="dxa"/>
            <w:tcBorders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出资规划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基金已确定出资x亿，占比x%，拟于x月进行注册，x月备案。基金设立后的缴款进度为：X:X:X，其中上一期实缴出资使用X%后启动下一次缴款。【需在合伙协议明确】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投资领域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□有色金属    □新能源新材料  □汽车    □VR</w:t>
            </w:r>
          </w:p>
          <w:p>
            <w:pPr>
              <w:widowControl/>
              <w:wordWrap/>
              <w:spacing w:line="560" w:lineRule="exact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□生物医药    □电子信息      □航空    □数字</w:t>
            </w:r>
            <w:r>
              <w:rPr>
                <w:rFonts w:hint="eastAsia"/>
                <w:highlight w:val="none"/>
                <w:lang w:val="en-US" w:eastAsia="zh-CN"/>
              </w:rPr>
              <w:t>经济</w:t>
            </w:r>
          </w:p>
          <w:p>
            <w:pPr>
              <w:widowControl/>
              <w:spacing w:line="56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□其他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eastAsia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投资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策略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基金拟投资什么阶段，各行业和各阶段的分布情况是如何的，为何采用此种投资策略，与机构（团队）过往投资策略是否匹配。需要在合伙协议内明确投资行业和主要投资阶段。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投资地域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投资江西省内企业资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金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于省现代产业引导基金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实缴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出资额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的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倍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783" w:type="dxa"/>
            <w:vMerge w:val="restart"/>
            <w:tcBorders>
              <w:top w:val="single" w:color="444444" w:sz="6" w:space="0"/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储备项目</w:t>
            </w:r>
          </w:p>
        </w:tc>
        <w:tc>
          <w:tcPr>
            <w:tcW w:w="1441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数量（个）</w:t>
            </w:r>
          </w:p>
        </w:tc>
        <w:tc>
          <w:tcPr>
            <w:tcW w:w="1693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693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金额（万元）</w:t>
            </w:r>
          </w:p>
        </w:tc>
        <w:tc>
          <w:tcPr>
            <w:tcW w:w="169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827" w:type="dxa"/>
            <w:gridSpan w:val="6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与本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基金投资策略和领域相匹配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的项目金额占首期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实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缴出资额的比例（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%）</w:t>
            </w:r>
          </w:p>
        </w:tc>
        <w:tc>
          <w:tcPr>
            <w:tcW w:w="1694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restart"/>
            <w:tcBorders>
              <w:top w:val="single" w:color="444444" w:sz="6" w:space="0"/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风险控制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基金治理架构及相关职责划分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是否为多GP，GP之间权责如何明确，管理人要与GP共同对本基金的相关事务无限连带。含有顾问委员会请注明，并提供议事规则。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资金托管机制。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明确托管信息报备至引导基金提供的材料，合伙人会议决定托管银行变更等事项。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投资决策机制。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基金投资决策的详细情况。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投资负面清单。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主协议内需按江西省现代产业引导基金管理办法要求填写；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投资限额。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单项目不超过基金认缴额度的20%。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信息披露机制。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按季度报送报表。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专职管理团队锁定机制。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锁定基金核心人员，为本基金服务期间不得管理新的同类型基金。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提前退出机制。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主协议内需按江西省现代产业引导基金管理办法要求填写；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783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其他风险控制措施。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val="en-US" w:eastAsia="zh-CN"/>
              </w:rPr>
              <w:t>如本基金投资额度完成X%之前，不组建规模、投资策略、核心团队与本基金类似的同类型基金。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管理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费</w:t>
            </w:r>
          </w:p>
          <w:p>
            <w:pPr>
              <w:widowControl/>
              <w:wordWrap w:val="0"/>
              <w:spacing w:line="560" w:lineRule="exact"/>
              <w:jc w:val="center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主协议内明确）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投资期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为基金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实缴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出资额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的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%/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；</w:t>
            </w:r>
          </w:p>
          <w:p>
            <w:pPr>
              <w:widowControl/>
              <w:wordWrap w:val="0"/>
              <w:snapToGrid w:val="0"/>
              <w:jc w:val="left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退出期不超过未退出原始投资本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金的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kern w:val="0"/>
                <w:sz w:val="24"/>
                <w:highlight w:val="none"/>
              </w:rPr>
              <w:t>%/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；</w:t>
            </w:r>
          </w:p>
          <w:p>
            <w:pPr>
              <w:widowControl/>
              <w:wordWrap w:val="0"/>
              <w:snapToGrid w:val="0"/>
              <w:jc w:val="lef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延长期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清算期不收取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管理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费</w:t>
            </w:r>
            <w:r>
              <w:rPr>
                <w:rFonts w:hint="eastAsia" w:ascii="宋体" w:hAnsi="宋体" w:cs="___WRD_EMBED_SUB_39"/>
                <w:bCs/>
                <w:kern w:val="0"/>
                <w:sz w:val="24"/>
                <w:highlight w:val="none"/>
              </w:rPr>
              <w:t>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eastAsia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highlight w:val="none"/>
                <w:lang w:eastAsia="zh-CN"/>
              </w:rPr>
              <w:t>投资退出策略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基金对项目主要采用的退出策略，与机构过往的退出策略是否一致。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收益分配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napToGrid w:val="0"/>
              <w:jc w:val="left"/>
              <w:rPr>
                <w:rFonts w:hint="default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按“先回本，后分利”的原则，提供分配顺序：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投资</w:t>
            </w:r>
            <w:r>
              <w:rPr>
                <w:rFonts w:hint="eastAsia" w:ascii="宋体" w:hAnsi="宋体" w:cs="___WRD_EMBED_SUB_39"/>
                <w:bCs/>
                <w:color w:val="000000"/>
                <w:kern w:val="0"/>
                <w:sz w:val="24"/>
                <w:highlight w:val="none"/>
              </w:rPr>
              <w:t>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业影响力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（近三年清科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投</w:t>
            </w:r>
            <w:r>
              <w:rPr>
                <w:rFonts w:hint="eastAsia" w:ascii="宋体" w:hAnsi="宋体" w:cs="___WRD_EMBED_SUB_39"/>
                <w:bCs/>
                <w:color w:val="000000"/>
                <w:kern w:val="0"/>
                <w:sz w:val="24"/>
                <w:highlight w:val="none"/>
              </w:rPr>
              <w:t>中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等</w:t>
            </w:r>
            <w:r>
              <w:rPr>
                <w:rFonts w:hint="eastAsia" w:ascii="宋体" w:hAnsi="宋体" w:cs="___WRD_EMBED_SUB_39"/>
                <w:bCs/>
                <w:color w:val="000000"/>
                <w:kern w:val="0"/>
                <w:sz w:val="24"/>
                <w:highlight w:val="none"/>
              </w:rPr>
              <w:t>中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介</w:t>
            </w:r>
            <w:r>
              <w:rPr>
                <w:rFonts w:hint="eastAsia" w:ascii="宋体" w:hAnsi="宋体" w:cs="___WRD_EMBED_SUB_39"/>
                <w:bCs/>
                <w:color w:val="000000"/>
                <w:kern w:val="0"/>
                <w:sz w:val="24"/>
                <w:highlight w:val="none"/>
              </w:rPr>
              <w:t>机构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排名）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78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宋体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其他优势</w:t>
            </w:r>
          </w:p>
        </w:tc>
        <w:tc>
          <w:tcPr>
            <w:tcW w:w="6521" w:type="dxa"/>
            <w:gridSpan w:val="8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（包括但不限于团队培养</w:t>
            </w:r>
            <w:r>
              <w:rPr>
                <w:rFonts w:hint="eastAsia" w:ascii="宋体" w:hAnsi="宋体" w:cs="___WRD_EMBED_SUB_39"/>
                <w:bCs/>
                <w:color w:val="000000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产业导入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跟投机会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等）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上述信息表格如果填不下，可另加附页，但需明确资料页码。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子基金管理机构在提交基金申报方案时，应至少已经募集到拟设立子基金总规模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0%的资金（不含引导基金出资部分），并提供拟出资人的出资承诺函、出资能力证明等材料。</w:t>
      </w:r>
    </w:p>
    <w:p>
      <w:pPr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3.请提供基金结构图。</w:t>
      </w:r>
    </w:p>
    <w:p>
      <w:pPr>
        <w:pStyle w:val="3"/>
        <w:spacing w:line="560" w:lineRule="exact"/>
        <w:ind w:firstLine="480" w:firstLineChars="200"/>
        <w:rPr>
          <w:rFonts w:hint="eastAsia" w:ascii="宋体" w:hAnsi="宋体"/>
          <w:b w:val="0"/>
          <w:bCs/>
          <w:sz w:val="24"/>
          <w:szCs w:val="21"/>
          <w:lang w:val="en-US" w:eastAsia="zh-CN"/>
        </w:rPr>
      </w:pPr>
    </w:p>
    <w:p>
      <w:pPr>
        <w:pStyle w:val="3"/>
        <w:spacing w:line="560" w:lineRule="exact"/>
        <w:ind w:firstLine="480" w:firstLineChars="200"/>
        <w:rPr>
          <w:rFonts w:hint="eastAsia" w:ascii="宋体" w:hAnsi="宋体" w:eastAsia="宋体"/>
          <w:b w:val="0"/>
          <w:bCs/>
          <w:sz w:val="24"/>
          <w:szCs w:val="21"/>
          <w:lang w:val="en-US" w:eastAsia="zh-CN"/>
        </w:rPr>
      </w:pPr>
    </w:p>
    <w:p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ascii="宋体" w:hAnsi="宋体"/>
          <w:b/>
          <w:kern w:val="0"/>
          <w:sz w:val="32"/>
          <w:szCs w:val="32"/>
        </w:rPr>
        <w:t>储备项目情况表</w:t>
      </w:r>
    </w:p>
    <w:tbl>
      <w:tblPr>
        <w:tblStyle w:val="5"/>
        <w:tblW w:w="8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569"/>
        <w:gridCol w:w="641"/>
        <w:gridCol w:w="677"/>
        <w:gridCol w:w="677"/>
        <w:gridCol w:w="759"/>
        <w:gridCol w:w="681"/>
        <w:gridCol w:w="613"/>
        <w:gridCol w:w="981"/>
        <w:gridCol w:w="608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05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605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</w:t>
            </w:r>
            <w:r>
              <w:rPr>
                <w:rFonts w:hint="eastAsia" w:ascii="宋体" w:hAnsi="宋体"/>
                <w:sz w:val="24"/>
              </w:rPr>
              <w:t>行业</w:t>
            </w: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注册地</w:t>
            </w:r>
          </w:p>
        </w:tc>
        <w:tc>
          <w:tcPr>
            <w:tcW w:w="641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拟投资金额</w:t>
            </w:r>
          </w:p>
        </w:tc>
        <w:tc>
          <w:tcPr>
            <w:tcW w:w="677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项目情况</w:t>
            </w: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677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项目所处阶段</w:t>
            </w:r>
          </w:p>
        </w:tc>
        <w:tc>
          <w:tcPr>
            <w:tcW w:w="75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营收</w:t>
            </w:r>
          </w:p>
        </w:tc>
        <w:tc>
          <w:tcPr>
            <w:tcW w:w="681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净利润</w:t>
            </w:r>
          </w:p>
        </w:tc>
        <w:tc>
          <w:tcPr>
            <w:tcW w:w="613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资产负债率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投资价值分析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本轮融资目的</w:t>
            </w:r>
          </w:p>
        </w:tc>
        <w:tc>
          <w:tcPr>
            <w:tcW w:w="75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项目跟踪</w:t>
            </w:r>
            <w:r>
              <w:rPr>
                <w:rFonts w:hint="eastAsia" w:ascii="宋体" w:hAnsi="宋体"/>
                <w:sz w:val="24"/>
                <w:lang w:eastAsia="zh-CN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8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608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1.“项目名称”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项目须填写全称，如有特殊情况的请沟通后填写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2.“所属行业”参考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申报公告行业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3.“项目所处阶段”请填写种子期、初创期、成长期等。</w:t>
      </w:r>
    </w:p>
    <w:p>
      <w:pPr>
        <w:keepNext w:val="0"/>
        <w:keepLines w:val="0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4.营收、净利润、资产负债率提供最近一期得年度数据，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不方便提供的请标注原因。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"/>
        </w:rPr>
        <w:t>提供不少于子基金首期</w:t>
      </w: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ar"/>
        </w:rPr>
        <w:t>实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"/>
        </w:rPr>
        <w:t>缴出资金额50%的储备项目清单，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且储备项目与子基金投资策略和领域相匹配。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___WRD_EMBED_SUB_39">
    <w:altName w:val="华文宋体"/>
    <w:panose1 w:val="02010600030101010101"/>
    <w:charset w:val="86"/>
    <w:family w:val="modern"/>
    <w:pitch w:val="default"/>
    <w:sig w:usb0="00000000" w:usb1="00000000" w:usb2="0000001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zU0MTc1YTgwMDNmYmFkODNjM2IyMzFhZWNjNjkifQ=="/>
  </w:docVars>
  <w:rsids>
    <w:rsidRoot w:val="00000000"/>
    <w:rsid w:val="01C47A58"/>
    <w:rsid w:val="04FC489E"/>
    <w:rsid w:val="07C54C87"/>
    <w:rsid w:val="0AAF12B7"/>
    <w:rsid w:val="0ADD5326"/>
    <w:rsid w:val="0D4A1657"/>
    <w:rsid w:val="0D713E1F"/>
    <w:rsid w:val="0ECE5823"/>
    <w:rsid w:val="0F492792"/>
    <w:rsid w:val="0F915CC7"/>
    <w:rsid w:val="10A1053B"/>
    <w:rsid w:val="10FB5E9E"/>
    <w:rsid w:val="15EA7F0A"/>
    <w:rsid w:val="16646293"/>
    <w:rsid w:val="1B872554"/>
    <w:rsid w:val="1D262EBE"/>
    <w:rsid w:val="225273D0"/>
    <w:rsid w:val="24EE3B9C"/>
    <w:rsid w:val="26776210"/>
    <w:rsid w:val="279019DA"/>
    <w:rsid w:val="27D831F6"/>
    <w:rsid w:val="297F2B8F"/>
    <w:rsid w:val="2E4E6BAE"/>
    <w:rsid w:val="2FFD067C"/>
    <w:rsid w:val="340765CA"/>
    <w:rsid w:val="35727E08"/>
    <w:rsid w:val="36051C95"/>
    <w:rsid w:val="38A92424"/>
    <w:rsid w:val="392518F3"/>
    <w:rsid w:val="3D2C0ADF"/>
    <w:rsid w:val="40285722"/>
    <w:rsid w:val="425012F6"/>
    <w:rsid w:val="430F527E"/>
    <w:rsid w:val="44CC79D1"/>
    <w:rsid w:val="475B7717"/>
    <w:rsid w:val="48E34937"/>
    <w:rsid w:val="4C963BE4"/>
    <w:rsid w:val="4E877D5A"/>
    <w:rsid w:val="4E9F1BE3"/>
    <w:rsid w:val="4FA7397C"/>
    <w:rsid w:val="53B71D56"/>
    <w:rsid w:val="53F262BF"/>
    <w:rsid w:val="54B10D32"/>
    <w:rsid w:val="574E6D22"/>
    <w:rsid w:val="58E12895"/>
    <w:rsid w:val="59C02DAD"/>
    <w:rsid w:val="5A8548DC"/>
    <w:rsid w:val="5CBE7D5D"/>
    <w:rsid w:val="5E8A398A"/>
    <w:rsid w:val="5F084528"/>
    <w:rsid w:val="622B40AB"/>
    <w:rsid w:val="62575284"/>
    <w:rsid w:val="640702F6"/>
    <w:rsid w:val="64C37BF6"/>
    <w:rsid w:val="66DD4563"/>
    <w:rsid w:val="6828554E"/>
    <w:rsid w:val="68AB28E3"/>
    <w:rsid w:val="6A2524DB"/>
    <w:rsid w:val="6A723D79"/>
    <w:rsid w:val="6BA60683"/>
    <w:rsid w:val="6BBB5FBF"/>
    <w:rsid w:val="6BF52807"/>
    <w:rsid w:val="6E112E72"/>
    <w:rsid w:val="6E642147"/>
    <w:rsid w:val="6EAF4AD9"/>
    <w:rsid w:val="6F591BC3"/>
    <w:rsid w:val="700D1549"/>
    <w:rsid w:val="72C2773E"/>
    <w:rsid w:val="78076BBD"/>
    <w:rsid w:val="7EFD0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customStyle="1" w:styleId="7">
    <w:name w:val="列表段落11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1388</Words>
  <Characters>1423</Characters>
  <Lines>0</Lines>
  <Paragraphs>0</Paragraphs>
  <TotalTime>6</TotalTime>
  <ScaleCrop>false</ScaleCrop>
  <LinksUpToDate>false</LinksUpToDate>
  <CharactersWithSpaces>1484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15509</dc:creator>
  <cp:lastModifiedBy>橘斯基</cp:lastModifiedBy>
  <cp:lastPrinted>2022-07-13T01:00:00Z</cp:lastPrinted>
  <dcterms:modified xsi:type="dcterms:W3CDTF">2022-12-07T09:28:53Z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C89C9B660F54409A862D125A1DEFD83F</vt:lpwstr>
  </property>
</Properties>
</file>