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86A84">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6</w:t>
      </w:r>
    </w:p>
    <w:p w14:paraId="302B43DD">
      <w:pPr>
        <w:jc w:val="center"/>
        <w:rPr>
          <w:b/>
          <w:sz w:val="32"/>
        </w:rPr>
      </w:pPr>
      <w:r>
        <w:rPr>
          <w:rFonts w:hint="eastAsia"/>
          <w:b/>
          <w:sz w:val="32"/>
        </w:rPr>
        <w:t>市场化</w:t>
      </w:r>
      <w:r>
        <w:rPr>
          <w:b/>
          <w:sz w:val="32"/>
        </w:rPr>
        <w:t>子</w:t>
      </w:r>
      <w:r>
        <w:rPr>
          <w:rFonts w:hint="eastAsia"/>
          <w:b/>
          <w:sz w:val="32"/>
        </w:rPr>
        <w:t>基金合规性自查表</w:t>
      </w:r>
    </w:p>
    <w:p w14:paraId="06D73D25">
      <w:pPr>
        <w:jc w:val="left"/>
        <w:rPr>
          <w:b/>
          <w:sz w:val="24"/>
          <w:u w:val="single"/>
        </w:rPr>
      </w:pPr>
      <w:r>
        <w:rPr>
          <w:b/>
          <w:sz w:val="24"/>
          <w:u w:val="single"/>
        </w:rPr>
        <w:t>拟申报子基金名称</w:t>
      </w:r>
      <w:r>
        <w:rPr>
          <w:rFonts w:hint="eastAsia"/>
          <w:b/>
          <w:sz w:val="24"/>
          <w:u w:val="single"/>
        </w:rPr>
        <w:t xml:space="preserve">： </w:t>
      </w:r>
    </w:p>
    <w:p w14:paraId="0A516F57">
      <w:pPr>
        <w:jc w:val="left"/>
        <w:rPr>
          <w:b/>
          <w:sz w:val="24"/>
          <w:u w:val="single"/>
        </w:rPr>
      </w:pP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5089"/>
        <w:gridCol w:w="1225"/>
        <w:gridCol w:w="1469"/>
      </w:tblGrid>
      <w:tr w14:paraId="58AC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6232" w:type="dxa"/>
            <w:gridSpan w:val="2"/>
            <w:shd w:val="clear" w:color="auto" w:fill="auto"/>
            <w:vAlign w:val="center"/>
          </w:tcPr>
          <w:p w14:paraId="7129073D">
            <w:pPr>
              <w:spacing w:line="240" w:lineRule="auto"/>
              <w:jc w:val="center"/>
              <w:rPr>
                <w:rFonts w:asciiTheme="minorEastAsia" w:hAnsiTheme="minorEastAsia" w:eastAsiaTheme="minorEastAsia"/>
                <w:b/>
              </w:rPr>
            </w:pPr>
            <w:r>
              <w:rPr>
                <w:rFonts w:hint="eastAsia" w:asciiTheme="minorEastAsia" w:hAnsiTheme="minorEastAsia" w:eastAsiaTheme="minorEastAsia"/>
                <w:b/>
              </w:rPr>
              <w:t>项目</w:t>
            </w:r>
          </w:p>
        </w:tc>
        <w:tc>
          <w:tcPr>
            <w:tcW w:w="1225" w:type="dxa"/>
            <w:shd w:val="clear" w:color="auto" w:fill="auto"/>
            <w:vAlign w:val="center"/>
          </w:tcPr>
          <w:p w14:paraId="4E079690">
            <w:pPr>
              <w:spacing w:line="240" w:lineRule="auto"/>
              <w:jc w:val="center"/>
              <w:rPr>
                <w:b/>
                <w:color w:val="000000"/>
              </w:rPr>
            </w:pPr>
            <w:r>
              <w:rPr>
                <w:b/>
                <w:color w:val="000000"/>
              </w:rPr>
              <w:t>是否符合</w:t>
            </w:r>
          </w:p>
        </w:tc>
        <w:tc>
          <w:tcPr>
            <w:tcW w:w="1469" w:type="dxa"/>
            <w:shd w:val="clear" w:color="auto" w:fill="auto"/>
            <w:vAlign w:val="center"/>
          </w:tcPr>
          <w:p w14:paraId="1427DF44">
            <w:pPr>
              <w:spacing w:line="240" w:lineRule="auto"/>
              <w:jc w:val="center"/>
              <w:rPr>
                <w:b/>
                <w:color w:val="000000"/>
              </w:rPr>
            </w:pPr>
            <w:r>
              <w:rPr>
                <w:b/>
                <w:color w:val="000000"/>
              </w:rPr>
              <w:t>备注</w:t>
            </w:r>
          </w:p>
        </w:tc>
      </w:tr>
      <w:tr w14:paraId="2C52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8926" w:type="dxa"/>
            <w:gridSpan w:val="4"/>
            <w:shd w:val="clear" w:color="auto" w:fill="auto"/>
            <w:vAlign w:val="center"/>
          </w:tcPr>
          <w:p w14:paraId="7F4F9D4C">
            <w:pPr>
              <w:spacing w:line="240" w:lineRule="auto"/>
              <w:rPr>
                <w:rFonts w:cs="Arial" w:asciiTheme="minorEastAsia" w:hAnsiTheme="minorEastAsia" w:eastAsiaTheme="minorEastAsia"/>
                <w:b/>
                <w:color w:val="000000"/>
                <w:szCs w:val="21"/>
              </w:rPr>
            </w:pPr>
            <w:r>
              <w:rPr>
                <w:rFonts w:cs="Arial" w:asciiTheme="minorEastAsia" w:hAnsiTheme="minorEastAsia" w:eastAsiaTheme="minorEastAsia"/>
                <w:b/>
                <w:color w:val="000000"/>
                <w:szCs w:val="21"/>
              </w:rPr>
              <w:t>一</w:t>
            </w:r>
            <w:r>
              <w:rPr>
                <w:rFonts w:hint="eastAsia" w:cs="Arial" w:asciiTheme="minorEastAsia" w:hAnsiTheme="minorEastAsia" w:eastAsiaTheme="minorEastAsia"/>
                <w:b/>
                <w:color w:val="000000"/>
                <w:szCs w:val="21"/>
              </w:rPr>
              <w:t>、</w:t>
            </w:r>
            <w:r>
              <w:rPr>
                <w:rFonts w:cs="Arial" w:asciiTheme="minorEastAsia" w:hAnsiTheme="minorEastAsia" w:eastAsiaTheme="minorEastAsia"/>
                <w:b/>
                <w:color w:val="000000"/>
                <w:szCs w:val="21"/>
              </w:rPr>
              <w:t>子基金应符合以下条件</w:t>
            </w:r>
            <w:r>
              <w:rPr>
                <w:rFonts w:hint="eastAsia" w:cs="Arial" w:asciiTheme="minorEastAsia" w:hAnsiTheme="minorEastAsia" w:eastAsiaTheme="minorEastAsia"/>
                <w:b/>
                <w:color w:val="000000"/>
                <w:szCs w:val="21"/>
              </w:rPr>
              <w:t>：</w:t>
            </w:r>
          </w:p>
        </w:tc>
      </w:tr>
      <w:tr w14:paraId="1B18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143" w:type="dxa"/>
            <w:shd w:val="clear" w:color="auto" w:fill="auto"/>
            <w:vAlign w:val="center"/>
          </w:tcPr>
          <w:p w14:paraId="713F1811">
            <w:pPr>
              <w:spacing w:line="240" w:lineRule="auto"/>
              <w:jc w:val="center"/>
              <w:rPr>
                <w:rFonts w:asciiTheme="minorEastAsia" w:hAnsiTheme="minorEastAsia" w:eastAsiaTheme="minorEastAsia"/>
              </w:rPr>
            </w:pPr>
            <w:r>
              <w:rPr>
                <w:rFonts w:hint="eastAsia" w:asciiTheme="minorEastAsia" w:hAnsiTheme="minorEastAsia" w:eastAsiaTheme="minorEastAsia"/>
              </w:rPr>
              <w:t>注册地</w:t>
            </w:r>
          </w:p>
        </w:tc>
        <w:tc>
          <w:tcPr>
            <w:tcW w:w="5089" w:type="dxa"/>
            <w:shd w:val="clear" w:color="auto" w:fill="auto"/>
            <w:vAlign w:val="center"/>
          </w:tcPr>
          <w:p w14:paraId="1C8B4534">
            <w:pPr>
              <w:spacing w:line="240" w:lineRule="auto"/>
              <w:rPr>
                <w:rFonts w:asciiTheme="minorEastAsia" w:hAnsiTheme="minorEastAsia" w:eastAsiaTheme="minorEastAsia"/>
              </w:rPr>
            </w:pPr>
            <w:r>
              <w:rPr>
                <w:rFonts w:hint="eastAsia" w:asciiTheme="minorEastAsia" w:hAnsiTheme="minorEastAsia" w:eastAsiaTheme="minorEastAsia"/>
              </w:rPr>
              <w:t>宝安区</w:t>
            </w:r>
          </w:p>
        </w:tc>
        <w:tc>
          <w:tcPr>
            <w:tcW w:w="1225" w:type="dxa"/>
            <w:shd w:val="clear" w:color="auto" w:fill="auto"/>
            <w:vAlign w:val="center"/>
          </w:tcPr>
          <w:p w14:paraId="25EAADA4">
            <w:pPr>
              <w:spacing w:line="240" w:lineRule="auto"/>
              <w:jc w:val="center"/>
              <w:rPr>
                <w:rFonts w:cs="Arial"/>
                <w:b/>
                <w:color w:val="000000"/>
                <w:szCs w:val="21"/>
              </w:rPr>
            </w:pPr>
          </w:p>
        </w:tc>
        <w:tc>
          <w:tcPr>
            <w:tcW w:w="1469" w:type="dxa"/>
            <w:shd w:val="clear" w:color="auto" w:fill="auto"/>
            <w:vAlign w:val="center"/>
          </w:tcPr>
          <w:p w14:paraId="37142693">
            <w:pPr>
              <w:spacing w:line="240" w:lineRule="auto"/>
              <w:rPr>
                <w:rFonts w:cs="Arial"/>
                <w:b/>
                <w:color w:val="000000"/>
                <w:szCs w:val="21"/>
              </w:rPr>
            </w:pPr>
          </w:p>
        </w:tc>
      </w:tr>
      <w:tr w14:paraId="1ECC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143" w:type="dxa"/>
            <w:shd w:val="clear" w:color="auto" w:fill="auto"/>
            <w:vAlign w:val="center"/>
          </w:tcPr>
          <w:p w14:paraId="5BCEE4DD">
            <w:pPr>
              <w:spacing w:line="240" w:lineRule="auto"/>
              <w:jc w:val="center"/>
              <w:rPr>
                <w:rFonts w:asciiTheme="minorEastAsia" w:hAnsiTheme="minorEastAsia" w:eastAsiaTheme="minorEastAsia"/>
              </w:rPr>
            </w:pPr>
            <w:r>
              <w:rPr>
                <w:rFonts w:hint="eastAsia" w:asciiTheme="minorEastAsia" w:hAnsiTheme="minorEastAsia" w:eastAsiaTheme="minorEastAsia"/>
              </w:rPr>
              <w:t>基金规模</w:t>
            </w:r>
          </w:p>
        </w:tc>
        <w:tc>
          <w:tcPr>
            <w:tcW w:w="5089" w:type="dxa"/>
            <w:shd w:val="clear" w:color="auto" w:fill="auto"/>
            <w:vAlign w:val="center"/>
          </w:tcPr>
          <w:p w14:paraId="2B2ED5A4">
            <w:pPr>
              <w:spacing w:line="240" w:lineRule="auto"/>
              <w:rPr>
                <w:rFonts w:asciiTheme="minorEastAsia" w:hAnsiTheme="minorEastAsia" w:eastAsiaTheme="minorEastAsia"/>
                <w:szCs w:val="21"/>
              </w:rPr>
            </w:pPr>
            <w:r>
              <w:rPr>
                <w:rFonts w:hint="eastAsia" w:asciiTheme="minorEastAsia" w:hAnsiTheme="minorEastAsia" w:eastAsiaTheme="minorEastAsia"/>
                <w:lang w:eastAsia="zh-CN"/>
              </w:rPr>
              <w:t>子基金</w:t>
            </w:r>
            <w:r>
              <w:rPr>
                <w:rFonts w:hint="eastAsia" w:asciiTheme="minorEastAsia" w:hAnsiTheme="minorEastAsia" w:eastAsiaTheme="minorEastAsia"/>
                <w:szCs w:val="21"/>
              </w:rPr>
              <w:t>规模原则上不少于5000万元人民币。</w:t>
            </w:r>
          </w:p>
        </w:tc>
        <w:tc>
          <w:tcPr>
            <w:tcW w:w="1225" w:type="dxa"/>
            <w:shd w:val="clear" w:color="auto" w:fill="auto"/>
            <w:vAlign w:val="center"/>
          </w:tcPr>
          <w:p w14:paraId="3EC6C8DF">
            <w:pPr>
              <w:spacing w:line="240" w:lineRule="auto"/>
              <w:jc w:val="center"/>
              <w:rPr>
                <w:rFonts w:cs="Arial"/>
                <w:b/>
                <w:color w:val="000000"/>
                <w:szCs w:val="21"/>
              </w:rPr>
            </w:pPr>
          </w:p>
        </w:tc>
        <w:tc>
          <w:tcPr>
            <w:tcW w:w="1469" w:type="dxa"/>
            <w:shd w:val="clear" w:color="auto" w:fill="auto"/>
            <w:vAlign w:val="center"/>
          </w:tcPr>
          <w:p w14:paraId="6B14FA1C">
            <w:pPr>
              <w:spacing w:line="240" w:lineRule="auto"/>
              <w:rPr>
                <w:rFonts w:cs="Arial"/>
                <w:b/>
                <w:color w:val="000000"/>
                <w:szCs w:val="21"/>
              </w:rPr>
            </w:pPr>
          </w:p>
        </w:tc>
      </w:tr>
      <w:tr w14:paraId="068D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143" w:type="dxa"/>
            <w:shd w:val="clear" w:color="auto" w:fill="auto"/>
            <w:vAlign w:val="center"/>
          </w:tcPr>
          <w:p w14:paraId="1374ACC3">
            <w:pPr>
              <w:spacing w:line="240" w:lineRule="auto"/>
              <w:jc w:val="center"/>
              <w:rPr>
                <w:rFonts w:asciiTheme="minorEastAsia" w:hAnsiTheme="minorEastAsia" w:eastAsiaTheme="minorEastAsia"/>
              </w:rPr>
            </w:pPr>
            <w:r>
              <w:rPr>
                <w:rFonts w:hint="eastAsia" w:asciiTheme="minorEastAsia" w:hAnsiTheme="minorEastAsia" w:eastAsiaTheme="minorEastAsia"/>
              </w:rPr>
              <w:t>存续期限</w:t>
            </w:r>
          </w:p>
        </w:tc>
        <w:tc>
          <w:tcPr>
            <w:tcW w:w="5089" w:type="dxa"/>
            <w:shd w:val="clear" w:color="auto" w:fill="auto"/>
            <w:vAlign w:val="center"/>
          </w:tcPr>
          <w:p w14:paraId="7E147F9D">
            <w:pPr>
              <w:spacing w:line="240" w:lineRule="auto"/>
              <w:rPr>
                <w:rFonts w:asciiTheme="minorEastAsia" w:hAnsiTheme="minorEastAsia" w:eastAsiaTheme="minorEastAsia"/>
                <w:szCs w:val="21"/>
              </w:rPr>
            </w:pPr>
            <w:r>
              <w:rPr>
                <w:rFonts w:hint="eastAsia" w:asciiTheme="minorEastAsia" w:hAnsiTheme="minorEastAsia" w:eastAsiaTheme="minorEastAsia"/>
                <w:lang w:eastAsia="zh-CN"/>
              </w:rPr>
              <w:t>子基金</w:t>
            </w:r>
            <w:r>
              <w:rPr>
                <w:rFonts w:hint="eastAsia" w:asciiTheme="minorEastAsia" w:hAnsiTheme="minorEastAsia" w:eastAsiaTheme="minorEastAsia"/>
                <w:szCs w:val="21"/>
              </w:rPr>
              <w:t>存续期限原则上不超过10年。</w:t>
            </w:r>
          </w:p>
        </w:tc>
        <w:tc>
          <w:tcPr>
            <w:tcW w:w="1225" w:type="dxa"/>
            <w:shd w:val="clear" w:color="auto" w:fill="auto"/>
            <w:vAlign w:val="center"/>
          </w:tcPr>
          <w:p w14:paraId="7370B4E0">
            <w:pPr>
              <w:spacing w:line="240" w:lineRule="auto"/>
              <w:jc w:val="center"/>
              <w:rPr>
                <w:rFonts w:cs="Arial"/>
                <w:b/>
                <w:color w:val="000000"/>
                <w:szCs w:val="21"/>
              </w:rPr>
            </w:pPr>
          </w:p>
        </w:tc>
        <w:tc>
          <w:tcPr>
            <w:tcW w:w="1469" w:type="dxa"/>
            <w:shd w:val="clear" w:color="auto" w:fill="auto"/>
            <w:vAlign w:val="center"/>
          </w:tcPr>
          <w:p w14:paraId="45D7E58B">
            <w:pPr>
              <w:spacing w:line="240" w:lineRule="auto"/>
              <w:rPr>
                <w:rFonts w:cs="Arial"/>
                <w:b/>
                <w:color w:val="000000"/>
                <w:szCs w:val="21"/>
              </w:rPr>
            </w:pPr>
          </w:p>
        </w:tc>
      </w:tr>
      <w:tr w14:paraId="6069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143" w:type="dxa"/>
            <w:shd w:val="clear" w:color="auto" w:fill="auto"/>
            <w:vAlign w:val="center"/>
          </w:tcPr>
          <w:p w14:paraId="0B44FD59">
            <w:pPr>
              <w:spacing w:line="240" w:lineRule="auto"/>
              <w:jc w:val="center"/>
              <w:rPr>
                <w:rFonts w:asciiTheme="minorEastAsia" w:hAnsiTheme="minorEastAsia" w:eastAsiaTheme="minorEastAsia"/>
              </w:rPr>
            </w:pPr>
            <w:r>
              <w:rPr>
                <w:rFonts w:hint="eastAsia" w:asciiTheme="minorEastAsia" w:hAnsiTheme="minorEastAsia" w:eastAsiaTheme="minorEastAsia"/>
              </w:rPr>
              <w:t>管理费用</w:t>
            </w:r>
          </w:p>
        </w:tc>
        <w:tc>
          <w:tcPr>
            <w:tcW w:w="5089" w:type="dxa"/>
            <w:shd w:val="clear" w:color="auto" w:fill="auto"/>
            <w:vAlign w:val="center"/>
          </w:tcPr>
          <w:p w14:paraId="70B805FD">
            <w:pPr>
              <w:spacing w:line="240" w:lineRule="auto"/>
              <w:rPr>
                <w:rFonts w:asciiTheme="minorEastAsia" w:hAnsiTheme="minorEastAsia" w:eastAsiaTheme="minorEastAsia"/>
              </w:rPr>
            </w:pPr>
            <w:bookmarkStart w:id="0" w:name="_Hlk853921"/>
            <w:r>
              <w:rPr>
                <w:rFonts w:hint="eastAsia" w:asciiTheme="minorEastAsia" w:hAnsiTheme="minorEastAsia" w:eastAsiaTheme="minorEastAsia"/>
              </w:rPr>
              <w:t>参照市场惯例，</w:t>
            </w:r>
            <w:r>
              <w:rPr>
                <w:rFonts w:hint="eastAsia" w:asciiTheme="minorEastAsia" w:hAnsiTheme="minorEastAsia" w:eastAsiaTheme="minorEastAsia"/>
                <w:lang w:eastAsia="zh-CN"/>
              </w:rPr>
              <w:t>子基金</w:t>
            </w:r>
            <w:r>
              <w:rPr>
                <w:rFonts w:hint="eastAsia" w:asciiTheme="minorEastAsia" w:hAnsiTheme="minorEastAsia" w:eastAsiaTheme="minorEastAsia"/>
              </w:rPr>
              <w:t>实际费率每年最高不超过3%，且对</w:t>
            </w:r>
            <w:r>
              <w:rPr>
                <w:rFonts w:hint="eastAsia" w:asciiTheme="minorEastAsia" w:hAnsiTheme="minorEastAsia" w:eastAsiaTheme="minorEastAsia"/>
                <w:lang w:eastAsia="zh-CN"/>
              </w:rPr>
              <w:t>宝安区产业投资引导基金</w:t>
            </w:r>
            <w:r>
              <w:rPr>
                <w:rFonts w:hint="eastAsia" w:asciiTheme="minorEastAsia" w:hAnsiTheme="minorEastAsia" w:eastAsiaTheme="minorEastAsia"/>
              </w:rPr>
              <w:t>征收管理费的标准不得高于其他出资人。</w:t>
            </w:r>
            <w:bookmarkEnd w:id="0"/>
          </w:p>
        </w:tc>
        <w:tc>
          <w:tcPr>
            <w:tcW w:w="1225" w:type="dxa"/>
            <w:shd w:val="clear" w:color="auto" w:fill="auto"/>
            <w:vAlign w:val="center"/>
          </w:tcPr>
          <w:p w14:paraId="5ECA9FC3">
            <w:pPr>
              <w:spacing w:line="240" w:lineRule="auto"/>
              <w:jc w:val="center"/>
              <w:rPr>
                <w:rFonts w:cs="Arial"/>
                <w:b/>
                <w:color w:val="000000"/>
                <w:szCs w:val="21"/>
              </w:rPr>
            </w:pPr>
          </w:p>
        </w:tc>
        <w:tc>
          <w:tcPr>
            <w:tcW w:w="1469" w:type="dxa"/>
            <w:shd w:val="clear" w:color="auto" w:fill="auto"/>
            <w:vAlign w:val="center"/>
          </w:tcPr>
          <w:p w14:paraId="1E5FE890">
            <w:pPr>
              <w:spacing w:line="240" w:lineRule="auto"/>
              <w:rPr>
                <w:rFonts w:cs="Arial"/>
                <w:b/>
                <w:color w:val="000000"/>
                <w:szCs w:val="21"/>
              </w:rPr>
            </w:pPr>
          </w:p>
        </w:tc>
      </w:tr>
      <w:tr w14:paraId="549F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143" w:type="dxa"/>
            <w:shd w:val="clear" w:color="auto" w:fill="auto"/>
            <w:vAlign w:val="center"/>
          </w:tcPr>
          <w:p w14:paraId="4FF704F0">
            <w:pPr>
              <w:spacing w:line="240" w:lineRule="auto"/>
              <w:jc w:val="center"/>
              <w:rPr>
                <w:rFonts w:asciiTheme="minorEastAsia" w:hAnsiTheme="minorEastAsia" w:eastAsiaTheme="minorEastAsia"/>
              </w:rPr>
            </w:pPr>
            <w:r>
              <w:rPr>
                <w:rFonts w:hint="eastAsia" w:asciiTheme="minorEastAsia" w:hAnsiTheme="minorEastAsia" w:eastAsiaTheme="minorEastAsia"/>
              </w:rPr>
              <w:t>子基金对外投资比例要求</w:t>
            </w:r>
          </w:p>
        </w:tc>
        <w:tc>
          <w:tcPr>
            <w:tcW w:w="5089" w:type="dxa"/>
            <w:shd w:val="clear" w:color="auto" w:fill="auto"/>
            <w:vAlign w:val="center"/>
          </w:tcPr>
          <w:p w14:paraId="23A2D374">
            <w:pPr>
              <w:spacing w:line="240" w:lineRule="auto"/>
              <w:rPr>
                <w:rFonts w:asciiTheme="minorEastAsia" w:hAnsiTheme="minorEastAsia" w:eastAsiaTheme="minorEastAsia"/>
              </w:rPr>
            </w:pPr>
            <w:r>
              <w:rPr>
                <w:rFonts w:hint="eastAsia" w:asciiTheme="minorEastAsia" w:hAnsiTheme="minorEastAsia" w:eastAsiaTheme="minorEastAsia"/>
              </w:rPr>
              <w:t>除为投资单一项目而设立的基金外，</w:t>
            </w:r>
            <w:r>
              <w:rPr>
                <w:rFonts w:hint="eastAsia" w:asciiTheme="minorEastAsia" w:hAnsiTheme="minorEastAsia" w:eastAsiaTheme="minorEastAsia"/>
                <w:lang w:eastAsia="zh-CN"/>
              </w:rPr>
              <w:t>子基金</w:t>
            </w:r>
            <w:r>
              <w:rPr>
                <w:rFonts w:hint="eastAsia" w:asciiTheme="minorEastAsia" w:hAnsiTheme="minorEastAsia" w:eastAsiaTheme="minorEastAsia"/>
              </w:rPr>
              <w:t>对单个项目的投资额不超过</w:t>
            </w:r>
            <w:r>
              <w:rPr>
                <w:rFonts w:hint="eastAsia" w:asciiTheme="minorEastAsia" w:hAnsiTheme="minorEastAsia" w:eastAsiaTheme="minorEastAsia"/>
                <w:lang w:val="en-US" w:eastAsia="zh-CN"/>
              </w:rPr>
              <w:t>该子基金</w:t>
            </w:r>
            <w:r>
              <w:rPr>
                <w:rFonts w:hint="eastAsia" w:asciiTheme="minorEastAsia" w:hAnsiTheme="minorEastAsia" w:eastAsiaTheme="minorEastAsia"/>
              </w:rPr>
              <w:t>总规模的20%。</w:t>
            </w:r>
          </w:p>
        </w:tc>
        <w:tc>
          <w:tcPr>
            <w:tcW w:w="1225" w:type="dxa"/>
            <w:shd w:val="clear" w:color="auto" w:fill="auto"/>
            <w:vAlign w:val="center"/>
          </w:tcPr>
          <w:p w14:paraId="5E9EC4BD">
            <w:pPr>
              <w:spacing w:line="240" w:lineRule="auto"/>
              <w:jc w:val="center"/>
              <w:rPr>
                <w:szCs w:val="21"/>
              </w:rPr>
            </w:pPr>
          </w:p>
        </w:tc>
        <w:tc>
          <w:tcPr>
            <w:tcW w:w="1469" w:type="dxa"/>
            <w:shd w:val="clear" w:color="auto" w:fill="auto"/>
            <w:vAlign w:val="center"/>
          </w:tcPr>
          <w:p w14:paraId="0BEE6B84">
            <w:pPr>
              <w:pStyle w:val="9"/>
              <w:spacing w:line="240" w:lineRule="auto"/>
              <w:ind w:left="360" w:firstLine="0" w:firstLineChars="0"/>
              <w:rPr>
                <w:szCs w:val="21"/>
              </w:rPr>
            </w:pPr>
          </w:p>
        </w:tc>
      </w:tr>
      <w:tr w14:paraId="7873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143" w:type="dxa"/>
            <w:shd w:val="clear" w:color="auto" w:fill="auto"/>
            <w:vAlign w:val="center"/>
          </w:tcPr>
          <w:p w14:paraId="7CB6E008">
            <w:pPr>
              <w:spacing w:line="240" w:lineRule="auto"/>
              <w:jc w:val="center"/>
              <w:rPr>
                <w:rFonts w:asciiTheme="minorEastAsia" w:hAnsiTheme="minorEastAsia" w:eastAsiaTheme="minorEastAsia"/>
              </w:rPr>
            </w:pPr>
            <w:r>
              <w:rPr>
                <w:rFonts w:hint="eastAsia" w:asciiTheme="minorEastAsia" w:hAnsiTheme="minorEastAsia" w:eastAsiaTheme="minorEastAsia"/>
              </w:rPr>
              <w:t>出资比例</w:t>
            </w:r>
          </w:p>
        </w:tc>
        <w:tc>
          <w:tcPr>
            <w:tcW w:w="5089" w:type="dxa"/>
            <w:shd w:val="clear" w:color="auto" w:fill="auto"/>
            <w:vAlign w:val="center"/>
          </w:tcPr>
          <w:p w14:paraId="0EBD9775">
            <w:pPr>
              <w:spacing w:line="240" w:lineRule="auto"/>
              <w:rPr>
                <w:rFonts w:asciiTheme="minorEastAsia" w:hAnsiTheme="minorEastAsia" w:eastAsiaTheme="minorEastAsia"/>
                <w:szCs w:val="21"/>
              </w:rPr>
            </w:pPr>
            <w:r>
              <w:rPr>
                <w:rFonts w:hint="eastAsia" w:asciiTheme="minorEastAsia" w:hAnsiTheme="minorEastAsia" w:eastAsiaTheme="minorEastAsia"/>
                <w:szCs w:val="21"/>
                <w:lang w:eastAsia="zh-CN"/>
              </w:rPr>
              <w:t>子基金</w:t>
            </w:r>
            <w:r>
              <w:rPr>
                <w:rFonts w:hint="eastAsia" w:asciiTheme="minorEastAsia" w:hAnsiTheme="minorEastAsia" w:eastAsiaTheme="minorEastAsia"/>
                <w:szCs w:val="21"/>
              </w:rPr>
              <w:t>向</w:t>
            </w:r>
            <w:r>
              <w:rPr>
                <w:rFonts w:hint="eastAsia" w:asciiTheme="minorEastAsia" w:hAnsiTheme="minorEastAsia" w:eastAsiaTheme="minorEastAsia"/>
                <w:szCs w:val="21"/>
                <w:lang w:eastAsia="zh-CN"/>
              </w:rPr>
              <w:t>宝安区产业投资引导基金</w:t>
            </w:r>
            <w:r>
              <w:rPr>
                <w:rFonts w:hint="eastAsia" w:asciiTheme="minorEastAsia" w:hAnsiTheme="minorEastAsia" w:eastAsiaTheme="minorEastAsia"/>
                <w:szCs w:val="21"/>
              </w:rPr>
              <w:t>申请的出资比例原则上不超过该基金实缴出资总额的30%。</w:t>
            </w:r>
          </w:p>
        </w:tc>
        <w:tc>
          <w:tcPr>
            <w:tcW w:w="1225" w:type="dxa"/>
            <w:shd w:val="clear" w:color="auto" w:fill="auto"/>
            <w:vAlign w:val="center"/>
          </w:tcPr>
          <w:p w14:paraId="1A68236C">
            <w:pPr>
              <w:spacing w:line="240" w:lineRule="auto"/>
              <w:jc w:val="center"/>
              <w:rPr>
                <w:rFonts w:ascii="宋体" w:hAnsi="宋体"/>
                <w:color w:val="000000"/>
                <w:szCs w:val="21"/>
              </w:rPr>
            </w:pPr>
          </w:p>
        </w:tc>
        <w:tc>
          <w:tcPr>
            <w:tcW w:w="1469" w:type="dxa"/>
            <w:shd w:val="clear" w:color="auto" w:fill="auto"/>
            <w:vAlign w:val="center"/>
          </w:tcPr>
          <w:p w14:paraId="28239764">
            <w:pPr>
              <w:spacing w:line="240" w:lineRule="auto"/>
              <w:rPr>
                <w:rFonts w:ascii="宋体" w:hAnsi="宋体"/>
                <w:color w:val="000000"/>
                <w:szCs w:val="21"/>
              </w:rPr>
            </w:pPr>
          </w:p>
        </w:tc>
      </w:tr>
      <w:tr w14:paraId="06D4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143" w:type="dxa"/>
            <w:shd w:val="clear" w:color="auto" w:fill="auto"/>
            <w:vAlign w:val="center"/>
          </w:tcPr>
          <w:p w14:paraId="0486C82A">
            <w:pPr>
              <w:spacing w:line="240" w:lineRule="auto"/>
              <w:jc w:val="center"/>
              <w:rPr>
                <w:rFonts w:asciiTheme="minorEastAsia" w:hAnsiTheme="minorEastAsia" w:eastAsiaTheme="minorEastAsia"/>
              </w:rPr>
            </w:pPr>
            <w:r>
              <w:rPr>
                <w:rFonts w:hint="eastAsia" w:asciiTheme="minorEastAsia" w:hAnsiTheme="minorEastAsia" w:eastAsiaTheme="minorEastAsia"/>
              </w:rPr>
              <w:t>出资条件</w:t>
            </w:r>
          </w:p>
        </w:tc>
        <w:tc>
          <w:tcPr>
            <w:tcW w:w="5089" w:type="dxa"/>
            <w:shd w:val="clear" w:color="auto" w:fill="auto"/>
            <w:vAlign w:val="center"/>
          </w:tcPr>
          <w:p w14:paraId="41B9B605">
            <w:pPr>
              <w:spacing w:line="240" w:lineRule="auto"/>
              <w:rPr>
                <w:rFonts w:asciiTheme="minorEastAsia" w:hAnsiTheme="minorEastAsia" w:eastAsiaTheme="minorEastAsia"/>
              </w:rPr>
            </w:pPr>
            <w:r>
              <w:rPr>
                <w:rFonts w:hint="eastAsia" w:asciiTheme="minorEastAsia" w:hAnsiTheme="minorEastAsia" w:eastAsiaTheme="minorEastAsia"/>
              </w:rPr>
              <w:t>当期出资款总额的60%到位后，</w:t>
            </w:r>
            <w:r>
              <w:rPr>
                <w:rFonts w:hint="eastAsia" w:asciiTheme="minorEastAsia" w:hAnsiTheme="minorEastAsia" w:eastAsiaTheme="minorEastAsia"/>
                <w:lang w:eastAsia="zh-CN"/>
              </w:rPr>
              <w:t>宝安区产业投资引导基金</w:t>
            </w:r>
            <w:r>
              <w:rPr>
                <w:rFonts w:hint="eastAsia" w:asciiTheme="minorEastAsia" w:hAnsiTheme="minorEastAsia" w:eastAsiaTheme="minorEastAsia"/>
              </w:rPr>
              <w:t>可按基金合同、合伙协议约定或公司章程规定出资。</w:t>
            </w:r>
          </w:p>
        </w:tc>
        <w:tc>
          <w:tcPr>
            <w:tcW w:w="1225" w:type="dxa"/>
            <w:shd w:val="clear" w:color="auto" w:fill="auto"/>
            <w:vAlign w:val="center"/>
          </w:tcPr>
          <w:p w14:paraId="0C88B197">
            <w:pPr>
              <w:spacing w:line="240" w:lineRule="auto"/>
              <w:jc w:val="center"/>
              <w:rPr>
                <w:rFonts w:ascii="宋体" w:hAnsi="宋体"/>
                <w:color w:val="000000"/>
                <w:szCs w:val="21"/>
              </w:rPr>
            </w:pPr>
          </w:p>
        </w:tc>
        <w:tc>
          <w:tcPr>
            <w:tcW w:w="1469" w:type="dxa"/>
            <w:shd w:val="clear" w:color="auto" w:fill="auto"/>
            <w:vAlign w:val="center"/>
          </w:tcPr>
          <w:p w14:paraId="7311A42D">
            <w:pPr>
              <w:spacing w:line="240" w:lineRule="auto"/>
              <w:rPr>
                <w:rFonts w:ascii="宋体" w:hAnsi="宋体"/>
                <w:color w:val="000000"/>
                <w:szCs w:val="21"/>
              </w:rPr>
            </w:pPr>
          </w:p>
        </w:tc>
      </w:tr>
      <w:tr w14:paraId="0DDE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143" w:type="dxa"/>
            <w:shd w:val="clear" w:color="auto" w:fill="auto"/>
            <w:vAlign w:val="center"/>
          </w:tcPr>
          <w:p w14:paraId="18A6B176">
            <w:pPr>
              <w:spacing w:line="240" w:lineRule="auto"/>
              <w:jc w:val="center"/>
              <w:rPr>
                <w:rFonts w:asciiTheme="minorEastAsia" w:hAnsiTheme="minorEastAsia" w:eastAsiaTheme="minorEastAsia"/>
              </w:rPr>
            </w:pPr>
            <w:r>
              <w:rPr>
                <w:rFonts w:hint="eastAsia" w:asciiTheme="minorEastAsia" w:hAnsiTheme="minorEastAsia" w:eastAsiaTheme="minorEastAsia"/>
              </w:rPr>
              <w:t>收益分配</w:t>
            </w:r>
          </w:p>
        </w:tc>
        <w:tc>
          <w:tcPr>
            <w:tcW w:w="5089" w:type="dxa"/>
            <w:shd w:val="clear" w:color="auto" w:fill="auto"/>
            <w:vAlign w:val="center"/>
          </w:tcPr>
          <w:p w14:paraId="4DF2B1F7">
            <w:pPr>
              <w:spacing w:line="24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子基金的投资</w:t>
            </w:r>
            <w:r>
              <w:rPr>
                <w:rFonts w:hint="eastAsia" w:asciiTheme="minorEastAsia" w:hAnsiTheme="minorEastAsia" w:eastAsiaTheme="minorEastAsia"/>
                <w:szCs w:val="21"/>
              </w:rPr>
              <w:t>收益分配优先采用“整体先回本后分利”方式，按具体项目进行收益分配时，子基金管理机构收取的收益分成应当设置相应的“钩回机制”。</w:t>
            </w:r>
          </w:p>
        </w:tc>
        <w:tc>
          <w:tcPr>
            <w:tcW w:w="1225" w:type="dxa"/>
            <w:shd w:val="clear" w:color="auto" w:fill="auto"/>
            <w:vAlign w:val="center"/>
          </w:tcPr>
          <w:p w14:paraId="72A2301D">
            <w:pPr>
              <w:spacing w:line="240" w:lineRule="auto"/>
              <w:jc w:val="center"/>
              <w:rPr>
                <w:rFonts w:ascii="宋体" w:hAnsi="宋体"/>
                <w:color w:val="000000"/>
                <w:szCs w:val="21"/>
              </w:rPr>
            </w:pPr>
          </w:p>
        </w:tc>
        <w:tc>
          <w:tcPr>
            <w:tcW w:w="1469" w:type="dxa"/>
            <w:shd w:val="clear" w:color="auto" w:fill="auto"/>
            <w:vAlign w:val="center"/>
          </w:tcPr>
          <w:p w14:paraId="531CAB24">
            <w:pPr>
              <w:spacing w:line="240" w:lineRule="auto"/>
              <w:rPr>
                <w:rFonts w:ascii="宋体" w:hAnsi="宋体"/>
                <w:color w:val="000000"/>
                <w:szCs w:val="21"/>
              </w:rPr>
            </w:pPr>
          </w:p>
        </w:tc>
      </w:tr>
      <w:tr w14:paraId="29E8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143" w:type="dxa"/>
            <w:shd w:val="clear" w:color="auto" w:fill="auto"/>
            <w:vAlign w:val="center"/>
          </w:tcPr>
          <w:p w14:paraId="26FF4F75">
            <w:pPr>
              <w:spacing w:line="240" w:lineRule="auto"/>
              <w:jc w:val="center"/>
              <w:rPr>
                <w:rFonts w:asciiTheme="minorEastAsia" w:hAnsiTheme="minorEastAsia" w:eastAsiaTheme="minorEastAsia"/>
              </w:rPr>
            </w:pPr>
            <w:r>
              <w:rPr>
                <w:rFonts w:hint="eastAsia" w:asciiTheme="minorEastAsia" w:hAnsiTheme="minorEastAsia" w:eastAsiaTheme="minorEastAsia"/>
              </w:rPr>
              <w:t>亏损承担</w:t>
            </w:r>
          </w:p>
        </w:tc>
        <w:tc>
          <w:tcPr>
            <w:tcW w:w="5089" w:type="dxa"/>
            <w:shd w:val="clear" w:color="auto" w:fill="auto"/>
            <w:vAlign w:val="center"/>
          </w:tcPr>
          <w:p w14:paraId="2B980F33">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子基金清算出现亏损时，应按基金合同、合伙协议约定或公司章程规定的比例由子基金管理机构和各出资人分别承担，</w:t>
            </w:r>
            <w:r>
              <w:rPr>
                <w:rFonts w:hint="eastAsia" w:asciiTheme="minorEastAsia" w:hAnsiTheme="minorEastAsia" w:eastAsiaTheme="minorEastAsia"/>
                <w:szCs w:val="21"/>
                <w:lang w:eastAsia="zh-CN"/>
              </w:rPr>
              <w:t>宝安区产业投资引导基金</w:t>
            </w:r>
            <w:r>
              <w:rPr>
                <w:rFonts w:hint="eastAsia" w:asciiTheme="minorEastAsia" w:hAnsiTheme="minorEastAsia" w:eastAsiaTheme="minorEastAsia"/>
                <w:szCs w:val="21"/>
              </w:rPr>
              <w:t>以出资额为限承担有限责任。</w:t>
            </w:r>
          </w:p>
        </w:tc>
        <w:tc>
          <w:tcPr>
            <w:tcW w:w="1225" w:type="dxa"/>
            <w:shd w:val="clear" w:color="auto" w:fill="auto"/>
            <w:vAlign w:val="center"/>
          </w:tcPr>
          <w:p w14:paraId="038BED40">
            <w:pPr>
              <w:spacing w:line="240" w:lineRule="auto"/>
              <w:jc w:val="center"/>
              <w:rPr>
                <w:rFonts w:ascii="宋体" w:hAnsi="宋体"/>
                <w:color w:val="000000"/>
                <w:szCs w:val="21"/>
              </w:rPr>
            </w:pPr>
          </w:p>
        </w:tc>
        <w:tc>
          <w:tcPr>
            <w:tcW w:w="1469" w:type="dxa"/>
            <w:shd w:val="clear" w:color="auto" w:fill="auto"/>
            <w:vAlign w:val="center"/>
          </w:tcPr>
          <w:p w14:paraId="2A195BEF">
            <w:pPr>
              <w:spacing w:line="240" w:lineRule="auto"/>
              <w:rPr>
                <w:rFonts w:ascii="宋体" w:hAnsi="宋体"/>
                <w:color w:val="000000"/>
                <w:szCs w:val="21"/>
              </w:rPr>
            </w:pPr>
          </w:p>
        </w:tc>
      </w:tr>
      <w:tr w14:paraId="11E2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8926" w:type="dxa"/>
            <w:gridSpan w:val="4"/>
            <w:shd w:val="clear" w:color="auto" w:fill="auto"/>
            <w:vAlign w:val="center"/>
          </w:tcPr>
          <w:p w14:paraId="5F8F2748">
            <w:pPr>
              <w:spacing w:line="240" w:lineRule="auto"/>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二、</w:t>
            </w:r>
            <w:r>
              <w:rPr>
                <w:rFonts w:asciiTheme="minorEastAsia" w:hAnsiTheme="minorEastAsia" w:eastAsiaTheme="minorEastAsia"/>
                <w:b/>
                <w:color w:val="000000"/>
                <w:szCs w:val="21"/>
              </w:rPr>
              <w:t>子基金</w:t>
            </w:r>
            <w:r>
              <w:rPr>
                <w:rFonts w:hint="eastAsia" w:asciiTheme="minorEastAsia" w:hAnsiTheme="minorEastAsia" w:eastAsiaTheme="minorEastAsia"/>
                <w:b/>
                <w:color w:val="000000"/>
                <w:szCs w:val="21"/>
              </w:rPr>
              <w:t>申请机构及管理机构</w:t>
            </w:r>
            <w:r>
              <w:rPr>
                <w:rFonts w:asciiTheme="minorEastAsia" w:hAnsiTheme="minorEastAsia" w:eastAsiaTheme="minorEastAsia"/>
                <w:b/>
                <w:color w:val="000000"/>
                <w:szCs w:val="21"/>
              </w:rPr>
              <w:t>应符合以下条件</w:t>
            </w:r>
            <w:r>
              <w:rPr>
                <w:rFonts w:hint="eastAsia" w:asciiTheme="minorEastAsia" w:hAnsiTheme="minorEastAsia" w:eastAsiaTheme="minorEastAsia"/>
                <w:b/>
                <w:color w:val="000000"/>
                <w:szCs w:val="21"/>
              </w:rPr>
              <w:t>：</w:t>
            </w:r>
          </w:p>
        </w:tc>
      </w:tr>
      <w:tr w14:paraId="3CED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43" w:type="dxa"/>
            <w:shd w:val="clear" w:color="auto" w:fill="auto"/>
            <w:vAlign w:val="center"/>
          </w:tcPr>
          <w:p w14:paraId="4917112C">
            <w:pPr>
              <w:spacing w:line="240" w:lineRule="auto"/>
              <w:jc w:val="center"/>
              <w:rPr>
                <w:rFonts w:asciiTheme="minorEastAsia" w:hAnsiTheme="minorEastAsia" w:eastAsiaTheme="minorEastAsia"/>
              </w:rPr>
            </w:pPr>
            <w:r>
              <w:rPr>
                <w:rFonts w:hint="eastAsia" w:asciiTheme="minorEastAsia" w:hAnsiTheme="minorEastAsia" w:eastAsiaTheme="minorEastAsia"/>
              </w:rPr>
              <w:t>合法合规</w:t>
            </w:r>
          </w:p>
        </w:tc>
        <w:tc>
          <w:tcPr>
            <w:tcW w:w="5089" w:type="dxa"/>
            <w:shd w:val="clear" w:color="auto" w:fill="auto"/>
            <w:vAlign w:val="center"/>
          </w:tcPr>
          <w:p w14:paraId="14FAB1EF">
            <w:pPr>
              <w:spacing w:line="240" w:lineRule="auto"/>
              <w:rPr>
                <w:rFonts w:asciiTheme="minorEastAsia" w:hAnsiTheme="minorEastAsia" w:eastAsiaTheme="minorEastAsia"/>
              </w:rPr>
            </w:pPr>
            <w:r>
              <w:rPr>
                <w:rFonts w:hint="eastAsia" w:asciiTheme="minorEastAsia" w:hAnsiTheme="minorEastAsia" w:eastAsiaTheme="minorEastAsia"/>
              </w:rPr>
              <w:t>（一）申请机构：依法设立，实缴资本不低于1000万元人民币，最近三年不存在重大违法违规行为（成立未满三年的机构自成立以来不存在重大违法违规行为）；</w:t>
            </w:r>
          </w:p>
          <w:p w14:paraId="7088D558">
            <w:pPr>
              <w:spacing w:line="240" w:lineRule="auto"/>
              <w:rPr>
                <w:rFonts w:asciiTheme="minorEastAsia" w:hAnsiTheme="minorEastAsia" w:eastAsiaTheme="minorEastAsia"/>
              </w:rPr>
            </w:pPr>
            <w:r>
              <w:rPr>
                <w:rFonts w:hint="eastAsia" w:asciiTheme="minorEastAsia" w:hAnsiTheme="minorEastAsia" w:eastAsiaTheme="minorEastAsia"/>
              </w:rPr>
              <w:t>（二）管理机构：可由申请机构、基金普通合伙人或其他机构担任，实缴资本不低于1000万元人民币且不低于其在基金中认缴出资总额，且已依法设立并按法律法规或监管规定完成登记备案（如为新设机构，必须在引导基金实际出资前取得私募投资基金相关登记备案资质）。</w:t>
            </w:r>
          </w:p>
        </w:tc>
        <w:tc>
          <w:tcPr>
            <w:tcW w:w="1225" w:type="dxa"/>
            <w:shd w:val="clear" w:color="auto" w:fill="auto"/>
            <w:vAlign w:val="center"/>
          </w:tcPr>
          <w:p w14:paraId="4C6D81A9">
            <w:pPr>
              <w:spacing w:line="240" w:lineRule="auto"/>
              <w:jc w:val="center"/>
              <w:rPr>
                <w:szCs w:val="21"/>
              </w:rPr>
            </w:pPr>
          </w:p>
        </w:tc>
        <w:tc>
          <w:tcPr>
            <w:tcW w:w="1469" w:type="dxa"/>
            <w:shd w:val="clear" w:color="auto" w:fill="auto"/>
            <w:vAlign w:val="center"/>
          </w:tcPr>
          <w:p w14:paraId="2014116E">
            <w:pPr>
              <w:spacing w:line="240" w:lineRule="auto"/>
              <w:rPr>
                <w:szCs w:val="21"/>
              </w:rPr>
            </w:pPr>
          </w:p>
        </w:tc>
      </w:tr>
      <w:tr w14:paraId="5F0C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1143" w:type="dxa"/>
            <w:vMerge w:val="restart"/>
            <w:shd w:val="clear" w:color="auto" w:fill="auto"/>
            <w:vAlign w:val="center"/>
          </w:tcPr>
          <w:p w14:paraId="7A4A977C">
            <w:pPr>
              <w:spacing w:line="240" w:lineRule="auto"/>
              <w:jc w:val="center"/>
              <w:rPr>
                <w:rFonts w:asciiTheme="minorEastAsia" w:hAnsiTheme="minorEastAsia" w:eastAsiaTheme="minorEastAsia"/>
              </w:rPr>
            </w:pPr>
            <w:r>
              <w:rPr>
                <w:rFonts w:hint="eastAsia" w:asciiTheme="minorEastAsia" w:hAnsiTheme="minorEastAsia" w:eastAsiaTheme="minorEastAsia"/>
              </w:rPr>
              <w:t>运营</w:t>
            </w:r>
            <w:r>
              <w:rPr>
                <w:rFonts w:asciiTheme="minorEastAsia" w:hAnsiTheme="minorEastAsia" w:eastAsiaTheme="minorEastAsia"/>
              </w:rPr>
              <w:t>资质</w:t>
            </w:r>
          </w:p>
        </w:tc>
        <w:tc>
          <w:tcPr>
            <w:tcW w:w="5089" w:type="dxa"/>
            <w:shd w:val="clear" w:color="auto" w:fill="auto"/>
            <w:vAlign w:val="center"/>
          </w:tcPr>
          <w:p w14:paraId="5D99C2E3">
            <w:pPr>
              <w:spacing w:line="240" w:lineRule="auto"/>
              <w:rPr>
                <w:rFonts w:asciiTheme="minorEastAsia" w:hAnsiTheme="minorEastAsia" w:eastAsiaTheme="minorEastAsia"/>
              </w:rPr>
            </w:pPr>
            <w:r>
              <w:rPr>
                <w:rFonts w:hint="eastAsia" w:asciiTheme="minorEastAsia" w:hAnsiTheme="minorEastAsia" w:eastAsiaTheme="minorEastAsia"/>
                <w:lang w:val="en-US" w:eastAsia="zh-CN"/>
              </w:rPr>
              <w:t>子</w:t>
            </w:r>
            <w:r>
              <w:rPr>
                <w:rFonts w:hint="eastAsia" w:asciiTheme="minorEastAsia" w:hAnsiTheme="minorEastAsia" w:eastAsiaTheme="minorEastAsia"/>
              </w:rPr>
              <w:t>基金管理机构或其主要股东（公司制）、普通合伙人（合伙制）或3名以上管理团队主要成员以骨干身份累计管理股权投资基金规模不低于5亿元，至少有3个成功投资案例（成功投资案例是指项目年化回报率不低于20%，且投资的回收金额不低于投资额的50%）。</w:t>
            </w:r>
          </w:p>
        </w:tc>
        <w:tc>
          <w:tcPr>
            <w:tcW w:w="1225" w:type="dxa"/>
            <w:shd w:val="clear" w:color="auto" w:fill="auto"/>
            <w:vAlign w:val="center"/>
          </w:tcPr>
          <w:p w14:paraId="629F911B">
            <w:pPr>
              <w:spacing w:line="240" w:lineRule="auto"/>
              <w:jc w:val="center"/>
              <w:rPr>
                <w:szCs w:val="21"/>
              </w:rPr>
            </w:pPr>
          </w:p>
        </w:tc>
        <w:tc>
          <w:tcPr>
            <w:tcW w:w="1469" w:type="dxa"/>
            <w:shd w:val="clear" w:color="auto" w:fill="auto"/>
            <w:vAlign w:val="center"/>
          </w:tcPr>
          <w:p w14:paraId="1E8E9592">
            <w:pPr>
              <w:spacing w:line="240" w:lineRule="auto"/>
              <w:rPr>
                <w:szCs w:val="21"/>
              </w:rPr>
            </w:pPr>
          </w:p>
        </w:tc>
      </w:tr>
      <w:tr w14:paraId="4D24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43" w:type="dxa"/>
            <w:vMerge w:val="continue"/>
            <w:shd w:val="clear" w:color="auto" w:fill="auto"/>
            <w:vAlign w:val="center"/>
          </w:tcPr>
          <w:p w14:paraId="0FD39ACF">
            <w:pPr>
              <w:spacing w:line="240" w:lineRule="auto"/>
              <w:jc w:val="center"/>
              <w:rPr>
                <w:rFonts w:asciiTheme="minorEastAsia" w:hAnsiTheme="minorEastAsia" w:eastAsiaTheme="minorEastAsia"/>
              </w:rPr>
            </w:pPr>
          </w:p>
        </w:tc>
        <w:tc>
          <w:tcPr>
            <w:tcW w:w="5089" w:type="dxa"/>
            <w:shd w:val="clear" w:color="auto" w:fill="auto"/>
            <w:vAlign w:val="center"/>
          </w:tcPr>
          <w:p w14:paraId="43E6B158">
            <w:pPr>
              <w:spacing w:line="240" w:lineRule="auto"/>
              <w:rPr>
                <w:rFonts w:asciiTheme="minorEastAsia" w:hAnsiTheme="minorEastAsia" w:eastAsiaTheme="minorEastAsia"/>
              </w:rPr>
            </w:pPr>
            <w:r>
              <w:rPr>
                <w:rFonts w:hint="eastAsia" w:asciiTheme="minorEastAsia" w:hAnsiTheme="minorEastAsia" w:eastAsiaTheme="minorEastAsia"/>
              </w:rPr>
              <w:t>基金申报方案由子基金申请机构负责提交。申请新设子基金的，子基金申请机构在提交基金申报方案时，应提供拟出资人的出资承诺/意向函、出</w:t>
            </w:r>
            <w:bookmarkStart w:id="2" w:name="_GoBack"/>
            <w:bookmarkEnd w:id="2"/>
            <w:r>
              <w:rPr>
                <w:rFonts w:hint="eastAsia" w:asciiTheme="minorEastAsia" w:hAnsiTheme="minorEastAsia" w:eastAsiaTheme="minorEastAsia"/>
              </w:rPr>
              <w:t>资能力证明等材料。</w:t>
            </w:r>
          </w:p>
        </w:tc>
        <w:tc>
          <w:tcPr>
            <w:tcW w:w="1225" w:type="dxa"/>
            <w:shd w:val="clear" w:color="auto" w:fill="auto"/>
            <w:vAlign w:val="center"/>
          </w:tcPr>
          <w:p w14:paraId="042E5503">
            <w:pPr>
              <w:spacing w:line="240" w:lineRule="auto"/>
              <w:jc w:val="center"/>
              <w:rPr>
                <w:szCs w:val="21"/>
              </w:rPr>
            </w:pPr>
          </w:p>
        </w:tc>
        <w:tc>
          <w:tcPr>
            <w:tcW w:w="1469" w:type="dxa"/>
            <w:shd w:val="clear" w:color="auto" w:fill="auto"/>
            <w:vAlign w:val="center"/>
          </w:tcPr>
          <w:p w14:paraId="008017FB">
            <w:pPr>
              <w:spacing w:line="240" w:lineRule="auto"/>
              <w:rPr>
                <w:szCs w:val="21"/>
              </w:rPr>
            </w:pPr>
          </w:p>
        </w:tc>
      </w:tr>
      <w:tr w14:paraId="7C2A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43" w:type="dxa"/>
            <w:vMerge w:val="continue"/>
            <w:shd w:val="clear" w:color="auto" w:fill="auto"/>
            <w:vAlign w:val="center"/>
          </w:tcPr>
          <w:p w14:paraId="105C20C8">
            <w:pPr>
              <w:spacing w:line="240" w:lineRule="auto"/>
              <w:jc w:val="center"/>
              <w:rPr>
                <w:rFonts w:asciiTheme="minorEastAsia" w:hAnsiTheme="minorEastAsia" w:eastAsiaTheme="minorEastAsia"/>
              </w:rPr>
            </w:pPr>
          </w:p>
        </w:tc>
        <w:tc>
          <w:tcPr>
            <w:tcW w:w="5089" w:type="dxa"/>
            <w:shd w:val="clear" w:color="auto" w:fill="auto"/>
            <w:vAlign w:val="center"/>
          </w:tcPr>
          <w:p w14:paraId="059DE38D">
            <w:pPr>
              <w:spacing w:line="240" w:lineRule="auto"/>
              <w:rPr>
                <w:rFonts w:asciiTheme="minorEastAsia" w:hAnsiTheme="minorEastAsia" w:eastAsiaTheme="minorEastAsia"/>
              </w:rPr>
            </w:pPr>
            <w:r>
              <w:rPr>
                <w:rFonts w:hint="eastAsia" w:asciiTheme="minorEastAsia" w:hAnsiTheme="minorEastAsia" w:eastAsiaTheme="minorEastAsia"/>
              </w:rPr>
              <w:t>按中基协要求管理和投资运作规范，具有完整的投资决策程序、风险控制机制和健全的财务管理制度。</w:t>
            </w:r>
          </w:p>
        </w:tc>
        <w:tc>
          <w:tcPr>
            <w:tcW w:w="1225" w:type="dxa"/>
            <w:shd w:val="clear" w:color="auto" w:fill="auto"/>
            <w:vAlign w:val="center"/>
          </w:tcPr>
          <w:p w14:paraId="0BD5DD1A">
            <w:pPr>
              <w:spacing w:line="240" w:lineRule="auto"/>
              <w:jc w:val="center"/>
              <w:rPr>
                <w:szCs w:val="21"/>
              </w:rPr>
            </w:pPr>
          </w:p>
        </w:tc>
        <w:tc>
          <w:tcPr>
            <w:tcW w:w="1469" w:type="dxa"/>
            <w:shd w:val="clear" w:color="auto" w:fill="auto"/>
            <w:vAlign w:val="center"/>
          </w:tcPr>
          <w:p w14:paraId="268FF807">
            <w:pPr>
              <w:spacing w:line="240" w:lineRule="auto"/>
              <w:rPr>
                <w:szCs w:val="21"/>
              </w:rPr>
            </w:pPr>
          </w:p>
        </w:tc>
      </w:tr>
      <w:tr w14:paraId="2BBC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43" w:type="dxa"/>
            <w:vMerge w:val="restart"/>
            <w:shd w:val="clear" w:color="auto" w:fill="auto"/>
            <w:vAlign w:val="center"/>
          </w:tcPr>
          <w:p w14:paraId="2B88ADF4">
            <w:pPr>
              <w:spacing w:line="240" w:lineRule="auto"/>
              <w:jc w:val="center"/>
              <w:rPr>
                <w:rFonts w:asciiTheme="minorEastAsia" w:hAnsiTheme="minorEastAsia" w:eastAsiaTheme="minorEastAsia"/>
              </w:rPr>
            </w:pPr>
            <w:r>
              <w:rPr>
                <w:rFonts w:hint="eastAsia" w:asciiTheme="minorEastAsia" w:hAnsiTheme="minorEastAsia" w:eastAsiaTheme="minorEastAsia"/>
              </w:rPr>
              <w:t>管理</w:t>
            </w:r>
            <w:r>
              <w:rPr>
                <w:rFonts w:asciiTheme="minorEastAsia" w:hAnsiTheme="minorEastAsia" w:eastAsiaTheme="minorEastAsia"/>
              </w:rPr>
              <w:t>团队</w:t>
            </w:r>
          </w:p>
        </w:tc>
        <w:tc>
          <w:tcPr>
            <w:tcW w:w="5089" w:type="dxa"/>
            <w:shd w:val="clear" w:color="auto" w:fill="auto"/>
            <w:vAlign w:val="center"/>
          </w:tcPr>
          <w:p w14:paraId="35863219">
            <w:pPr>
              <w:spacing w:line="240" w:lineRule="auto"/>
              <w:rPr>
                <w:rFonts w:asciiTheme="minorEastAsia" w:hAnsiTheme="minorEastAsia" w:eastAsiaTheme="minorEastAsia"/>
              </w:rPr>
            </w:pPr>
            <w:r>
              <w:rPr>
                <w:rFonts w:hint="eastAsia" w:asciiTheme="minorEastAsia" w:hAnsiTheme="minorEastAsia" w:eastAsiaTheme="minorEastAsia"/>
              </w:rPr>
              <w:t xml:space="preserve">配备专属且稳定的管理团队，拥有不少于5名专业投资人员，其中具有3年以上相关经验的不少于3名。 </w:t>
            </w:r>
          </w:p>
        </w:tc>
        <w:tc>
          <w:tcPr>
            <w:tcW w:w="1225" w:type="dxa"/>
            <w:shd w:val="clear" w:color="auto" w:fill="auto"/>
            <w:vAlign w:val="center"/>
          </w:tcPr>
          <w:p w14:paraId="783CB55B">
            <w:pPr>
              <w:spacing w:line="240" w:lineRule="auto"/>
              <w:jc w:val="center"/>
              <w:rPr>
                <w:szCs w:val="21"/>
              </w:rPr>
            </w:pPr>
          </w:p>
        </w:tc>
        <w:tc>
          <w:tcPr>
            <w:tcW w:w="1469" w:type="dxa"/>
            <w:shd w:val="clear" w:color="auto" w:fill="auto"/>
            <w:vAlign w:val="center"/>
          </w:tcPr>
          <w:p w14:paraId="4C0660D0">
            <w:pPr>
              <w:spacing w:line="240" w:lineRule="auto"/>
              <w:rPr>
                <w:szCs w:val="21"/>
              </w:rPr>
            </w:pPr>
          </w:p>
        </w:tc>
      </w:tr>
      <w:tr w14:paraId="6F69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143" w:type="dxa"/>
            <w:vMerge w:val="continue"/>
            <w:shd w:val="clear" w:color="auto" w:fill="auto"/>
            <w:vAlign w:val="center"/>
          </w:tcPr>
          <w:p w14:paraId="0B379562">
            <w:pPr>
              <w:spacing w:line="240" w:lineRule="auto"/>
              <w:jc w:val="center"/>
              <w:rPr>
                <w:rFonts w:asciiTheme="minorEastAsia" w:hAnsiTheme="minorEastAsia" w:eastAsiaTheme="minorEastAsia"/>
              </w:rPr>
            </w:pPr>
          </w:p>
        </w:tc>
        <w:tc>
          <w:tcPr>
            <w:tcW w:w="5089" w:type="dxa"/>
            <w:shd w:val="clear" w:color="auto" w:fill="auto"/>
            <w:vAlign w:val="center"/>
          </w:tcPr>
          <w:p w14:paraId="6E6A8978">
            <w:pPr>
              <w:spacing w:line="240" w:lineRule="auto"/>
              <w:rPr>
                <w:rFonts w:hint="eastAsia" w:asciiTheme="minorEastAsia" w:hAnsiTheme="minorEastAsia" w:eastAsiaTheme="minorEastAsia"/>
                <w:lang w:eastAsia="zh-CN"/>
              </w:rPr>
            </w:pPr>
            <w:r>
              <w:rPr>
                <w:rFonts w:hint="eastAsia" w:asciiTheme="minorEastAsia" w:hAnsiTheme="minorEastAsia" w:eastAsiaTheme="minorEastAsia"/>
              </w:rPr>
              <w:t>管理团队主要成员无受过行政主管机关或司法机关处罚的不良记录</w:t>
            </w:r>
          </w:p>
        </w:tc>
        <w:tc>
          <w:tcPr>
            <w:tcW w:w="1225" w:type="dxa"/>
            <w:shd w:val="clear" w:color="auto" w:fill="auto"/>
            <w:vAlign w:val="center"/>
          </w:tcPr>
          <w:p w14:paraId="0828BBA1">
            <w:pPr>
              <w:spacing w:line="240" w:lineRule="auto"/>
              <w:jc w:val="center"/>
              <w:rPr>
                <w:szCs w:val="21"/>
              </w:rPr>
            </w:pPr>
          </w:p>
        </w:tc>
        <w:tc>
          <w:tcPr>
            <w:tcW w:w="1469" w:type="dxa"/>
            <w:shd w:val="clear" w:color="auto" w:fill="auto"/>
            <w:vAlign w:val="center"/>
          </w:tcPr>
          <w:p w14:paraId="1DB2CCDB">
            <w:pPr>
              <w:spacing w:line="240" w:lineRule="auto"/>
              <w:rPr>
                <w:szCs w:val="21"/>
              </w:rPr>
            </w:pPr>
          </w:p>
        </w:tc>
      </w:tr>
      <w:tr w14:paraId="6903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43" w:type="dxa"/>
            <w:vMerge w:val="restart"/>
            <w:shd w:val="clear" w:color="auto" w:fill="auto"/>
            <w:vAlign w:val="center"/>
          </w:tcPr>
          <w:p w14:paraId="46B79560">
            <w:pPr>
              <w:spacing w:line="240" w:lineRule="auto"/>
              <w:jc w:val="center"/>
              <w:rPr>
                <w:rFonts w:asciiTheme="minorEastAsia" w:hAnsiTheme="minorEastAsia" w:eastAsiaTheme="minorEastAsia"/>
              </w:rPr>
            </w:pPr>
            <w:r>
              <w:rPr>
                <w:rFonts w:hint="eastAsia" w:asciiTheme="minorEastAsia" w:hAnsiTheme="minorEastAsia" w:eastAsiaTheme="minorEastAsia"/>
              </w:rPr>
              <w:t>风险控制</w:t>
            </w:r>
          </w:p>
        </w:tc>
        <w:tc>
          <w:tcPr>
            <w:tcW w:w="5089" w:type="dxa"/>
            <w:shd w:val="clear" w:color="auto" w:fill="auto"/>
            <w:vAlign w:val="center"/>
          </w:tcPr>
          <w:p w14:paraId="0BEA5D45">
            <w:pPr>
              <w:spacing w:line="240" w:lineRule="auto"/>
              <w:rPr>
                <w:rFonts w:hint="eastAsia" w:asciiTheme="minorEastAsia" w:hAnsiTheme="minorEastAsia" w:eastAsiaTheme="minorEastAsia"/>
                <w:lang w:eastAsia="zh-CN"/>
              </w:rPr>
            </w:pPr>
            <w:r>
              <w:rPr>
                <w:rFonts w:hint="eastAsia" w:asciiTheme="minorEastAsia" w:hAnsiTheme="minorEastAsia" w:eastAsiaTheme="minorEastAsia"/>
              </w:rPr>
              <w:t>接受</w:t>
            </w:r>
            <w:r>
              <w:rPr>
                <w:rFonts w:hint="eastAsia" w:asciiTheme="minorEastAsia" w:hAnsiTheme="minorEastAsia" w:eastAsiaTheme="minorEastAsia"/>
                <w:lang w:eastAsia="zh-CN"/>
              </w:rPr>
              <w:t>宝安区产业投资引导基金</w:t>
            </w:r>
            <w:r>
              <w:rPr>
                <w:rFonts w:hint="eastAsia" w:asciiTheme="minorEastAsia" w:hAnsiTheme="minorEastAsia" w:eastAsiaTheme="minorEastAsia"/>
              </w:rPr>
              <w:t>向子基金委派代表并对子基金违反相关规定的项目行使一票否决权</w:t>
            </w:r>
          </w:p>
        </w:tc>
        <w:tc>
          <w:tcPr>
            <w:tcW w:w="1225" w:type="dxa"/>
            <w:shd w:val="clear" w:color="auto" w:fill="auto"/>
            <w:vAlign w:val="center"/>
          </w:tcPr>
          <w:p w14:paraId="3908C7EE">
            <w:pPr>
              <w:spacing w:line="240" w:lineRule="auto"/>
              <w:jc w:val="center"/>
              <w:rPr>
                <w:szCs w:val="21"/>
              </w:rPr>
            </w:pPr>
          </w:p>
        </w:tc>
        <w:tc>
          <w:tcPr>
            <w:tcW w:w="1469" w:type="dxa"/>
            <w:shd w:val="clear" w:color="auto" w:fill="auto"/>
            <w:vAlign w:val="center"/>
          </w:tcPr>
          <w:p w14:paraId="20EAC137">
            <w:pPr>
              <w:spacing w:line="240" w:lineRule="auto"/>
              <w:rPr>
                <w:szCs w:val="21"/>
              </w:rPr>
            </w:pPr>
          </w:p>
        </w:tc>
      </w:tr>
      <w:tr w14:paraId="56F6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43" w:type="dxa"/>
            <w:vMerge w:val="continue"/>
            <w:shd w:val="clear" w:color="auto" w:fill="auto"/>
            <w:vAlign w:val="center"/>
          </w:tcPr>
          <w:p w14:paraId="38FA65E3">
            <w:pPr>
              <w:spacing w:line="240" w:lineRule="auto"/>
              <w:jc w:val="center"/>
              <w:rPr>
                <w:rFonts w:asciiTheme="minorEastAsia" w:hAnsiTheme="minorEastAsia" w:eastAsiaTheme="minorEastAsia"/>
              </w:rPr>
            </w:pPr>
          </w:p>
        </w:tc>
        <w:tc>
          <w:tcPr>
            <w:tcW w:w="5089" w:type="dxa"/>
            <w:shd w:val="clear" w:color="auto" w:fill="auto"/>
            <w:vAlign w:val="center"/>
          </w:tcPr>
          <w:p w14:paraId="792389FB">
            <w:pPr>
              <w:spacing w:line="240" w:lineRule="auto"/>
              <w:rPr>
                <w:rFonts w:asciiTheme="minorEastAsia" w:hAnsiTheme="minorEastAsia" w:eastAsiaTheme="minorEastAsia"/>
              </w:rPr>
            </w:pPr>
            <w:r>
              <w:rPr>
                <w:rFonts w:hint="eastAsia" w:asciiTheme="minorEastAsia" w:hAnsiTheme="minorEastAsia" w:eastAsiaTheme="minorEastAsia"/>
              </w:rPr>
              <w:t>子基金管理机构及其关联方对子基金合计出资比例不低于1%</w:t>
            </w:r>
          </w:p>
        </w:tc>
        <w:tc>
          <w:tcPr>
            <w:tcW w:w="1225" w:type="dxa"/>
            <w:shd w:val="clear" w:color="auto" w:fill="auto"/>
            <w:vAlign w:val="center"/>
          </w:tcPr>
          <w:p w14:paraId="63715E30">
            <w:pPr>
              <w:spacing w:line="240" w:lineRule="auto"/>
              <w:jc w:val="center"/>
              <w:rPr>
                <w:szCs w:val="21"/>
              </w:rPr>
            </w:pPr>
          </w:p>
        </w:tc>
        <w:tc>
          <w:tcPr>
            <w:tcW w:w="1469" w:type="dxa"/>
            <w:shd w:val="clear" w:color="auto" w:fill="auto"/>
            <w:vAlign w:val="center"/>
          </w:tcPr>
          <w:p w14:paraId="0F3748F5">
            <w:pPr>
              <w:spacing w:line="240" w:lineRule="auto"/>
              <w:rPr>
                <w:szCs w:val="21"/>
              </w:rPr>
            </w:pPr>
          </w:p>
        </w:tc>
      </w:tr>
      <w:tr w14:paraId="1BC0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43" w:type="dxa"/>
            <w:vMerge w:val="continue"/>
            <w:shd w:val="clear" w:color="auto" w:fill="auto"/>
            <w:vAlign w:val="center"/>
          </w:tcPr>
          <w:p w14:paraId="4D6F5E12">
            <w:pPr>
              <w:spacing w:line="240" w:lineRule="auto"/>
              <w:jc w:val="center"/>
              <w:rPr>
                <w:rFonts w:asciiTheme="minorEastAsia" w:hAnsiTheme="minorEastAsia" w:eastAsiaTheme="minorEastAsia"/>
              </w:rPr>
            </w:pPr>
          </w:p>
        </w:tc>
        <w:tc>
          <w:tcPr>
            <w:tcW w:w="5089" w:type="dxa"/>
            <w:shd w:val="clear" w:color="auto" w:fill="auto"/>
            <w:vAlign w:val="center"/>
          </w:tcPr>
          <w:p w14:paraId="4478AA10">
            <w:pPr>
              <w:spacing w:line="240" w:lineRule="auto"/>
              <w:rPr>
                <w:rFonts w:asciiTheme="minorEastAsia" w:hAnsiTheme="minorEastAsia" w:eastAsiaTheme="minorEastAsia"/>
              </w:rPr>
            </w:pPr>
            <w:r>
              <w:rPr>
                <w:rFonts w:hint="eastAsia" w:asciiTheme="minorEastAsia" w:hAnsiTheme="minorEastAsia" w:eastAsiaTheme="minorEastAsia"/>
              </w:rPr>
              <w:t>在子基金完成70%的投资进度之前，子基金基金合同、合伙协议或公司章程应当约定对子基金投委会委员和管理团队核心成员进行锁定，管理团队核心成员原则上不得变更，不得发起、设立或管理同领域和同类型投资策略的基金，不得作为前述基金的关键人，锁定人员如发生变动应当经子基金相关权力机构表决通过。</w:t>
            </w:r>
          </w:p>
        </w:tc>
        <w:tc>
          <w:tcPr>
            <w:tcW w:w="1225" w:type="dxa"/>
            <w:shd w:val="clear" w:color="auto" w:fill="auto"/>
            <w:vAlign w:val="center"/>
          </w:tcPr>
          <w:p w14:paraId="6420F343">
            <w:pPr>
              <w:spacing w:line="240" w:lineRule="auto"/>
              <w:jc w:val="center"/>
              <w:rPr>
                <w:szCs w:val="21"/>
              </w:rPr>
            </w:pPr>
          </w:p>
        </w:tc>
        <w:tc>
          <w:tcPr>
            <w:tcW w:w="1469" w:type="dxa"/>
            <w:shd w:val="clear" w:color="auto" w:fill="auto"/>
            <w:vAlign w:val="center"/>
          </w:tcPr>
          <w:p w14:paraId="5F214E2B">
            <w:pPr>
              <w:spacing w:line="240" w:lineRule="auto"/>
              <w:rPr>
                <w:szCs w:val="21"/>
              </w:rPr>
            </w:pPr>
          </w:p>
        </w:tc>
      </w:tr>
      <w:tr w14:paraId="06E6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43" w:type="dxa"/>
            <w:vMerge w:val="continue"/>
            <w:shd w:val="clear" w:color="auto" w:fill="auto"/>
            <w:vAlign w:val="center"/>
          </w:tcPr>
          <w:p w14:paraId="4B8594EE">
            <w:pPr>
              <w:spacing w:line="240" w:lineRule="auto"/>
              <w:jc w:val="center"/>
              <w:rPr>
                <w:rFonts w:asciiTheme="minorEastAsia" w:hAnsiTheme="minorEastAsia" w:eastAsiaTheme="minorEastAsia"/>
              </w:rPr>
            </w:pPr>
          </w:p>
        </w:tc>
        <w:tc>
          <w:tcPr>
            <w:tcW w:w="5089" w:type="dxa"/>
            <w:shd w:val="clear" w:color="auto" w:fill="auto"/>
            <w:vAlign w:val="center"/>
          </w:tcPr>
          <w:p w14:paraId="5EAF5230">
            <w:pPr>
              <w:spacing w:line="240" w:lineRule="auto"/>
              <w:rPr>
                <w:rFonts w:asciiTheme="minorEastAsia" w:hAnsiTheme="minorEastAsia" w:eastAsiaTheme="minorEastAsia"/>
              </w:rPr>
            </w:pPr>
            <w:r>
              <w:rPr>
                <w:rFonts w:hint="eastAsia" w:asciiTheme="minorEastAsia" w:hAnsiTheme="minorEastAsia" w:eastAsiaTheme="minorEastAsia"/>
              </w:rPr>
              <w:t>子基金资产应委托在中国境内设立的具有合法资质且具有基金托管经验的商业银行进行托管；</w:t>
            </w:r>
            <w:bookmarkStart w:id="1" w:name="_Hlk119424047"/>
            <w:r>
              <w:rPr>
                <w:rFonts w:hint="eastAsia" w:asciiTheme="minorEastAsia" w:hAnsiTheme="minorEastAsia" w:eastAsiaTheme="minorEastAsia"/>
              </w:rPr>
              <w:t>优先选择入驻宝安区金融超市的银行作为托管银行</w:t>
            </w:r>
            <w:bookmarkEnd w:id="1"/>
            <w:r>
              <w:rPr>
                <w:rFonts w:hint="eastAsia" w:asciiTheme="minorEastAsia" w:hAnsiTheme="minorEastAsia" w:eastAsiaTheme="minorEastAsia"/>
              </w:rPr>
              <w:t>。</w:t>
            </w:r>
          </w:p>
        </w:tc>
        <w:tc>
          <w:tcPr>
            <w:tcW w:w="1225" w:type="dxa"/>
            <w:shd w:val="clear" w:color="auto" w:fill="auto"/>
            <w:vAlign w:val="center"/>
          </w:tcPr>
          <w:p w14:paraId="06F0F294">
            <w:pPr>
              <w:spacing w:line="240" w:lineRule="auto"/>
              <w:jc w:val="center"/>
              <w:rPr>
                <w:szCs w:val="21"/>
              </w:rPr>
            </w:pPr>
          </w:p>
        </w:tc>
        <w:tc>
          <w:tcPr>
            <w:tcW w:w="1469" w:type="dxa"/>
            <w:shd w:val="clear" w:color="auto" w:fill="auto"/>
            <w:vAlign w:val="center"/>
          </w:tcPr>
          <w:p w14:paraId="6496C3E6">
            <w:pPr>
              <w:spacing w:line="240" w:lineRule="auto"/>
              <w:rPr>
                <w:szCs w:val="21"/>
              </w:rPr>
            </w:pPr>
          </w:p>
        </w:tc>
      </w:tr>
      <w:tr w14:paraId="64F3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43" w:type="dxa"/>
            <w:vMerge w:val="continue"/>
            <w:shd w:val="clear" w:color="auto" w:fill="auto"/>
            <w:vAlign w:val="center"/>
          </w:tcPr>
          <w:p w14:paraId="46945D45">
            <w:pPr>
              <w:spacing w:line="240" w:lineRule="auto"/>
              <w:jc w:val="center"/>
              <w:rPr>
                <w:rFonts w:asciiTheme="minorEastAsia" w:hAnsiTheme="minorEastAsia" w:eastAsiaTheme="minorEastAsia"/>
              </w:rPr>
            </w:pPr>
          </w:p>
        </w:tc>
        <w:tc>
          <w:tcPr>
            <w:tcW w:w="5089" w:type="dxa"/>
            <w:shd w:val="clear" w:color="auto" w:fill="auto"/>
            <w:vAlign w:val="center"/>
          </w:tcPr>
          <w:p w14:paraId="44CAEFF1">
            <w:pPr>
              <w:spacing w:line="240" w:lineRule="auto"/>
              <w:rPr>
                <w:rFonts w:asciiTheme="minorEastAsia" w:hAnsiTheme="minorEastAsia" w:eastAsiaTheme="minorEastAsia"/>
              </w:rPr>
            </w:pPr>
            <w:r>
              <w:rPr>
                <w:rFonts w:hint="eastAsia" w:asciiTheme="minorEastAsia" w:hAnsiTheme="minorEastAsia" w:eastAsiaTheme="minorEastAsia"/>
              </w:rPr>
              <w:t>子基金管理机构应当建立基金重大事项披露制度。子基金管理机构应当在每个季度结束后1个半月内，向</w:t>
            </w:r>
            <w:r>
              <w:rPr>
                <w:rFonts w:hint="eastAsia" w:asciiTheme="minorEastAsia" w:hAnsiTheme="minorEastAsia" w:eastAsiaTheme="minorEastAsia"/>
                <w:lang w:eastAsia="zh-CN"/>
              </w:rPr>
              <w:t>宝安区产业投资引导基金</w:t>
            </w:r>
            <w:r>
              <w:rPr>
                <w:rFonts w:hint="eastAsia" w:asciiTheme="minorEastAsia" w:hAnsiTheme="minorEastAsia" w:eastAsiaTheme="minorEastAsia"/>
              </w:rPr>
              <w:t>提交上季度基金业务运作报告及资金托管报告；于每个会计年度结束后4个月内提交经会计师事务所审计的基金年度审计报告、基金年度运营报告及基金年度银行托管报告，</w:t>
            </w:r>
            <w:r>
              <w:rPr>
                <w:rFonts w:hint="eastAsia" w:asciiTheme="minorEastAsia" w:hAnsiTheme="minorEastAsia" w:eastAsiaTheme="minorEastAsia"/>
                <w:lang w:eastAsia="zh-CN"/>
              </w:rPr>
              <w:t>宝安区产业投资引导基金</w:t>
            </w:r>
            <w:r>
              <w:rPr>
                <w:rFonts w:hint="eastAsia" w:asciiTheme="minorEastAsia" w:hAnsiTheme="minorEastAsia" w:eastAsiaTheme="minorEastAsia"/>
              </w:rPr>
              <w:t>视工作需要可委托专业机构对子基金进行审计。</w:t>
            </w:r>
          </w:p>
        </w:tc>
        <w:tc>
          <w:tcPr>
            <w:tcW w:w="1225" w:type="dxa"/>
            <w:shd w:val="clear" w:color="auto" w:fill="auto"/>
            <w:vAlign w:val="center"/>
          </w:tcPr>
          <w:p w14:paraId="3863BC27">
            <w:pPr>
              <w:spacing w:line="240" w:lineRule="auto"/>
              <w:jc w:val="center"/>
              <w:rPr>
                <w:szCs w:val="21"/>
              </w:rPr>
            </w:pPr>
          </w:p>
        </w:tc>
        <w:tc>
          <w:tcPr>
            <w:tcW w:w="1469" w:type="dxa"/>
            <w:shd w:val="clear" w:color="auto" w:fill="auto"/>
            <w:vAlign w:val="center"/>
          </w:tcPr>
          <w:p w14:paraId="65360892">
            <w:pPr>
              <w:spacing w:line="240" w:lineRule="auto"/>
              <w:rPr>
                <w:szCs w:val="21"/>
              </w:rPr>
            </w:pPr>
          </w:p>
        </w:tc>
      </w:tr>
      <w:tr w14:paraId="7445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43" w:type="dxa"/>
            <w:vMerge w:val="continue"/>
            <w:shd w:val="clear" w:color="auto" w:fill="auto"/>
            <w:vAlign w:val="center"/>
          </w:tcPr>
          <w:p w14:paraId="7406C906">
            <w:pPr>
              <w:spacing w:line="240" w:lineRule="auto"/>
              <w:jc w:val="center"/>
              <w:rPr>
                <w:rFonts w:asciiTheme="minorEastAsia" w:hAnsiTheme="minorEastAsia" w:eastAsiaTheme="minorEastAsia"/>
              </w:rPr>
            </w:pPr>
          </w:p>
        </w:tc>
        <w:tc>
          <w:tcPr>
            <w:tcW w:w="5089" w:type="dxa"/>
            <w:shd w:val="clear" w:color="auto" w:fill="auto"/>
            <w:vAlign w:val="center"/>
          </w:tcPr>
          <w:p w14:paraId="435AEE3B">
            <w:pPr>
              <w:spacing w:line="240" w:lineRule="auto"/>
              <w:rPr>
                <w:rFonts w:asciiTheme="minorEastAsia" w:hAnsiTheme="minorEastAsia" w:eastAsiaTheme="minorEastAsia"/>
              </w:rPr>
            </w:pPr>
            <w:r>
              <w:rPr>
                <w:rFonts w:hint="eastAsia" w:asciiTheme="minorEastAsia" w:hAnsiTheme="minorEastAsia" w:eastAsiaTheme="minorEastAsia"/>
              </w:rPr>
              <w:t>子基金出现以下情况之一的，</w:t>
            </w:r>
            <w:r>
              <w:rPr>
                <w:rFonts w:hint="eastAsia" w:asciiTheme="minorEastAsia" w:hAnsiTheme="minorEastAsia" w:eastAsiaTheme="minorEastAsia"/>
                <w:lang w:eastAsia="zh-CN"/>
              </w:rPr>
              <w:t>宝安区产业投资引导基金</w:t>
            </w:r>
            <w:r>
              <w:rPr>
                <w:rFonts w:hint="eastAsia" w:asciiTheme="minorEastAsia" w:hAnsiTheme="minorEastAsia" w:eastAsiaTheme="minorEastAsia"/>
              </w:rPr>
              <w:t>有权提前退出：</w:t>
            </w:r>
          </w:p>
          <w:p w14:paraId="12721B70">
            <w:pPr>
              <w:spacing w:line="240" w:lineRule="auto"/>
              <w:rPr>
                <w:rFonts w:asciiTheme="minorEastAsia" w:hAnsiTheme="minorEastAsia" w:eastAsiaTheme="minorEastAsia"/>
              </w:rPr>
            </w:pPr>
            <w:r>
              <w:rPr>
                <w:rFonts w:hint="eastAsia" w:asciiTheme="minorEastAsia" w:hAnsiTheme="minorEastAsia" w:eastAsiaTheme="minorEastAsia"/>
              </w:rPr>
              <w:t>1、子基金未按基金合同、合伙协议或公司章程投资且未能有效整改的；</w:t>
            </w:r>
          </w:p>
          <w:p w14:paraId="3E934E89">
            <w:pPr>
              <w:spacing w:line="240" w:lineRule="auto"/>
              <w:rPr>
                <w:rFonts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lang w:eastAsia="zh-CN"/>
              </w:rPr>
              <w:t>宝安区产业投资引导基金</w:t>
            </w:r>
            <w:r>
              <w:rPr>
                <w:rFonts w:hint="eastAsia" w:asciiTheme="minorEastAsia" w:hAnsiTheme="minorEastAsia" w:eastAsiaTheme="minorEastAsia"/>
              </w:rPr>
              <w:t>与子基金管理机构签订基金合同、合伙协议或公司章程后，子基金管理机构未按规定程序完成设立手续超过一年的；</w:t>
            </w:r>
          </w:p>
          <w:p w14:paraId="3438B61C">
            <w:pPr>
              <w:spacing w:line="240" w:lineRule="auto"/>
              <w:rPr>
                <w:rFonts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lang w:eastAsia="zh-CN"/>
              </w:rPr>
              <w:t>宝安区产业投资引导基金</w:t>
            </w:r>
            <w:r>
              <w:rPr>
                <w:rFonts w:hint="eastAsia" w:asciiTheme="minorEastAsia" w:hAnsiTheme="minorEastAsia" w:eastAsiaTheme="minorEastAsia"/>
              </w:rPr>
              <w:t>出资资金拨付至子基金账户后，子基金未开展投资业务超过一年的；</w:t>
            </w:r>
          </w:p>
          <w:p w14:paraId="7EAF2FED">
            <w:pPr>
              <w:spacing w:line="240" w:lineRule="auto"/>
              <w:rPr>
                <w:rFonts w:asciiTheme="minorEastAsia" w:hAnsiTheme="minorEastAsia" w:eastAsiaTheme="minorEastAsia"/>
              </w:rPr>
            </w:pPr>
            <w:r>
              <w:rPr>
                <w:rFonts w:hint="eastAsia" w:asciiTheme="minorEastAsia" w:hAnsiTheme="minorEastAsia" w:eastAsiaTheme="minorEastAsia"/>
              </w:rPr>
              <w:t>4、子基金投资项目不符合宝安区或《管理办法》规定的政策导向的；</w:t>
            </w:r>
          </w:p>
          <w:p w14:paraId="21CE9C8C">
            <w:pPr>
              <w:spacing w:line="240" w:lineRule="auto"/>
              <w:rPr>
                <w:rFonts w:asciiTheme="minorEastAsia" w:hAnsiTheme="minorEastAsia" w:eastAsiaTheme="minorEastAsia"/>
              </w:rPr>
            </w:pPr>
            <w:r>
              <w:rPr>
                <w:rFonts w:hint="eastAsia" w:asciiTheme="minorEastAsia" w:hAnsiTheme="minorEastAsia" w:eastAsiaTheme="minorEastAsia"/>
              </w:rPr>
              <w:t>5、子基金管理机构发生实质性变化的。</w:t>
            </w:r>
          </w:p>
          <w:p w14:paraId="0E586DAC">
            <w:pPr>
              <w:spacing w:line="240" w:lineRule="auto"/>
              <w:rPr>
                <w:rFonts w:asciiTheme="minorEastAsia" w:hAnsiTheme="minorEastAsia" w:eastAsiaTheme="minorEastAsia"/>
              </w:rPr>
            </w:pPr>
            <w:r>
              <w:rPr>
                <w:rFonts w:hint="eastAsia" w:asciiTheme="minorEastAsia" w:hAnsiTheme="minorEastAsia" w:eastAsiaTheme="minorEastAsia"/>
              </w:rPr>
              <w:t>退出价格按照基金合同、合伙协议约定或公司章程规定的方式计算，</w:t>
            </w:r>
            <w:r>
              <w:rPr>
                <w:rFonts w:hint="eastAsia" w:asciiTheme="minorEastAsia" w:hAnsiTheme="minorEastAsia" w:eastAsiaTheme="minorEastAsia"/>
                <w:lang w:eastAsia="zh-CN"/>
              </w:rPr>
              <w:t>宝安区产业投资引导基金</w:t>
            </w:r>
            <w:r>
              <w:rPr>
                <w:rFonts w:hint="eastAsia" w:asciiTheme="minorEastAsia" w:hAnsiTheme="minorEastAsia" w:eastAsiaTheme="minorEastAsia"/>
              </w:rPr>
              <w:t>有权要求收回投资本金及同期全国银行间同业拆借中心公布的贷款市场报价利率（LPR）计算之和，如有收益分成部分，按照投资协议约定享有收益分配。</w:t>
            </w:r>
          </w:p>
        </w:tc>
        <w:tc>
          <w:tcPr>
            <w:tcW w:w="1225" w:type="dxa"/>
            <w:shd w:val="clear" w:color="auto" w:fill="auto"/>
            <w:vAlign w:val="center"/>
          </w:tcPr>
          <w:p w14:paraId="7174058C">
            <w:pPr>
              <w:spacing w:line="240" w:lineRule="auto"/>
              <w:jc w:val="center"/>
              <w:rPr>
                <w:szCs w:val="21"/>
              </w:rPr>
            </w:pPr>
          </w:p>
        </w:tc>
        <w:tc>
          <w:tcPr>
            <w:tcW w:w="1469" w:type="dxa"/>
            <w:shd w:val="clear" w:color="auto" w:fill="auto"/>
            <w:vAlign w:val="center"/>
          </w:tcPr>
          <w:p w14:paraId="0B05B031">
            <w:pPr>
              <w:spacing w:line="240" w:lineRule="auto"/>
              <w:rPr>
                <w:szCs w:val="21"/>
              </w:rPr>
            </w:pPr>
          </w:p>
        </w:tc>
      </w:tr>
      <w:tr w14:paraId="450A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232" w:type="dxa"/>
            <w:gridSpan w:val="2"/>
            <w:shd w:val="clear" w:color="auto" w:fill="auto"/>
            <w:vAlign w:val="center"/>
          </w:tcPr>
          <w:p w14:paraId="16AA95FC">
            <w:pPr>
              <w:spacing w:line="240" w:lineRule="auto"/>
              <w:rPr>
                <w:rFonts w:asciiTheme="minorEastAsia" w:hAnsiTheme="minorEastAsia" w:eastAsiaTheme="minorEastAsia"/>
                <w:b/>
              </w:rPr>
            </w:pPr>
            <w:r>
              <w:rPr>
                <w:rFonts w:hint="eastAsia" w:asciiTheme="minorEastAsia" w:hAnsiTheme="minorEastAsia" w:eastAsiaTheme="minorEastAsia"/>
                <w:b/>
              </w:rPr>
              <w:t>四、子基金投资限制</w:t>
            </w:r>
            <w:r>
              <w:rPr>
                <w:rFonts w:asciiTheme="minorEastAsia" w:hAnsiTheme="minorEastAsia" w:eastAsiaTheme="minorEastAsia"/>
                <w:b/>
              </w:rPr>
              <w:t>：</w:t>
            </w:r>
          </w:p>
        </w:tc>
        <w:tc>
          <w:tcPr>
            <w:tcW w:w="1225" w:type="dxa"/>
            <w:shd w:val="clear" w:color="auto" w:fill="auto"/>
            <w:vAlign w:val="center"/>
          </w:tcPr>
          <w:p w14:paraId="29489687">
            <w:pPr>
              <w:spacing w:line="240" w:lineRule="auto"/>
              <w:jc w:val="center"/>
            </w:pPr>
          </w:p>
        </w:tc>
        <w:tc>
          <w:tcPr>
            <w:tcW w:w="1469" w:type="dxa"/>
            <w:shd w:val="clear" w:color="auto" w:fill="auto"/>
            <w:vAlign w:val="center"/>
          </w:tcPr>
          <w:p w14:paraId="60C37270">
            <w:pPr>
              <w:spacing w:line="240" w:lineRule="auto"/>
            </w:pPr>
          </w:p>
        </w:tc>
      </w:tr>
      <w:tr w14:paraId="3F94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43" w:type="dxa"/>
            <w:vMerge w:val="restart"/>
            <w:shd w:val="clear" w:color="auto" w:fill="auto"/>
            <w:vAlign w:val="center"/>
          </w:tcPr>
          <w:p w14:paraId="2E589FAA">
            <w:pPr>
              <w:spacing w:line="240" w:lineRule="auto"/>
              <w:jc w:val="center"/>
              <w:rPr>
                <w:rFonts w:asciiTheme="minorEastAsia" w:hAnsiTheme="minorEastAsia" w:eastAsiaTheme="minorEastAsia"/>
              </w:rPr>
            </w:pPr>
            <w:r>
              <w:rPr>
                <w:rFonts w:hint="eastAsia" w:asciiTheme="minorEastAsia" w:hAnsiTheme="minorEastAsia" w:eastAsiaTheme="minorEastAsia"/>
              </w:rPr>
              <w:t xml:space="preserve">子基金  </w:t>
            </w:r>
            <w:r>
              <w:rPr>
                <w:rFonts w:asciiTheme="minorEastAsia" w:hAnsiTheme="minorEastAsia" w:eastAsiaTheme="minorEastAsia"/>
              </w:rPr>
              <w:t>不得从</w:t>
            </w:r>
            <w:r>
              <w:rPr>
                <w:rFonts w:hint="eastAsia" w:asciiTheme="minorEastAsia" w:hAnsiTheme="minorEastAsia" w:eastAsiaTheme="minorEastAsia"/>
              </w:rPr>
              <w:t xml:space="preserve">  </w:t>
            </w:r>
            <w:r>
              <w:rPr>
                <w:rFonts w:asciiTheme="minorEastAsia" w:hAnsiTheme="minorEastAsia" w:eastAsiaTheme="minorEastAsia"/>
              </w:rPr>
              <w:t>事业务</w:t>
            </w:r>
          </w:p>
        </w:tc>
        <w:tc>
          <w:tcPr>
            <w:tcW w:w="5089" w:type="dxa"/>
            <w:shd w:val="clear" w:color="auto" w:fill="auto"/>
            <w:vAlign w:val="center"/>
          </w:tcPr>
          <w:p w14:paraId="18F20238">
            <w:pPr>
              <w:spacing w:line="240" w:lineRule="auto"/>
              <w:rPr>
                <w:rFonts w:asciiTheme="minorEastAsia" w:hAnsiTheme="minorEastAsia" w:eastAsiaTheme="minorEastAsia"/>
              </w:rPr>
            </w:pPr>
            <w:r>
              <w:rPr>
                <w:rFonts w:hint="eastAsia" w:asciiTheme="minorEastAsia" w:hAnsiTheme="minorEastAsia" w:eastAsiaTheme="minorEastAsia"/>
              </w:rPr>
              <w:t>从事融资担保以外的担保、抵押、委托贷款等业务</w:t>
            </w:r>
          </w:p>
        </w:tc>
        <w:tc>
          <w:tcPr>
            <w:tcW w:w="1225" w:type="dxa"/>
            <w:shd w:val="clear" w:color="auto" w:fill="auto"/>
            <w:vAlign w:val="center"/>
          </w:tcPr>
          <w:p w14:paraId="174BE06F">
            <w:pPr>
              <w:spacing w:line="240" w:lineRule="auto"/>
              <w:jc w:val="center"/>
            </w:pPr>
          </w:p>
        </w:tc>
        <w:tc>
          <w:tcPr>
            <w:tcW w:w="1469" w:type="dxa"/>
            <w:shd w:val="clear" w:color="auto" w:fill="auto"/>
            <w:vAlign w:val="center"/>
          </w:tcPr>
          <w:p w14:paraId="54EDBDBE">
            <w:pPr>
              <w:spacing w:line="240" w:lineRule="auto"/>
            </w:pPr>
          </w:p>
        </w:tc>
      </w:tr>
      <w:tr w14:paraId="60D8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43" w:type="dxa"/>
            <w:vMerge w:val="continue"/>
            <w:shd w:val="clear" w:color="auto" w:fill="auto"/>
            <w:vAlign w:val="center"/>
          </w:tcPr>
          <w:p w14:paraId="51CB7C3E">
            <w:pPr>
              <w:spacing w:line="240" w:lineRule="auto"/>
              <w:jc w:val="center"/>
              <w:rPr>
                <w:rFonts w:asciiTheme="minorEastAsia" w:hAnsiTheme="minorEastAsia" w:eastAsiaTheme="minorEastAsia"/>
              </w:rPr>
            </w:pPr>
          </w:p>
        </w:tc>
        <w:tc>
          <w:tcPr>
            <w:tcW w:w="5089" w:type="dxa"/>
            <w:shd w:val="clear" w:color="auto" w:fill="auto"/>
            <w:vAlign w:val="center"/>
          </w:tcPr>
          <w:p w14:paraId="066A261A">
            <w:pPr>
              <w:spacing w:line="240" w:lineRule="auto"/>
              <w:rPr>
                <w:rFonts w:asciiTheme="minorEastAsia" w:hAnsiTheme="minorEastAsia" w:eastAsiaTheme="minorEastAsia"/>
              </w:rPr>
            </w:pPr>
            <w:r>
              <w:rPr>
                <w:rFonts w:hint="eastAsia" w:asciiTheme="minorEastAsia" w:hAnsiTheme="minorEastAsia" w:eastAsiaTheme="minorEastAsia"/>
              </w:rPr>
              <w:t>投资二级市场股票、期货、房地产、证券投资基金、评级AAA以下的企业债、信托产品、非保本型理财产品、保险计划及其他金融衍生品</w:t>
            </w:r>
          </w:p>
        </w:tc>
        <w:tc>
          <w:tcPr>
            <w:tcW w:w="1225" w:type="dxa"/>
            <w:shd w:val="clear" w:color="auto" w:fill="auto"/>
            <w:vAlign w:val="center"/>
          </w:tcPr>
          <w:p w14:paraId="3144632D">
            <w:pPr>
              <w:spacing w:line="240" w:lineRule="auto"/>
              <w:jc w:val="center"/>
            </w:pPr>
          </w:p>
        </w:tc>
        <w:tc>
          <w:tcPr>
            <w:tcW w:w="1469" w:type="dxa"/>
            <w:shd w:val="clear" w:color="auto" w:fill="auto"/>
            <w:vAlign w:val="center"/>
          </w:tcPr>
          <w:p w14:paraId="279D83E0">
            <w:pPr>
              <w:spacing w:line="240" w:lineRule="auto"/>
            </w:pPr>
          </w:p>
        </w:tc>
      </w:tr>
      <w:tr w14:paraId="0786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43" w:type="dxa"/>
            <w:vMerge w:val="continue"/>
            <w:shd w:val="clear" w:color="auto" w:fill="auto"/>
            <w:vAlign w:val="center"/>
          </w:tcPr>
          <w:p w14:paraId="7C87F411">
            <w:pPr>
              <w:spacing w:line="240" w:lineRule="auto"/>
              <w:jc w:val="center"/>
              <w:rPr>
                <w:rFonts w:asciiTheme="minorEastAsia" w:hAnsiTheme="minorEastAsia" w:eastAsiaTheme="minorEastAsia"/>
              </w:rPr>
            </w:pPr>
          </w:p>
        </w:tc>
        <w:tc>
          <w:tcPr>
            <w:tcW w:w="5089" w:type="dxa"/>
            <w:shd w:val="clear" w:color="auto" w:fill="auto"/>
            <w:vAlign w:val="center"/>
          </w:tcPr>
          <w:p w14:paraId="06AB38EC">
            <w:pPr>
              <w:spacing w:line="240" w:lineRule="auto"/>
              <w:rPr>
                <w:rFonts w:asciiTheme="minorEastAsia" w:hAnsiTheme="minorEastAsia" w:eastAsiaTheme="minorEastAsia"/>
              </w:rPr>
            </w:pPr>
            <w:r>
              <w:rPr>
                <w:rFonts w:hint="eastAsia" w:asciiTheme="minorEastAsia" w:hAnsiTheme="minorEastAsia" w:eastAsiaTheme="minorEastAsia"/>
              </w:rPr>
              <w:t>向任何第三方提供赞助、捐赠（经批准的公益性捐赠除外）</w:t>
            </w:r>
          </w:p>
        </w:tc>
        <w:tc>
          <w:tcPr>
            <w:tcW w:w="1225" w:type="dxa"/>
            <w:shd w:val="clear" w:color="auto" w:fill="auto"/>
            <w:vAlign w:val="center"/>
          </w:tcPr>
          <w:p w14:paraId="71B37C3D">
            <w:pPr>
              <w:spacing w:line="240" w:lineRule="auto"/>
              <w:jc w:val="center"/>
            </w:pPr>
          </w:p>
        </w:tc>
        <w:tc>
          <w:tcPr>
            <w:tcW w:w="1469" w:type="dxa"/>
            <w:shd w:val="clear" w:color="auto" w:fill="auto"/>
            <w:vAlign w:val="center"/>
          </w:tcPr>
          <w:p w14:paraId="0DB22D72">
            <w:pPr>
              <w:spacing w:line="240" w:lineRule="auto"/>
            </w:pPr>
          </w:p>
        </w:tc>
      </w:tr>
      <w:tr w14:paraId="45AD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43" w:type="dxa"/>
            <w:vMerge w:val="continue"/>
            <w:shd w:val="clear" w:color="auto" w:fill="auto"/>
            <w:vAlign w:val="center"/>
          </w:tcPr>
          <w:p w14:paraId="3E1A0D28">
            <w:pPr>
              <w:spacing w:line="240" w:lineRule="auto"/>
              <w:jc w:val="center"/>
              <w:rPr>
                <w:rFonts w:asciiTheme="minorEastAsia" w:hAnsiTheme="minorEastAsia" w:eastAsiaTheme="minorEastAsia"/>
              </w:rPr>
            </w:pPr>
          </w:p>
        </w:tc>
        <w:tc>
          <w:tcPr>
            <w:tcW w:w="5089" w:type="dxa"/>
            <w:shd w:val="clear" w:color="auto" w:fill="auto"/>
            <w:vAlign w:val="center"/>
          </w:tcPr>
          <w:p w14:paraId="08779D83">
            <w:pPr>
              <w:spacing w:line="240" w:lineRule="auto"/>
              <w:rPr>
                <w:rFonts w:asciiTheme="minorEastAsia" w:hAnsiTheme="minorEastAsia" w:eastAsiaTheme="minorEastAsia"/>
              </w:rPr>
            </w:pPr>
            <w:r>
              <w:rPr>
                <w:rFonts w:hint="eastAsia" w:asciiTheme="minorEastAsia" w:hAnsiTheme="minorEastAsia" w:eastAsiaTheme="minorEastAsia"/>
              </w:rPr>
              <w:t>吸收或变相吸收存款，或向第三方提供贷款和资金拆借（以股权投资为目的可转债除外，但不得从事明股实债）</w:t>
            </w:r>
          </w:p>
        </w:tc>
        <w:tc>
          <w:tcPr>
            <w:tcW w:w="1225" w:type="dxa"/>
            <w:shd w:val="clear" w:color="auto" w:fill="auto"/>
            <w:vAlign w:val="center"/>
          </w:tcPr>
          <w:p w14:paraId="6FE2663B">
            <w:pPr>
              <w:spacing w:line="240" w:lineRule="auto"/>
              <w:jc w:val="center"/>
            </w:pPr>
          </w:p>
        </w:tc>
        <w:tc>
          <w:tcPr>
            <w:tcW w:w="1469" w:type="dxa"/>
            <w:shd w:val="clear" w:color="auto" w:fill="auto"/>
            <w:vAlign w:val="center"/>
          </w:tcPr>
          <w:p w14:paraId="5B78D5C0">
            <w:pPr>
              <w:spacing w:line="240" w:lineRule="auto"/>
            </w:pPr>
          </w:p>
        </w:tc>
      </w:tr>
      <w:tr w14:paraId="621C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43" w:type="dxa"/>
            <w:vMerge w:val="continue"/>
            <w:shd w:val="clear" w:color="auto" w:fill="auto"/>
            <w:vAlign w:val="center"/>
          </w:tcPr>
          <w:p w14:paraId="1A9A5FE8">
            <w:pPr>
              <w:spacing w:line="240" w:lineRule="auto"/>
              <w:jc w:val="center"/>
              <w:rPr>
                <w:rFonts w:asciiTheme="minorEastAsia" w:hAnsiTheme="minorEastAsia" w:eastAsiaTheme="minorEastAsia"/>
              </w:rPr>
            </w:pPr>
          </w:p>
        </w:tc>
        <w:tc>
          <w:tcPr>
            <w:tcW w:w="5089" w:type="dxa"/>
            <w:shd w:val="clear" w:color="auto" w:fill="auto"/>
            <w:vAlign w:val="center"/>
          </w:tcPr>
          <w:p w14:paraId="2F5E0EB0">
            <w:pPr>
              <w:spacing w:line="240" w:lineRule="auto"/>
              <w:rPr>
                <w:rFonts w:asciiTheme="minorEastAsia" w:hAnsiTheme="minorEastAsia" w:eastAsiaTheme="minorEastAsia"/>
              </w:rPr>
            </w:pPr>
            <w:r>
              <w:rPr>
                <w:rFonts w:hint="eastAsia" w:asciiTheme="minorEastAsia" w:hAnsiTheme="minorEastAsia" w:eastAsiaTheme="minorEastAsia"/>
              </w:rPr>
              <w:t>进行可能承担无限连带责任的对外投资</w:t>
            </w:r>
          </w:p>
        </w:tc>
        <w:tc>
          <w:tcPr>
            <w:tcW w:w="1225" w:type="dxa"/>
            <w:shd w:val="clear" w:color="auto" w:fill="auto"/>
            <w:vAlign w:val="center"/>
          </w:tcPr>
          <w:p w14:paraId="466653BF">
            <w:pPr>
              <w:spacing w:line="240" w:lineRule="auto"/>
              <w:jc w:val="center"/>
            </w:pPr>
          </w:p>
        </w:tc>
        <w:tc>
          <w:tcPr>
            <w:tcW w:w="1469" w:type="dxa"/>
            <w:shd w:val="clear" w:color="auto" w:fill="auto"/>
            <w:vAlign w:val="center"/>
          </w:tcPr>
          <w:p w14:paraId="5EA7B01C">
            <w:pPr>
              <w:spacing w:line="240" w:lineRule="auto"/>
            </w:pPr>
          </w:p>
        </w:tc>
      </w:tr>
      <w:tr w14:paraId="7FB1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43" w:type="dxa"/>
            <w:vMerge w:val="continue"/>
            <w:shd w:val="clear" w:color="auto" w:fill="auto"/>
            <w:vAlign w:val="center"/>
          </w:tcPr>
          <w:p w14:paraId="6851DD3B">
            <w:pPr>
              <w:spacing w:line="240" w:lineRule="auto"/>
              <w:jc w:val="center"/>
              <w:rPr>
                <w:rFonts w:asciiTheme="minorEastAsia" w:hAnsiTheme="minorEastAsia" w:eastAsiaTheme="minorEastAsia"/>
              </w:rPr>
            </w:pPr>
          </w:p>
        </w:tc>
        <w:tc>
          <w:tcPr>
            <w:tcW w:w="5089" w:type="dxa"/>
            <w:shd w:val="clear" w:color="auto" w:fill="auto"/>
            <w:vAlign w:val="center"/>
          </w:tcPr>
          <w:p w14:paraId="27A117B9">
            <w:pPr>
              <w:spacing w:line="240" w:lineRule="auto"/>
              <w:rPr>
                <w:rFonts w:asciiTheme="minorEastAsia" w:hAnsiTheme="minorEastAsia" w:eastAsiaTheme="minorEastAsia"/>
              </w:rPr>
            </w:pPr>
            <w:r>
              <w:rPr>
                <w:rFonts w:hint="eastAsia" w:asciiTheme="minorEastAsia" w:hAnsiTheme="minorEastAsia" w:eastAsiaTheme="minorEastAsia"/>
              </w:rPr>
              <w:t>发行信托或集合理财产品募集资金</w:t>
            </w:r>
          </w:p>
        </w:tc>
        <w:tc>
          <w:tcPr>
            <w:tcW w:w="1225" w:type="dxa"/>
            <w:shd w:val="clear" w:color="auto" w:fill="auto"/>
            <w:vAlign w:val="center"/>
          </w:tcPr>
          <w:p w14:paraId="6A17CE46">
            <w:pPr>
              <w:spacing w:line="240" w:lineRule="auto"/>
              <w:jc w:val="center"/>
            </w:pPr>
          </w:p>
        </w:tc>
        <w:tc>
          <w:tcPr>
            <w:tcW w:w="1469" w:type="dxa"/>
            <w:shd w:val="clear" w:color="auto" w:fill="auto"/>
            <w:vAlign w:val="center"/>
          </w:tcPr>
          <w:p w14:paraId="2E514ADE">
            <w:pPr>
              <w:spacing w:line="240" w:lineRule="auto"/>
            </w:pPr>
          </w:p>
        </w:tc>
      </w:tr>
      <w:tr w14:paraId="1066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43" w:type="dxa"/>
            <w:vMerge w:val="continue"/>
            <w:shd w:val="clear" w:color="auto" w:fill="auto"/>
            <w:vAlign w:val="center"/>
          </w:tcPr>
          <w:p w14:paraId="681D6BDC">
            <w:pPr>
              <w:spacing w:line="240" w:lineRule="auto"/>
              <w:jc w:val="center"/>
              <w:rPr>
                <w:rFonts w:asciiTheme="minorEastAsia" w:hAnsiTheme="minorEastAsia" w:eastAsiaTheme="minorEastAsia"/>
              </w:rPr>
            </w:pPr>
          </w:p>
        </w:tc>
        <w:tc>
          <w:tcPr>
            <w:tcW w:w="5089" w:type="dxa"/>
            <w:shd w:val="clear" w:color="auto" w:fill="auto"/>
            <w:vAlign w:val="center"/>
          </w:tcPr>
          <w:p w14:paraId="4BBFC60A">
            <w:pPr>
              <w:spacing w:line="240" w:lineRule="auto"/>
              <w:rPr>
                <w:rFonts w:asciiTheme="minorEastAsia" w:hAnsiTheme="minorEastAsia" w:eastAsiaTheme="minorEastAsia"/>
              </w:rPr>
            </w:pPr>
            <w:r>
              <w:rPr>
                <w:rFonts w:hint="eastAsia" w:asciiTheme="minorEastAsia" w:hAnsiTheme="minorEastAsia" w:eastAsiaTheme="minorEastAsia"/>
              </w:rPr>
              <w:t>国家法律法规禁止本类基金从事的其他业务</w:t>
            </w:r>
          </w:p>
        </w:tc>
        <w:tc>
          <w:tcPr>
            <w:tcW w:w="1225" w:type="dxa"/>
            <w:shd w:val="clear" w:color="auto" w:fill="auto"/>
            <w:vAlign w:val="center"/>
          </w:tcPr>
          <w:p w14:paraId="171D55C9">
            <w:pPr>
              <w:spacing w:line="240" w:lineRule="auto"/>
              <w:jc w:val="center"/>
            </w:pPr>
          </w:p>
        </w:tc>
        <w:tc>
          <w:tcPr>
            <w:tcW w:w="1469" w:type="dxa"/>
            <w:shd w:val="clear" w:color="auto" w:fill="auto"/>
            <w:vAlign w:val="center"/>
          </w:tcPr>
          <w:p w14:paraId="5B70C5ED">
            <w:pPr>
              <w:spacing w:line="240" w:lineRule="auto"/>
            </w:pPr>
          </w:p>
        </w:tc>
      </w:tr>
      <w:tr w14:paraId="6697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43" w:type="dxa"/>
            <w:shd w:val="clear" w:color="auto" w:fill="auto"/>
            <w:vAlign w:val="center"/>
          </w:tcPr>
          <w:p w14:paraId="3440FFB1">
            <w:pPr>
              <w:spacing w:line="240" w:lineRule="auto"/>
              <w:jc w:val="center"/>
              <w:rPr>
                <w:rFonts w:asciiTheme="minorEastAsia" w:hAnsiTheme="minorEastAsia" w:eastAsiaTheme="minorEastAsia"/>
              </w:rPr>
            </w:pPr>
            <w:r>
              <w:rPr>
                <w:rFonts w:hint="eastAsia" w:asciiTheme="minorEastAsia" w:hAnsiTheme="minorEastAsia" w:eastAsiaTheme="minorEastAsia"/>
              </w:rPr>
              <w:t>再投资  禁止</w:t>
            </w:r>
          </w:p>
        </w:tc>
        <w:tc>
          <w:tcPr>
            <w:tcW w:w="5089" w:type="dxa"/>
            <w:shd w:val="clear" w:color="auto" w:fill="auto"/>
            <w:vAlign w:val="center"/>
          </w:tcPr>
          <w:p w14:paraId="3C9E06F6">
            <w:pPr>
              <w:spacing w:line="24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子基金存续期内，投资回收资金不得再用于对外投资</w:t>
            </w:r>
            <w:r>
              <w:rPr>
                <w:rFonts w:hint="eastAsia" w:asciiTheme="minorEastAsia" w:hAnsiTheme="minorEastAsia" w:eastAsiaTheme="minorEastAsia"/>
                <w:szCs w:val="21"/>
                <w:lang w:eastAsia="zh-CN"/>
              </w:rPr>
              <w:t>。</w:t>
            </w:r>
          </w:p>
        </w:tc>
        <w:tc>
          <w:tcPr>
            <w:tcW w:w="1225" w:type="dxa"/>
            <w:shd w:val="clear" w:color="auto" w:fill="auto"/>
            <w:vAlign w:val="center"/>
          </w:tcPr>
          <w:p w14:paraId="157DE728">
            <w:pPr>
              <w:spacing w:line="240" w:lineRule="auto"/>
              <w:jc w:val="center"/>
            </w:pPr>
          </w:p>
        </w:tc>
        <w:tc>
          <w:tcPr>
            <w:tcW w:w="1469" w:type="dxa"/>
            <w:shd w:val="clear" w:color="auto" w:fill="auto"/>
            <w:vAlign w:val="center"/>
          </w:tcPr>
          <w:p w14:paraId="1A19B091">
            <w:pPr>
              <w:spacing w:line="240" w:lineRule="auto"/>
            </w:pPr>
          </w:p>
        </w:tc>
      </w:tr>
      <w:tr w14:paraId="32B7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43" w:type="dxa"/>
            <w:shd w:val="clear" w:color="auto" w:fill="auto"/>
            <w:vAlign w:val="center"/>
          </w:tcPr>
          <w:p w14:paraId="7D8633AC">
            <w:pPr>
              <w:spacing w:line="240" w:lineRule="auto"/>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监督管理</w:t>
            </w:r>
          </w:p>
        </w:tc>
        <w:tc>
          <w:tcPr>
            <w:tcW w:w="5089" w:type="dxa"/>
            <w:shd w:val="clear" w:color="auto" w:fill="auto"/>
            <w:vAlign w:val="center"/>
          </w:tcPr>
          <w:p w14:paraId="638D16CC">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申请机构及/或管理机构同意，宝安区产业投资引导基金对</w:t>
            </w:r>
            <w:r>
              <w:rPr>
                <w:rFonts w:hint="eastAsia" w:asciiTheme="minorEastAsia" w:hAnsiTheme="minorEastAsia" w:eastAsiaTheme="minorEastAsia"/>
                <w:szCs w:val="21"/>
              </w:rPr>
              <w:t>违反相关协议约定的合作机构</w:t>
            </w:r>
            <w:r>
              <w:rPr>
                <w:rFonts w:hint="eastAsia" w:asciiTheme="minorEastAsia" w:hAnsiTheme="minorEastAsia" w:eastAsiaTheme="minorEastAsia"/>
                <w:szCs w:val="21"/>
                <w:lang w:val="en-US" w:eastAsia="zh-CN"/>
              </w:rPr>
              <w:t>有权采取</w:t>
            </w:r>
            <w:r>
              <w:rPr>
                <w:rFonts w:hint="eastAsia" w:asciiTheme="minorEastAsia" w:hAnsiTheme="minorEastAsia" w:eastAsiaTheme="minorEastAsia"/>
                <w:szCs w:val="21"/>
              </w:rPr>
              <w:t>扣减收益分成、取消下期合作资格、提前清算并依法追究责任等</w:t>
            </w:r>
            <w:r>
              <w:rPr>
                <w:rFonts w:hint="eastAsia" w:asciiTheme="minorEastAsia" w:hAnsiTheme="minorEastAsia" w:eastAsiaTheme="minorEastAsia"/>
                <w:szCs w:val="21"/>
                <w:lang w:val="en-US" w:eastAsia="zh-CN"/>
              </w:rPr>
              <w:t>措施</w:t>
            </w:r>
            <w:r>
              <w:rPr>
                <w:rFonts w:hint="eastAsia" w:asciiTheme="minorEastAsia" w:hAnsiTheme="minorEastAsia" w:eastAsiaTheme="minorEastAsia"/>
                <w:szCs w:val="21"/>
              </w:rPr>
              <w:t>。</w:t>
            </w:r>
          </w:p>
        </w:tc>
        <w:tc>
          <w:tcPr>
            <w:tcW w:w="1225" w:type="dxa"/>
            <w:shd w:val="clear" w:color="auto" w:fill="auto"/>
            <w:vAlign w:val="center"/>
          </w:tcPr>
          <w:p w14:paraId="1568B759">
            <w:pPr>
              <w:spacing w:line="240" w:lineRule="auto"/>
              <w:jc w:val="center"/>
            </w:pPr>
          </w:p>
        </w:tc>
        <w:tc>
          <w:tcPr>
            <w:tcW w:w="1469" w:type="dxa"/>
            <w:shd w:val="clear" w:color="auto" w:fill="auto"/>
            <w:vAlign w:val="center"/>
          </w:tcPr>
          <w:p w14:paraId="19E99157">
            <w:pPr>
              <w:spacing w:line="240" w:lineRule="auto"/>
            </w:pPr>
          </w:p>
        </w:tc>
      </w:tr>
      <w:tr w14:paraId="43AF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43" w:type="dxa"/>
            <w:shd w:val="clear" w:color="auto" w:fill="auto"/>
            <w:vAlign w:val="center"/>
          </w:tcPr>
          <w:p w14:paraId="385CD5D5">
            <w:pPr>
              <w:spacing w:line="240" w:lineRule="auto"/>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绩效评价</w:t>
            </w:r>
          </w:p>
        </w:tc>
        <w:tc>
          <w:tcPr>
            <w:tcW w:w="5089" w:type="dxa"/>
            <w:shd w:val="clear" w:color="auto" w:fill="auto"/>
            <w:vAlign w:val="center"/>
          </w:tcPr>
          <w:p w14:paraId="10D0DEAA">
            <w:pPr>
              <w:spacing w:line="24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申请机构及/或管理机构同意，接受宝安区产业投资引导基金对子基金及其管理机构开展的绩效考核及对绩效考核结果的运用。</w:t>
            </w:r>
          </w:p>
        </w:tc>
        <w:tc>
          <w:tcPr>
            <w:tcW w:w="1225" w:type="dxa"/>
            <w:shd w:val="clear" w:color="auto" w:fill="auto"/>
            <w:vAlign w:val="center"/>
          </w:tcPr>
          <w:p w14:paraId="19E90B72">
            <w:pPr>
              <w:spacing w:line="240" w:lineRule="auto"/>
              <w:jc w:val="center"/>
            </w:pPr>
          </w:p>
        </w:tc>
        <w:tc>
          <w:tcPr>
            <w:tcW w:w="1469" w:type="dxa"/>
            <w:shd w:val="clear" w:color="auto" w:fill="auto"/>
            <w:vAlign w:val="center"/>
          </w:tcPr>
          <w:p w14:paraId="1515276F">
            <w:pPr>
              <w:spacing w:line="240" w:lineRule="auto"/>
            </w:pPr>
          </w:p>
        </w:tc>
      </w:tr>
    </w:tbl>
    <w:p w14:paraId="592342E8">
      <w:pPr>
        <w:rPr>
          <w:b/>
        </w:rPr>
      </w:pPr>
      <w:r>
        <w:rPr>
          <w:b/>
        </w:rPr>
        <w:t>注</w:t>
      </w:r>
      <w:r>
        <w:rPr>
          <w:rFonts w:hint="eastAsia"/>
          <w:b/>
        </w:rPr>
        <w:t>：</w:t>
      </w:r>
      <w:r>
        <w:rPr>
          <w:b/>
        </w:rPr>
        <w:t>拟申请</w:t>
      </w:r>
      <w:r>
        <w:rPr>
          <w:rFonts w:hint="eastAsia"/>
          <w:b/>
          <w:lang w:val="en-US" w:eastAsia="zh-CN"/>
        </w:rPr>
        <w:t>宝安区产业投资引导基金</w:t>
      </w:r>
      <w:r>
        <w:rPr>
          <w:b/>
        </w:rPr>
        <w:t>参股的子基金应开展合规性自查</w:t>
      </w:r>
      <w:r>
        <w:rPr>
          <w:rFonts w:hint="eastAsia"/>
          <w:b/>
        </w:rPr>
        <w:t>，</w:t>
      </w:r>
      <w:r>
        <w:rPr>
          <w:b/>
        </w:rPr>
        <w:t>并在是否符合一栏填写</w:t>
      </w:r>
      <w:r>
        <w:rPr>
          <w:rFonts w:hint="eastAsia"/>
          <w:b/>
        </w:rPr>
        <w:t>“</w:t>
      </w:r>
      <w:r>
        <w:rPr>
          <w:rFonts w:hint="eastAsia" w:ascii="宋体" w:hAnsi="宋体"/>
          <w:b/>
        </w:rPr>
        <w:t>√</w:t>
      </w:r>
      <w:r>
        <w:rPr>
          <w:rFonts w:hint="eastAsia"/>
          <w:b/>
        </w:rPr>
        <w:t>”或“</w:t>
      </w:r>
      <w:r>
        <w:rPr>
          <w:rFonts w:hint="eastAsia" w:ascii="宋体" w:hAnsi="宋体"/>
          <w:b/>
        </w:rPr>
        <w:t>х</w:t>
      </w:r>
      <w:r>
        <w:rPr>
          <w:rFonts w:hint="eastAsia"/>
          <w:b/>
        </w:rPr>
        <w:t>”，需要进一步说明的事项请填写在备注栏。原则上，表中所列条件，子基金应全部符合或接受。</w:t>
      </w:r>
    </w:p>
    <w:p w14:paraId="38CAA190">
      <w:pPr>
        <w:rPr>
          <w:b/>
        </w:rPr>
      </w:pPr>
    </w:p>
    <w:p w14:paraId="50A4DEA3">
      <w:pPr>
        <w:rPr>
          <w:b/>
        </w:rPr>
      </w:pPr>
    </w:p>
    <w:p w14:paraId="5FFDFE70">
      <w:r>
        <w:rPr>
          <w:rFonts w:hint="eastAsia"/>
          <w:b/>
        </w:rPr>
        <w:t xml:space="preserve">                                 </w:t>
      </w:r>
      <w:r>
        <w:rPr>
          <w:rFonts w:hint="eastAsia" w:ascii="仿宋_GB2312" w:eastAsia="仿宋_GB2312"/>
          <w:b/>
          <w:sz w:val="32"/>
          <w:szCs w:val="32"/>
        </w:rPr>
        <w:t xml:space="preserve">  申请机构盖章：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19E"/>
    <w:rsid w:val="000A4A5D"/>
    <w:rsid w:val="000B4142"/>
    <w:rsid w:val="000C0974"/>
    <w:rsid w:val="000D3181"/>
    <w:rsid w:val="000D4025"/>
    <w:rsid w:val="000E797F"/>
    <w:rsid w:val="000F7A56"/>
    <w:rsid w:val="00153449"/>
    <w:rsid w:val="0015521A"/>
    <w:rsid w:val="0016588F"/>
    <w:rsid w:val="0019342B"/>
    <w:rsid w:val="001D3A0D"/>
    <w:rsid w:val="001E71A8"/>
    <w:rsid w:val="001F73C8"/>
    <w:rsid w:val="00211E55"/>
    <w:rsid w:val="00241EED"/>
    <w:rsid w:val="00241F74"/>
    <w:rsid w:val="00267E99"/>
    <w:rsid w:val="002B3000"/>
    <w:rsid w:val="002C1301"/>
    <w:rsid w:val="002D726A"/>
    <w:rsid w:val="002E6C9B"/>
    <w:rsid w:val="00381D76"/>
    <w:rsid w:val="0039208E"/>
    <w:rsid w:val="003B7D2B"/>
    <w:rsid w:val="003D0126"/>
    <w:rsid w:val="003D0D4F"/>
    <w:rsid w:val="004172FA"/>
    <w:rsid w:val="00423682"/>
    <w:rsid w:val="0042619E"/>
    <w:rsid w:val="00477A80"/>
    <w:rsid w:val="00497ECB"/>
    <w:rsid w:val="004A7543"/>
    <w:rsid w:val="004D66C5"/>
    <w:rsid w:val="004F61BE"/>
    <w:rsid w:val="004F67E5"/>
    <w:rsid w:val="004F690F"/>
    <w:rsid w:val="00592E6B"/>
    <w:rsid w:val="00611B63"/>
    <w:rsid w:val="00616173"/>
    <w:rsid w:val="00671A92"/>
    <w:rsid w:val="00695410"/>
    <w:rsid w:val="006B5367"/>
    <w:rsid w:val="006E6D27"/>
    <w:rsid w:val="00712A54"/>
    <w:rsid w:val="00726530"/>
    <w:rsid w:val="00733623"/>
    <w:rsid w:val="007A2E0A"/>
    <w:rsid w:val="007B7594"/>
    <w:rsid w:val="007C22E8"/>
    <w:rsid w:val="00804412"/>
    <w:rsid w:val="00836F4F"/>
    <w:rsid w:val="008378BF"/>
    <w:rsid w:val="0085106E"/>
    <w:rsid w:val="0087520F"/>
    <w:rsid w:val="008803A3"/>
    <w:rsid w:val="00885967"/>
    <w:rsid w:val="008D026D"/>
    <w:rsid w:val="008D3686"/>
    <w:rsid w:val="008D637F"/>
    <w:rsid w:val="00903DAA"/>
    <w:rsid w:val="009167F4"/>
    <w:rsid w:val="00953F79"/>
    <w:rsid w:val="00996B56"/>
    <w:rsid w:val="00997181"/>
    <w:rsid w:val="009C15FE"/>
    <w:rsid w:val="009D1B4C"/>
    <w:rsid w:val="009D57E4"/>
    <w:rsid w:val="00A6155F"/>
    <w:rsid w:val="00A7147F"/>
    <w:rsid w:val="00A73D18"/>
    <w:rsid w:val="00A97E94"/>
    <w:rsid w:val="00B42DC1"/>
    <w:rsid w:val="00B76B76"/>
    <w:rsid w:val="00B809D0"/>
    <w:rsid w:val="00B82211"/>
    <w:rsid w:val="00B94FCE"/>
    <w:rsid w:val="00BA5242"/>
    <w:rsid w:val="00BA71FD"/>
    <w:rsid w:val="00BB7983"/>
    <w:rsid w:val="00BC2F95"/>
    <w:rsid w:val="00BD34C1"/>
    <w:rsid w:val="00BE58DD"/>
    <w:rsid w:val="00C17F7A"/>
    <w:rsid w:val="00C47FED"/>
    <w:rsid w:val="00C93504"/>
    <w:rsid w:val="00CB4909"/>
    <w:rsid w:val="00CE2EC9"/>
    <w:rsid w:val="00D47CC3"/>
    <w:rsid w:val="00E167A0"/>
    <w:rsid w:val="00E4571B"/>
    <w:rsid w:val="00E5216D"/>
    <w:rsid w:val="00E74D75"/>
    <w:rsid w:val="00E803DB"/>
    <w:rsid w:val="00E90565"/>
    <w:rsid w:val="00EA296B"/>
    <w:rsid w:val="00EA68DB"/>
    <w:rsid w:val="00EC3C7B"/>
    <w:rsid w:val="00ED4FA5"/>
    <w:rsid w:val="00F77385"/>
    <w:rsid w:val="00F95E44"/>
    <w:rsid w:val="092D26F2"/>
    <w:rsid w:val="134F7685"/>
    <w:rsid w:val="13AA52CD"/>
    <w:rsid w:val="1A737222"/>
    <w:rsid w:val="1C11693B"/>
    <w:rsid w:val="1D2813FB"/>
    <w:rsid w:val="1D7D3E6D"/>
    <w:rsid w:val="2C113B35"/>
    <w:rsid w:val="37181710"/>
    <w:rsid w:val="377B4FE0"/>
    <w:rsid w:val="37FBBB2B"/>
    <w:rsid w:val="3B7F2399"/>
    <w:rsid w:val="3EEBB131"/>
    <w:rsid w:val="3FCF5AC2"/>
    <w:rsid w:val="44B97B25"/>
    <w:rsid w:val="4E7D2F52"/>
    <w:rsid w:val="4F59619C"/>
    <w:rsid w:val="58613623"/>
    <w:rsid w:val="597F51C4"/>
    <w:rsid w:val="653EBAE5"/>
    <w:rsid w:val="743C0252"/>
    <w:rsid w:val="76FFE699"/>
    <w:rsid w:val="78BF8B15"/>
    <w:rsid w:val="7ADE4676"/>
    <w:rsid w:val="7B6B6FF7"/>
    <w:rsid w:val="7B777415"/>
    <w:rsid w:val="7F790B1C"/>
    <w:rsid w:val="7FC7EE03"/>
    <w:rsid w:val="7FFF6F8C"/>
    <w:rsid w:val="979642B5"/>
    <w:rsid w:val="9ADC4A24"/>
    <w:rsid w:val="9CDF8B59"/>
    <w:rsid w:val="9DFD2C03"/>
    <w:rsid w:val="BBFAA571"/>
    <w:rsid w:val="BC3C11CD"/>
    <w:rsid w:val="C3FF59A6"/>
    <w:rsid w:val="D7FCB792"/>
    <w:rsid w:val="DA7F59EF"/>
    <w:rsid w:val="F6B77F85"/>
    <w:rsid w:val="F76F8609"/>
    <w:rsid w:val="F78FB89B"/>
    <w:rsid w:val="F79DE1C3"/>
    <w:rsid w:val="F7F97413"/>
    <w:rsid w:val="F9EF1A8B"/>
    <w:rsid w:val="FB8D0AFD"/>
    <w:rsid w:val="FDE3A74D"/>
    <w:rsid w:val="FEF77B1C"/>
    <w:rsid w:val="FF3D6FE7"/>
    <w:rsid w:val="FF779BCC"/>
    <w:rsid w:val="FF7F3579"/>
    <w:rsid w:val="FFFD7E8E"/>
    <w:rsid w:val="FFFE3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spacing w:line="440" w:lineRule="exact"/>
      <w:ind w:firstLine="420" w:firstLineChars="200"/>
    </w:pPr>
    <w:rPr>
      <w:rFonts w:ascii="Arial" w:hAnsi="Arial"/>
      <w:szCs w:val="24"/>
    </w:rPr>
  </w:style>
  <w:style w:type="character" w:customStyle="1" w:styleId="10">
    <w:name w:val="批注框文本 字符"/>
    <w:basedOn w:val="6"/>
    <w:link w:val="2"/>
    <w:semiHidden/>
    <w:qFormat/>
    <w:uiPriority w:val="99"/>
    <w:rPr>
      <w:rFonts w:ascii="Calibri" w:hAnsi="Calibri"/>
      <w:kern w:val="2"/>
      <w:sz w:val="18"/>
      <w:szCs w:val="18"/>
    </w:rPr>
  </w:style>
  <w:style w:type="paragraph" w:customStyle="1" w:styleId="11">
    <w:name w:val="修订1"/>
    <w:hidden/>
    <w:semiHidden/>
    <w:qFormat/>
    <w:uiPriority w:val="99"/>
    <w:rPr>
      <w:rFonts w:ascii="Calibri" w:hAnsi="Calibri" w:eastAsia="宋体" w:cs="Times New Roman"/>
      <w:kern w:val="2"/>
      <w:sz w:val="21"/>
      <w:szCs w:val="22"/>
      <w:lang w:val="en-US" w:eastAsia="zh-CN" w:bidi="ar-SA"/>
    </w:rPr>
  </w:style>
  <w:style w:type="paragraph" w:customStyle="1" w:styleId="1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2240</Words>
  <Characters>2268</Characters>
  <Lines>18</Lines>
  <Paragraphs>5</Paragraphs>
  <TotalTime>7</TotalTime>
  <ScaleCrop>false</ScaleCrop>
  <LinksUpToDate>false</LinksUpToDate>
  <CharactersWithSpaces>2311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2022-11-24T17:20:00Z</dcterms:created>
  <dc:creator>admin</dc:creator>
  <cp:lastModifiedBy>ryyu</cp:lastModifiedBy>
  <cp:lastPrinted>2022-11-24T17:32:00Z</cp:lastPrinted>
  <dcterms:modified xsi:type="dcterms:W3CDTF">2026-03-27T07:31:25Z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A197F6D155F745EC955443C6923C8114_13</vt:lpwstr>
  </property>
  <property fmtid="{D5CDD505-2E9C-101B-9397-08002B2CF9AE}" pid="4" name="KSOTemplateDocerSaveRecord">
    <vt:lpwstr>eyJoZGlkIjoiMzEwNTM5NzYwMDRjMzkwZTVkZjY2ODkwMGIxNGU0OTUiLCJ1c2VySWQiOiIxMjEwNTE1ODM3In0=</vt:lpwstr>
  </property>
</Properties>
</file>