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3D4C">
      <w:pPr>
        <w:widowControl/>
        <w:shd w:val="clear" w:color="auto" w:fill="FFFFFF"/>
        <w:spacing w:line="54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w:t>
      </w:r>
      <w:r>
        <w:rPr>
          <w:rFonts w:ascii="仿宋_GB2312" w:hAnsi="微软雅黑" w:eastAsia="仿宋_GB2312" w:cs="宋体"/>
          <w:kern w:val="0"/>
          <w:sz w:val="32"/>
          <w:szCs w:val="32"/>
        </w:rPr>
        <w:t>1</w:t>
      </w:r>
    </w:p>
    <w:p w14:paraId="30B616AD">
      <w:pPr>
        <w:spacing w:line="623" w:lineRule="exact"/>
        <w:ind w:left="298" w:right="298"/>
        <w:jc w:val="center"/>
        <w:rPr>
          <w:rFonts w:ascii="方正小标宋简体" w:eastAsia="方正小标宋简体"/>
          <w:sz w:val="44"/>
        </w:rPr>
      </w:pPr>
      <w:r>
        <w:rPr>
          <w:rFonts w:hint="eastAsia" w:ascii="方正小标宋简体" w:eastAsia="方正小标宋简体"/>
          <w:sz w:val="44"/>
        </w:rPr>
        <w:t>宝安区产业投资引导基金</w:t>
      </w:r>
    </w:p>
    <w:p w14:paraId="51E21A42">
      <w:pPr>
        <w:widowControl/>
        <w:shd w:val="clear" w:color="auto" w:fill="FFFFFF"/>
        <w:spacing w:line="540" w:lineRule="exact"/>
        <w:jc w:val="center"/>
        <w:rPr>
          <w:rFonts w:ascii="宋体" w:hAnsi="宋体" w:cs="宋体"/>
          <w:b/>
          <w:kern w:val="0"/>
          <w:sz w:val="44"/>
          <w:szCs w:val="44"/>
        </w:rPr>
      </w:pPr>
      <w:r>
        <w:rPr>
          <w:rFonts w:hint="eastAsia" w:ascii="方正小标宋简体" w:eastAsia="方正小标宋简体"/>
          <w:spacing w:val="1"/>
          <w:w w:val="99"/>
          <w:sz w:val="44"/>
        </w:rPr>
        <w:t>20</w:t>
      </w:r>
      <w:r>
        <w:rPr>
          <w:rFonts w:hint="eastAsia" w:ascii="方正小标宋简体" w:eastAsia="方正小标宋简体"/>
          <w:spacing w:val="-2"/>
          <w:w w:val="99"/>
          <w:sz w:val="44"/>
        </w:rPr>
        <w:t>2</w:t>
      </w:r>
      <w:r>
        <w:rPr>
          <w:rFonts w:hint="eastAsia" w:ascii="方正小标宋简体" w:eastAsia="方正小标宋简体"/>
          <w:w w:val="99"/>
          <w:sz w:val="44"/>
          <w:lang w:val="en-US" w:eastAsia="zh-CN"/>
        </w:rPr>
        <w:t>6</w:t>
      </w:r>
      <w:r>
        <w:rPr>
          <w:rFonts w:hint="eastAsia" w:ascii="方正小标宋简体" w:eastAsia="方正小标宋简体"/>
          <w:w w:val="99"/>
          <w:sz w:val="44"/>
        </w:rPr>
        <w:t>年</w:t>
      </w:r>
      <w:r>
        <w:rPr>
          <w:rFonts w:hint="eastAsia" w:ascii="方正小标宋简体" w:eastAsia="方正小标宋简体"/>
          <w:spacing w:val="2"/>
          <w:w w:val="99"/>
          <w:sz w:val="44"/>
        </w:rPr>
        <w:t>度</w:t>
      </w:r>
      <w:r>
        <w:rPr>
          <w:rFonts w:hint="eastAsia" w:ascii="方正小标宋简体" w:eastAsia="方正小标宋简体"/>
          <w:w w:val="99"/>
          <w:sz w:val="44"/>
        </w:rPr>
        <w:t>拟参</w:t>
      </w:r>
      <w:r>
        <w:rPr>
          <w:rFonts w:hint="eastAsia" w:ascii="方正小标宋简体" w:eastAsia="方正小标宋简体"/>
          <w:spacing w:val="2"/>
          <w:w w:val="99"/>
          <w:sz w:val="44"/>
        </w:rPr>
        <w:t>股市场化</w:t>
      </w:r>
      <w:r>
        <w:rPr>
          <w:rFonts w:hint="eastAsia" w:ascii="方正小标宋简体" w:eastAsia="方正小标宋简体"/>
          <w:w w:val="99"/>
          <w:sz w:val="44"/>
        </w:rPr>
        <w:t>子基</w:t>
      </w:r>
      <w:r>
        <w:rPr>
          <w:rFonts w:hint="eastAsia" w:ascii="方正小标宋简体" w:eastAsia="方正小标宋简体"/>
          <w:spacing w:val="2"/>
          <w:w w:val="99"/>
          <w:sz w:val="44"/>
        </w:rPr>
        <w:t>金</w:t>
      </w:r>
      <w:r>
        <w:rPr>
          <w:rFonts w:hint="eastAsia" w:ascii="方正小标宋简体" w:eastAsia="方正小标宋简体"/>
          <w:w w:val="99"/>
          <w:sz w:val="44"/>
        </w:rPr>
        <w:t>申报</w:t>
      </w:r>
      <w:r>
        <w:rPr>
          <w:rFonts w:hint="eastAsia" w:ascii="方正小标宋简体" w:eastAsia="方正小标宋简体"/>
          <w:spacing w:val="2"/>
          <w:w w:val="99"/>
          <w:sz w:val="44"/>
        </w:rPr>
        <w:t>指</w:t>
      </w:r>
      <w:r>
        <w:rPr>
          <w:rFonts w:hint="eastAsia" w:ascii="方正小标宋简体" w:eastAsia="方正小标宋简体"/>
          <w:w w:val="99"/>
          <w:sz w:val="44"/>
        </w:rPr>
        <w:t>南</w:t>
      </w:r>
    </w:p>
    <w:p w14:paraId="7B27DF98">
      <w:pPr>
        <w:widowControl/>
        <w:shd w:val="clear" w:color="auto" w:fill="FFFFFF"/>
        <w:spacing w:line="540" w:lineRule="exact"/>
        <w:jc w:val="center"/>
        <w:rPr>
          <w:rFonts w:ascii="宋体" w:hAnsi="宋体" w:cs="宋体"/>
          <w:b/>
          <w:kern w:val="0"/>
          <w:sz w:val="44"/>
          <w:szCs w:val="44"/>
        </w:rPr>
      </w:pPr>
    </w:p>
    <w:p w14:paraId="452CAEFD">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一、</w:t>
      </w:r>
      <w:r>
        <w:rPr>
          <w:rFonts w:hint="eastAsia" w:ascii="黑体" w:hAnsi="黑体" w:eastAsia="黑体" w:cs="宋体"/>
          <w:kern w:val="0"/>
          <w:sz w:val="32"/>
          <w:szCs w:val="32"/>
          <w:lang w:eastAsia="zh-CN"/>
        </w:rPr>
        <w:t>宝安区产业投资引导基金</w:t>
      </w:r>
      <w:r>
        <w:rPr>
          <w:rFonts w:hint="eastAsia" w:ascii="黑体" w:hAnsi="黑体" w:eastAsia="黑体" w:cs="宋体"/>
          <w:kern w:val="0"/>
          <w:sz w:val="32"/>
          <w:szCs w:val="32"/>
        </w:rPr>
        <w:t>定位及202</w:t>
      </w:r>
      <w:r>
        <w:rPr>
          <w:rFonts w:hint="eastAsia" w:ascii="黑体" w:hAnsi="黑体" w:eastAsia="黑体" w:cs="宋体"/>
          <w:kern w:val="0"/>
          <w:sz w:val="32"/>
          <w:szCs w:val="32"/>
          <w:lang w:val="en-US" w:eastAsia="zh-CN"/>
        </w:rPr>
        <w:t>6</w:t>
      </w:r>
      <w:r>
        <w:rPr>
          <w:rFonts w:hint="eastAsia" w:ascii="黑体" w:hAnsi="黑体" w:eastAsia="黑体" w:cs="宋体"/>
          <w:kern w:val="0"/>
          <w:sz w:val="32"/>
          <w:szCs w:val="32"/>
        </w:rPr>
        <w:t>年遴选原则</w:t>
      </w:r>
    </w:p>
    <w:p w14:paraId="786C98D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微软雅黑" w:eastAsia="仿宋_GB2312" w:cs="宋体"/>
          <w:kern w:val="0"/>
          <w:sz w:val="32"/>
          <w:szCs w:val="32"/>
        </w:rPr>
      </w:pPr>
      <w:bookmarkStart w:id="0" w:name="_GoBack"/>
      <w:r>
        <w:rPr>
          <w:rFonts w:hint="eastAsia" w:ascii="仿宋_GB2312" w:hAnsi="微软雅黑" w:eastAsia="仿宋_GB2312" w:cs="宋体"/>
          <w:sz w:val="32"/>
          <w:szCs w:val="32"/>
          <w:lang w:eastAsia="zh-CN"/>
        </w:rPr>
        <w:t>深圳市宝安区产业投资引导基金有限公司</w:t>
      </w:r>
      <w:r>
        <w:rPr>
          <w:rFonts w:hint="eastAsia" w:ascii="仿宋_GB2312" w:hAnsi="微软雅黑" w:eastAsia="仿宋_GB2312" w:cs="宋体"/>
          <w:kern w:val="0"/>
          <w:sz w:val="32"/>
          <w:szCs w:val="32"/>
        </w:rPr>
        <w:t>（以下简称“宝安</w:t>
      </w:r>
      <w:bookmarkEnd w:id="0"/>
      <w:r>
        <w:rPr>
          <w:rFonts w:hint="eastAsia" w:ascii="仿宋_GB2312" w:hAnsi="微软雅黑" w:eastAsia="仿宋_GB2312" w:cs="宋体"/>
          <w:kern w:val="0"/>
          <w:sz w:val="32"/>
          <w:szCs w:val="32"/>
        </w:rPr>
        <w:t>区</w:t>
      </w:r>
      <w:r>
        <w:rPr>
          <w:rFonts w:hint="eastAsia" w:ascii="仿宋_GB2312" w:hAnsi="微软雅黑" w:eastAsia="仿宋_GB2312" w:cs="宋体"/>
          <w:kern w:val="0"/>
          <w:sz w:val="32"/>
          <w:szCs w:val="32"/>
          <w:lang w:val="en-US" w:eastAsia="zh-CN"/>
        </w:rPr>
        <w:t>产业投资</w:t>
      </w:r>
      <w:r>
        <w:rPr>
          <w:rFonts w:hint="eastAsia" w:ascii="仿宋_GB2312" w:hAnsi="微软雅黑" w:eastAsia="仿宋_GB2312" w:cs="宋体"/>
          <w:kern w:val="0"/>
          <w:sz w:val="32"/>
          <w:szCs w:val="32"/>
        </w:rPr>
        <w:t>引导基金”）是由宝安区政府出资设立并按市场化方式运作的政府投资基金，</w:t>
      </w:r>
      <w:r>
        <w:rPr>
          <w:rFonts w:hint="eastAsia" w:ascii="仿宋_GB2312" w:hAnsi="微软雅黑" w:eastAsia="仿宋_GB2312" w:cs="宋体"/>
          <w:kern w:val="0"/>
          <w:sz w:val="32"/>
          <w:szCs w:val="32"/>
          <w:lang w:val="en-US" w:eastAsia="zh-CN"/>
        </w:rPr>
        <w:t>主要通过</w:t>
      </w:r>
      <w:r>
        <w:rPr>
          <w:rFonts w:hint="eastAsia" w:ascii="仿宋_GB2312" w:hAnsi="微软雅黑" w:eastAsia="仿宋_GB2312" w:cs="宋体"/>
          <w:kern w:val="0"/>
          <w:sz w:val="32"/>
          <w:szCs w:val="32"/>
        </w:rPr>
        <w:t>发挥市场资源配置作用和财政资金引导放大作用，</w:t>
      </w:r>
      <w:r>
        <w:rPr>
          <w:rFonts w:hint="eastAsia" w:ascii="仿宋_GB2312" w:hAnsi="微软雅黑" w:eastAsia="仿宋_GB2312" w:cs="宋体"/>
          <w:kern w:val="0"/>
          <w:sz w:val="32"/>
          <w:szCs w:val="32"/>
          <w:highlight w:val="none"/>
        </w:rPr>
        <w:t>重点引导社会资本投向</w:t>
      </w:r>
      <w:r>
        <w:rPr>
          <w:rFonts w:hint="eastAsia" w:ascii="仿宋_GB2312" w:hAnsi="微软雅黑" w:eastAsia="仿宋_GB2312" w:cs="宋体"/>
          <w:sz w:val="32"/>
          <w:szCs w:val="32"/>
          <w:highlight w:val="none"/>
          <w:lang w:eastAsia="zh-CN"/>
        </w:rPr>
        <w:t>战略性新兴产业、未来产业、现代服务业、传统优势产业等领域</w:t>
      </w:r>
      <w:r>
        <w:rPr>
          <w:rFonts w:hint="eastAsia" w:ascii="仿宋_GB2312" w:hAnsi="微软雅黑" w:eastAsia="仿宋_GB2312" w:cs="宋体"/>
          <w:kern w:val="0"/>
          <w:sz w:val="32"/>
          <w:szCs w:val="32"/>
        </w:rPr>
        <w:t>，大力培育</w:t>
      </w:r>
      <w:r>
        <w:rPr>
          <w:rFonts w:hint="eastAsia" w:ascii="仿宋_GB2312" w:hAnsi="微软雅黑" w:eastAsia="仿宋_GB2312" w:cs="宋体"/>
          <w:kern w:val="0"/>
          <w:sz w:val="32"/>
          <w:szCs w:val="32"/>
          <w:lang w:val="en-US" w:eastAsia="zh-CN"/>
        </w:rPr>
        <w:t>硬科技创新创业</w:t>
      </w:r>
      <w:r>
        <w:rPr>
          <w:rFonts w:hint="eastAsia" w:ascii="仿宋_GB2312" w:hAnsi="微软雅黑" w:eastAsia="仿宋_GB2312" w:cs="宋体"/>
          <w:kern w:val="0"/>
          <w:sz w:val="32"/>
          <w:szCs w:val="32"/>
        </w:rPr>
        <w:t>企业，促进</w:t>
      </w:r>
      <w:r>
        <w:rPr>
          <w:rFonts w:hint="eastAsia" w:ascii="仿宋_GB2312" w:hAnsi="微软雅黑" w:eastAsia="仿宋_GB2312" w:cs="宋体"/>
          <w:kern w:val="0"/>
          <w:sz w:val="32"/>
          <w:szCs w:val="32"/>
          <w:lang w:val="en-US" w:eastAsia="zh-CN"/>
        </w:rPr>
        <w:t>区域</w:t>
      </w:r>
      <w:r>
        <w:rPr>
          <w:rFonts w:hint="eastAsia" w:ascii="仿宋_GB2312" w:hAnsi="微软雅黑" w:eastAsia="仿宋_GB2312" w:cs="宋体"/>
          <w:kern w:val="0"/>
          <w:sz w:val="32"/>
          <w:szCs w:val="32"/>
        </w:rPr>
        <w:t>产业转型升级，支持区政府重要产业遴选项目和重点培育企业。</w:t>
      </w:r>
    </w:p>
    <w:p w14:paraId="49C8A825">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仿宋_GB2312" w:hAnsi="微软雅黑" w:eastAsia="仿宋_GB2312" w:cs="宋体"/>
          <w:kern w:val="0"/>
          <w:sz w:val="32"/>
          <w:szCs w:val="32"/>
        </w:rPr>
        <w:t>本次遴选秉持择优原则，注重子基金管理机构过往业绩、募资能力、投资能力、子基金组建效率</w:t>
      </w:r>
      <w:r>
        <w:rPr>
          <w:rFonts w:hint="eastAsia" w:ascii="仿宋_GB2312" w:hAnsi="微软雅黑" w:eastAsia="仿宋_GB2312" w:cs="宋体"/>
          <w:kern w:val="0"/>
          <w:sz w:val="32"/>
          <w:szCs w:val="32"/>
          <w:lang w:val="en-US" w:eastAsia="zh-CN"/>
        </w:rPr>
        <w:t>,</w:t>
      </w:r>
      <w:r>
        <w:rPr>
          <w:rFonts w:hint="eastAsia" w:ascii="仿宋_GB2312" w:hAnsi="微软雅黑" w:eastAsia="仿宋_GB2312" w:cs="宋体"/>
          <w:kern w:val="0"/>
          <w:sz w:val="32"/>
          <w:szCs w:val="32"/>
        </w:rPr>
        <w:t>以加快子基金落地投资为目标，</w:t>
      </w:r>
      <w:r>
        <w:rPr>
          <w:rFonts w:hint="eastAsia" w:ascii="仿宋_GB2312" w:hAnsi="微软雅黑" w:eastAsia="仿宋_GB2312" w:cs="宋体"/>
          <w:kern w:val="0"/>
          <w:sz w:val="32"/>
          <w:szCs w:val="32"/>
          <w:lang w:val="en-US" w:eastAsia="zh-CN"/>
        </w:rPr>
        <w:t>切实</w:t>
      </w:r>
      <w:r>
        <w:rPr>
          <w:rFonts w:hint="eastAsia" w:ascii="仿宋_GB2312" w:hAnsi="微软雅黑" w:eastAsia="仿宋_GB2312" w:cs="宋体"/>
          <w:kern w:val="0"/>
          <w:sz w:val="32"/>
          <w:szCs w:val="32"/>
        </w:rPr>
        <w:t>提高财政资金使用效益。</w:t>
      </w:r>
    </w:p>
    <w:p w14:paraId="3C9931D8">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黑体" w:hAnsi="黑体" w:eastAsia="黑体" w:cs="宋体"/>
          <w:kern w:val="0"/>
          <w:sz w:val="32"/>
          <w:szCs w:val="32"/>
        </w:rPr>
      </w:pPr>
      <w:r>
        <w:rPr>
          <w:rFonts w:hint="eastAsia" w:ascii="黑体" w:hAnsi="黑体" w:eastAsia="黑体" w:cs="宋体"/>
          <w:kern w:val="0"/>
          <w:sz w:val="32"/>
          <w:szCs w:val="32"/>
        </w:rPr>
        <w:t>二、申请机构及子基金管理机构应具备的条件</w:t>
      </w:r>
    </w:p>
    <w:p w14:paraId="7F69E69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（一）合法合规：</w:t>
      </w:r>
      <w:r>
        <w:rPr>
          <w:rFonts w:hint="eastAsia" w:ascii="仿宋_GB2312" w:eastAsia="仿宋_GB2312"/>
          <w:sz w:val="32"/>
          <w:szCs w:val="32"/>
        </w:rPr>
        <w:t>申请机构依法设立，实缴资本不低于1000万元人民币，最近三年不存在重大违法违规行为（成立未满三年的机构自成立以来不存在重大违法违规行为）。</w:t>
      </w:r>
    </w:p>
    <w:p w14:paraId="4579EBB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（二）子基金管理机构</w:t>
      </w:r>
    </w:p>
    <w:p w14:paraId="0984230E">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1.子基金管理机构可由申请机构、基金普通合伙人或其他机构担任，实缴资本不低于</w:t>
      </w:r>
      <w:r>
        <w:rPr>
          <w:rFonts w:ascii="仿宋_GB2312" w:eastAsia="仿宋_GB2312"/>
          <w:sz w:val="32"/>
          <w:szCs w:val="32"/>
        </w:rPr>
        <w:t>1000</w:t>
      </w:r>
      <w:r>
        <w:rPr>
          <w:rFonts w:hint="eastAsia" w:ascii="仿宋_GB2312" w:eastAsia="仿宋_GB2312"/>
          <w:sz w:val="32"/>
          <w:szCs w:val="32"/>
        </w:rPr>
        <w:t>万元人民币且不低于其在子基金中认缴出资总额，且已依法设立并按法律法规或监管规定完成登记备案（如为新设机构，必须在</w:t>
      </w:r>
      <w:r>
        <w:rPr>
          <w:rFonts w:hint="eastAsia" w:ascii="仿宋_GB2312" w:eastAsia="仿宋_GB2312"/>
          <w:sz w:val="32"/>
          <w:szCs w:val="32"/>
          <w:lang w:eastAsia="zh-CN"/>
        </w:rPr>
        <w:t>宝安区产业投资引导基金</w:t>
      </w:r>
      <w:r>
        <w:rPr>
          <w:rFonts w:hint="eastAsia" w:ascii="仿宋_GB2312" w:eastAsia="仿宋_GB2312"/>
          <w:sz w:val="32"/>
          <w:szCs w:val="32"/>
        </w:rPr>
        <w:t>实际出资前取得私募投资基金相关登记备案资质），最近三年不存在重大违法违规行为（成立未满三年的机构自成立以来不存在重大违法违规行为）；</w:t>
      </w:r>
    </w:p>
    <w:p w14:paraId="7CD2F9DF">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2.优先考虑近三年清科或投中等有关榜单排名前一百的（具体参考清科、投中等第三方知名机构或中国证券投资基金业协会等行业自律组织发布的相关行业排名）子基金管理机构，或具有较强产业背景的C</w:t>
      </w:r>
      <w:r>
        <w:rPr>
          <w:rFonts w:ascii="仿宋_GB2312" w:eastAsia="仿宋_GB2312"/>
          <w:sz w:val="32"/>
          <w:szCs w:val="32"/>
        </w:rPr>
        <w:t>VC</w:t>
      </w:r>
      <w:r>
        <w:rPr>
          <w:rFonts w:hint="eastAsia" w:ascii="仿宋_GB2312" w:eastAsia="仿宋_GB2312"/>
          <w:sz w:val="32"/>
          <w:szCs w:val="32"/>
        </w:rPr>
        <w:t>机构。</w:t>
      </w:r>
    </w:p>
    <w:p w14:paraId="1DCC5F39">
      <w:pPr>
        <w:keepNext w:val="0"/>
        <w:keepLines w:val="0"/>
        <w:pageBreakBefore w:val="0"/>
        <w:kinsoku/>
        <w:wordWrap/>
        <w:overflowPunct w:val="0"/>
        <w:topLinePunct w:val="0"/>
        <w:bidi w:val="0"/>
        <w:adjustRightInd w:val="0"/>
        <w:snapToGrid w:val="0"/>
        <w:spacing w:line="560" w:lineRule="exact"/>
        <w:ind w:left="0" w:right="0" w:firstLine="640" w:firstLineChars="200"/>
        <w:jc w:val="both"/>
        <w:textAlignment w:val="auto"/>
        <w:rPr>
          <w:rFonts w:ascii="仿宋_GB2312" w:hAnsi="宋体" w:eastAsia="仿宋_GB2312" w:cs="宋体"/>
          <w:sz w:val="32"/>
          <w:szCs w:val="32"/>
        </w:rPr>
      </w:pPr>
      <w:r>
        <w:rPr>
          <w:rFonts w:hint="eastAsia" w:ascii="楷体" w:hAnsi="楷体" w:eastAsia="楷体" w:cs="楷体"/>
          <w:sz w:val="32"/>
          <w:szCs w:val="32"/>
        </w:rPr>
        <w:t>（三）管理团队：</w:t>
      </w:r>
      <w:r>
        <w:rPr>
          <w:rFonts w:hint="eastAsia" w:ascii="仿宋_GB2312" w:hAnsi="宋体" w:eastAsia="仿宋_GB2312" w:cs="宋体"/>
          <w:sz w:val="32"/>
          <w:szCs w:val="32"/>
        </w:rPr>
        <w:t>子基金管理机构应配备专属且稳定的管理团队，拥有不少于5名专业投资人员，其中具有3年以上相关经验的不少于3名；管理团队主要成员无受过行政主管机关或司法机关处罚的不良记录。</w:t>
      </w:r>
    </w:p>
    <w:p w14:paraId="1A9D12B4">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（四）投资能力</w:t>
      </w:r>
    </w:p>
    <w:p w14:paraId="7F73CB0E">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宋体" w:eastAsia="仿宋_GB2312" w:cs="宋体"/>
          <w:sz w:val="32"/>
          <w:szCs w:val="32"/>
        </w:rPr>
      </w:pPr>
      <w:r>
        <w:rPr>
          <w:rFonts w:hint="eastAsia" w:ascii="仿宋_GB2312" w:hAnsi="宋体" w:eastAsia="仿宋_GB2312" w:cs="宋体"/>
          <w:sz w:val="32"/>
          <w:szCs w:val="32"/>
        </w:rPr>
        <w:t>子基金管理机构或其主要股东（公司制）、普通合伙人（合伙制）或</w:t>
      </w:r>
      <w:r>
        <w:rPr>
          <w:rFonts w:ascii="仿宋_GB2312" w:hAnsi="宋体" w:eastAsia="仿宋_GB2312" w:cs="宋体"/>
          <w:sz w:val="32"/>
          <w:szCs w:val="32"/>
        </w:rPr>
        <w:t>3</w:t>
      </w:r>
      <w:r>
        <w:rPr>
          <w:rFonts w:hint="eastAsia" w:ascii="仿宋_GB2312" w:hAnsi="宋体" w:eastAsia="仿宋_GB2312" w:cs="宋体"/>
          <w:sz w:val="32"/>
          <w:szCs w:val="32"/>
        </w:rPr>
        <w:t>名以上管理团队主要成员以骨干身份累计管理股权投资基金规模不低于</w:t>
      </w:r>
      <w:r>
        <w:rPr>
          <w:rFonts w:ascii="仿宋_GB2312" w:hAnsi="宋体" w:eastAsia="仿宋_GB2312" w:cs="宋体"/>
          <w:sz w:val="32"/>
          <w:szCs w:val="32"/>
        </w:rPr>
        <w:t>5</w:t>
      </w:r>
      <w:r>
        <w:rPr>
          <w:rFonts w:hint="eastAsia" w:ascii="仿宋_GB2312" w:hAnsi="宋体" w:eastAsia="仿宋_GB2312" w:cs="宋体"/>
          <w:sz w:val="32"/>
          <w:szCs w:val="32"/>
        </w:rPr>
        <w:t>亿元，至少有</w:t>
      </w:r>
      <w:r>
        <w:rPr>
          <w:rFonts w:ascii="仿宋_GB2312" w:hAnsi="宋体" w:eastAsia="仿宋_GB2312" w:cs="宋体"/>
          <w:sz w:val="32"/>
          <w:szCs w:val="32"/>
        </w:rPr>
        <w:t>3</w:t>
      </w:r>
      <w:r>
        <w:rPr>
          <w:rFonts w:hint="eastAsia" w:ascii="仿宋_GB2312" w:hAnsi="宋体" w:eastAsia="仿宋_GB2312" w:cs="宋体"/>
          <w:sz w:val="32"/>
          <w:szCs w:val="32"/>
        </w:rPr>
        <w:t>个成功投资案例（成功投资案例是指项目年化回报率不低于</w:t>
      </w:r>
      <w:r>
        <w:rPr>
          <w:rFonts w:ascii="仿宋_GB2312" w:hAnsi="宋体" w:eastAsia="仿宋_GB2312" w:cs="宋体"/>
          <w:sz w:val="32"/>
          <w:szCs w:val="32"/>
        </w:rPr>
        <w:t>20%</w:t>
      </w:r>
      <w:r>
        <w:rPr>
          <w:rFonts w:hint="eastAsia" w:ascii="仿宋_GB2312" w:hAnsi="宋体" w:eastAsia="仿宋_GB2312" w:cs="宋体"/>
          <w:sz w:val="32"/>
          <w:szCs w:val="32"/>
        </w:rPr>
        <w:t>，且投资的回收金额不低于投资额的</w:t>
      </w:r>
      <w:r>
        <w:rPr>
          <w:rFonts w:ascii="仿宋_GB2312" w:hAnsi="宋体" w:eastAsia="仿宋_GB2312" w:cs="宋体"/>
          <w:sz w:val="32"/>
          <w:szCs w:val="32"/>
        </w:rPr>
        <w:t>50%</w:t>
      </w:r>
      <w:r>
        <w:rPr>
          <w:rFonts w:hint="eastAsia" w:ascii="仿宋_GB2312" w:hAnsi="宋体" w:eastAsia="仿宋_GB2312" w:cs="宋体"/>
          <w:sz w:val="32"/>
          <w:szCs w:val="32"/>
        </w:rPr>
        <w:t>）。</w:t>
      </w:r>
    </w:p>
    <w:p w14:paraId="25D598F6">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楷体" w:hAnsi="楷体" w:eastAsia="楷体" w:cs="楷体"/>
          <w:sz w:val="32"/>
          <w:szCs w:val="32"/>
        </w:rPr>
        <w:t>（五）募资要求：</w:t>
      </w:r>
      <w:r>
        <w:rPr>
          <w:rFonts w:hint="eastAsia" w:ascii="仿宋_GB2312" w:hAnsi="仿宋_GB2312" w:eastAsia="仿宋_GB2312" w:cs="仿宋_GB2312"/>
          <w:sz w:val="32"/>
          <w:szCs w:val="32"/>
          <w:lang w:val="zh-TW"/>
        </w:rPr>
        <w:t>基金</w:t>
      </w:r>
      <w:r>
        <w:rPr>
          <w:rFonts w:hint="eastAsia" w:ascii="仿宋_GB2312" w:hAnsi="宋体" w:eastAsia="仿宋_GB2312" w:cs="宋体"/>
          <w:sz w:val="32"/>
          <w:szCs w:val="32"/>
        </w:rPr>
        <w:t>申报方案由子基金申请机构负责提交。</w:t>
      </w:r>
      <w:r>
        <w:rPr>
          <w:rFonts w:hint="eastAsia" w:ascii="仿宋_GB2312" w:hAnsi="仿宋_GB2312" w:eastAsia="仿宋_GB2312" w:cs="仿宋_GB2312"/>
          <w:sz w:val="32"/>
          <w:szCs w:val="32"/>
        </w:rPr>
        <w:t>申请新设子基金的，子基金申请机构在提交基金申报方案时，应提供拟出资人的出资承诺/意向函、出资公示信息、出资决策文件或出资能力证明（审计报告、估值报告等资产评估报告）等材料</w:t>
      </w:r>
      <w:r>
        <w:rPr>
          <w:rFonts w:hint="eastAsia" w:ascii="仿宋_GB2312" w:hAnsi="宋体" w:eastAsia="仿宋_GB2312" w:cs="宋体"/>
          <w:sz w:val="32"/>
          <w:szCs w:val="32"/>
        </w:rPr>
        <w:t>。申请</w:t>
      </w:r>
      <w:r>
        <w:rPr>
          <w:rFonts w:hint="eastAsia" w:ascii="仿宋_GB2312" w:hAnsi="宋体" w:eastAsia="仿宋_GB2312" w:cs="宋体"/>
          <w:sz w:val="32"/>
          <w:szCs w:val="32"/>
          <w:lang w:eastAsia="zh-CN"/>
        </w:rPr>
        <w:t>宝安区产业投资引导基金</w:t>
      </w:r>
      <w:r>
        <w:rPr>
          <w:rFonts w:hint="eastAsia" w:ascii="仿宋_GB2312" w:hAnsi="宋体" w:eastAsia="仿宋_GB2312" w:cs="宋体"/>
          <w:sz w:val="32"/>
          <w:szCs w:val="32"/>
        </w:rPr>
        <w:t>增资的子基金注册时间应不超过 12个月（自子基金工商注册之日起至</w:t>
      </w:r>
      <w:r>
        <w:rPr>
          <w:rFonts w:hint="eastAsia" w:ascii="仿宋_GB2312" w:hAnsi="宋体" w:eastAsia="仿宋_GB2312" w:cs="宋体"/>
          <w:sz w:val="32"/>
          <w:szCs w:val="32"/>
          <w:lang w:eastAsia="zh-CN"/>
        </w:rPr>
        <w:t>宝安区产业投资引导基金</w:t>
      </w:r>
      <w:r>
        <w:rPr>
          <w:rFonts w:hint="eastAsia" w:ascii="仿宋_GB2312" w:hAnsi="宋体" w:eastAsia="仿宋_GB2312" w:cs="宋体"/>
          <w:sz w:val="32"/>
          <w:szCs w:val="32"/>
        </w:rPr>
        <w:t>受理其申请之日止），同时应提供子基金现有全体出资人同意申请</w:t>
      </w:r>
      <w:r>
        <w:rPr>
          <w:rFonts w:hint="eastAsia" w:ascii="仿宋_GB2312" w:hAnsi="宋体" w:eastAsia="仿宋_GB2312" w:cs="宋体"/>
          <w:sz w:val="32"/>
          <w:szCs w:val="32"/>
          <w:lang w:eastAsia="zh-CN"/>
        </w:rPr>
        <w:t>宝安区产业投资引导基金</w:t>
      </w:r>
      <w:r>
        <w:rPr>
          <w:rFonts w:hint="eastAsia" w:ascii="仿宋_GB2312" w:hAnsi="宋体" w:eastAsia="仿宋_GB2312" w:cs="宋体"/>
          <w:sz w:val="32"/>
          <w:szCs w:val="32"/>
        </w:rPr>
        <w:t>出资且以平价增资并豁免</w:t>
      </w:r>
      <w:r>
        <w:rPr>
          <w:rFonts w:hint="eastAsia" w:ascii="仿宋_GB2312" w:hAnsi="宋体" w:eastAsia="仿宋_GB2312" w:cs="宋体"/>
          <w:sz w:val="32"/>
          <w:szCs w:val="32"/>
          <w:lang w:eastAsia="zh-CN"/>
        </w:rPr>
        <w:t>宝安区产业投资引导基金</w:t>
      </w:r>
      <w:r>
        <w:rPr>
          <w:rFonts w:hint="eastAsia" w:ascii="仿宋_GB2312" w:hAnsi="宋体" w:eastAsia="仿宋_GB2312" w:cs="宋体"/>
          <w:sz w:val="32"/>
          <w:szCs w:val="32"/>
        </w:rPr>
        <w:t>罚息及同意</w:t>
      </w:r>
      <w:r>
        <w:rPr>
          <w:rFonts w:hint="eastAsia" w:ascii="仿宋_GB2312" w:hAnsi="宋体" w:eastAsia="仿宋_GB2312" w:cs="宋体"/>
          <w:sz w:val="32"/>
          <w:szCs w:val="32"/>
          <w:lang w:eastAsia="zh-CN"/>
        </w:rPr>
        <w:t>宝安区产业投资引导基金</w:t>
      </w:r>
      <w:r>
        <w:rPr>
          <w:rFonts w:hint="eastAsia" w:ascii="仿宋_GB2312" w:hAnsi="宋体" w:eastAsia="仿宋_GB2312" w:cs="宋体"/>
          <w:sz w:val="32"/>
          <w:szCs w:val="32"/>
        </w:rPr>
        <w:t>享有子基金已投资项目收益（如有）的合伙人会议决议或股东会决议。</w:t>
      </w:r>
    </w:p>
    <w:p w14:paraId="7221F1D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（六）风险控制：</w:t>
      </w:r>
      <w:r>
        <w:rPr>
          <w:rFonts w:hint="eastAsia" w:ascii="仿宋_GB2312" w:eastAsia="仿宋_GB2312"/>
          <w:sz w:val="32"/>
          <w:szCs w:val="32"/>
        </w:rPr>
        <w:t>按中国证券投资基金业协会（以下简称“中基协”）要求管理和投资运作规范，具有完整的投资决策程序、风险控制机制和健全的财务管理制度。</w:t>
      </w:r>
    </w:p>
    <w:p w14:paraId="4FBECA81">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（七）管理制度：</w:t>
      </w:r>
      <w:r>
        <w:rPr>
          <w:rFonts w:hint="eastAsia" w:ascii="仿宋_GB2312" w:eastAsia="仿宋_GB2312"/>
          <w:sz w:val="32"/>
          <w:szCs w:val="32"/>
        </w:rPr>
        <w:t>有健全的激励约束机制、跟进投资机制、资产托管机制和风险隔离机制。</w:t>
      </w:r>
    </w:p>
    <w:p w14:paraId="3DDFD17C">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黑体" w:hAnsi="黑体" w:eastAsia="黑体" w:cs="宋体"/>
          <w:sz w:val="32"/>
          <w:szCs w:val="32"/>
        </w:rPr>
      </w:pPr>
      <w:r>
        <w:rPr>
          <w:rFonts w:hint="eastAsia" w:ascii="黑体" w:hAnsi="黑体" w:eastAsia="黑体"/>
          <w:sz w:val="32"/>
          <w:szCs w:val="32"/>
        </w:rPr>
        <w:t>三、</w:t>
      </w:r>
      <w:r>
        <w:rPr>
          <w:rFonts w:hint="eastAsia" w:ascii="黑体" w:hAnsi="黑体" w:eastAsia="黑体" w:cs="宋体"/>
          <w:kern w:val="0"/>
          <w:sz w:val="32"/>
          <w:szCs w:val="32"/>
        </w:rPr>
        <w:t>子基金</w:t>
      </w:r>
      <w:r>
        <w:rPr>
          <w:rFonts w:hint="eastAsia" w:ascii="黑体" w:hAnsi="黑体" w:eastAsia="黑体" w:cs="宋体"/>
          <w:sz w:val="32"/>
          <w:szCs w:val="32"/>
        </w:rPr>
        <w:t>设立要求</w:t>
      </w:r>
    </w:p>
    <w:p w14:paraId="0705624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rPr>
      </w:pPr>
      <w:r>
        <w:rPr>
          <w:rFonts w:hint="eastAsia" w:ascii="楷体" w:hAnsi="楷体" w:eastAsia="楷体" w:cs="楷体"/>
          <w:sz w:val="32"/>
          <w:szCs w:val="32"/>
        </w:rPr>
        <w:t>（一）注册区域：</w:t>
      </w:r>
      <w:r>
        <w:rPr>
          <w:rFonts w:hint="eastAsia" w:ascii="仿宋_GB2312" w:eastAsia="仿宋_GB2312"/>
          <w:sz w:val="32"/>
        </w:rPr>
        <w:t>子基金原则上应在宝安区注册，</w:t>
      </w:r>
      <w:r>
        <w:rPr>
          <w:rFonts w:hint="eastAsia" w:ascii="仿宋_GB2312" w:hAnsi="宋体" w:eastAsia="仿宋_GB2312" w:cs="宋体"/>
          <w:sz w:val="32"/>
          <w:szCs w:val="32"/>
        </w:rPr>
        <w:t>须按照国家有关规定</w:t>
      </w:r>
      <w:r>
        <w:rPr>
          <w:rFonts w:hint="eastAsia" w:ascii="仿宋_GB2312" w:eastAsia="仿宋_GB2312"/>
          <w:sz w:val="32"/>
          <w:szCs w:val="32"/>
        </w:rPr>
        <w:t>履行登记备案手续并接受监管</w:t>
      </w:r>
      <w:r>
        <w:rPr>
          <w:rFonts w:hint="eastAsia" w:ascii="仿宋_GB2312" w:eastAsia="仿宋_GB2312"/>
          <w:sz w:val="32"/>
        </w:rPr>
        <w:t>。</w:t>
      </w:r>
    </w:p>
    <w:p w14:paraId="7C8EB41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（二）基金规模：</w:t>
      </w:r>
      <w:r>
        <w:rPr>
          <w:rFonts w:hint="eastAsia" w:ascii="仿宋_GB2312" w:eastAsia="仿宋_GB2312"/>
          <w:sz w:val="32"/>
          <w:szCs w:val="32"/>
        </w:rPr>
        <w:t>基金规模原则上不少于5000万元人民币。</w:t>
      </w:r>
    </w:p>
    <w:p w14:paraId="434B15F9">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（三）出资比例：</w:t>
      </w:r>
      <w:r>
        <w:rPr>
          <w:rFonts w:hint="eastAsia" w:ascii="仿宋_GB2312" w:eastAsia="仿宋_GB2312"/>
          <w:sz w:val="32"/>
          <w:szCs w:val="32"/>
          <w:lang w:eastAsia="zh-CN"/>
        </w:rPr>
        <w:t>子基金</w:t>
      </w:r>
      <w:r>
        <w:rPr>
          <w:rFonts w:hint="eastAsia" w:ascii="仿宋_GB2312" w:eastAsia="仿宋_GB2312"/>
          <w:sz w:val="32"/>
          <w:szCs w:val="32"/>
        </w:rPr>
        <w:t>向</w:t>
      </w:r>
      <w:r>
        <w:rPr>
          <w:rFonts w:hint="eastAsia" w:ascii="仿宋_GB2312" w:eastAsia="仿宋_GB2312"/>
          <w:sz w:val="32"/>
          <w:szCs w:val="32"/>
          <w:lang w:eastAsia="zh-CN"/>
        </w:rPr>
        <w:t>宝安区产业投资引导基金</w:t>
      </w:r>
      <w:r>
        <w:rPr>
          <w:rFonts w:hint="eastAsia" w:ascii="仿宋_GB2312" w:eastAsia="仿宋_GB2312"/>
          <w:sz w:val="32"/>
          <w:szCs w:val="32"/>
        </w:rPr>
        <w:t>申请的出资比例原则上不超过该基金实缴出资总额的30%。</w:t>
      </w:r>
    </w:p>
    <w:p w14:paraId="271A4EAF">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（四）子基金对外投资比例要求：</w:t>
      </w:r>
      <w:r>
        <w:rPr>
          <w:rFonts w:hint="eastAsia" w:ascii="仿宋_GB2312" w:eastAsia="仿宋_GB2312"/>
          <w:sz w:val="32"/>
          <w:szCs w:val="32"/>
        </w:rPr>
        <w:t>除为投资单一项目而设立的基金外，</w:t>
      </w:r>
      <w:r>
        <w:rPr>
          <w:rFonts w:hint="eastAsia" w:ascii="仿宋_GB2312" w:eastAsia="仿宋_GB2312"/>
          <w:sz w:val="32"/>
          <w:szCs w:val="32"/>
          <w:lang w:eastAsia="zh-CN"/>
        </w:rPr>
        <w:t>子基金</w:t>
      </w:r>
      <w:r>
        <w:rPr>
          <w:rFonts w:hint="eastAsia" w:ascii="仿宋_GB2312" w:eastAsia="仿宋_GB2312"/>
          <w:sz w:val="32"/>
          <w:szCs w:val="32"/>
        </w:rPr>
        <w:t>对单个项目的投资额不超过基金总规模的</w:t>
      </w:r>
      <w:r>
        <w:rPr>
          <w:rFonts w:ascii="仿宋_GB2312" w:eastAsia="仿宋_GB2312"/>
          <w:sz w:val="32"/>
          <w:szCs w:val="32"/>
        </w:rPr>
        <w:t>20%</w:t>
      </w:r>
      <w:r>
        <w:rPr>
          <w:rFonts w:hint="eastAsia" w:ascii="仿宋_GB2312" w:eastAsia="仿宋_GB2312"/>
          <w:sz w:val="32"/>
          <w:szCs w:val="32"/>
        </w:rPr>
        <w:t>。</w:t>
      </w:r>
    </w:p>
    <w:p w14:paraId="1019489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（五）存续期限：</w:t>
      </w:r>
      <w:r>
        <w:rPr>
          <w:rFonts w:hint="eastAsia" w:ascii="仿宋_GB2312" w:eastAsia="仿宋_GB2312"/>
          <w:sz w:val="32"/>
          <w:szCs w:val="32"/>
          <w:lang w:eastAsia="zh-CN"/>
        </w:rPr>
        <w:t>子基金</w:t>
      </w:r>
      <w:r>
        <w:rPr>
          <w:rFonts w:hint="eastAsia" w:ascii="仿宋_GB2312" w:eastAsia="仿宋_GB2312"/>
          <w:sz w:val="32"/>
          <w:szCs w:val="32"/>
        </w:rPr>
        <w:t>存续期（指基金投资期与退出期之和，下同）原则上不超过10年。</w:t>
      </w:r>
    </w:p>
    <w:p w14:paraId="51FFA791">
      <w:pPr>
        <w:keepNext w:val="0"/>
        <w:keepLines w:val="0"/>
        <w:pageBreakBefore w:val="0"/>
        <w:kinsoku/>
        <w:wordWrap/>
        <w:topLinePunct w:val="0"/>
        <w:autoSpaceDE w:val="0"/>
        <w:autoSpaceDN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（六）管理费用：</w:t>
      </w:r>
      <w:r>
        <w:rPr>
          <w:rFonts w:hint="eastAsia" w:ascii="仿宋_GB2312" w:eastAsia="仿宋_GB2312"/>
          <w:sz w:val="32"/>
          <w:szCs w:val="32"/>
        </w:rPr>
        <w:t>参照市场惯例，</w:t>
      </w:r>
      <w:r>
        <w:rPr>
          <w:rFonts w:hint="eastAsia" w:ascii="仿宋_GB2312" w:eastAsia="仿宋_GB2312"/>
          <w:sz w:val="32"/>
          <w:szCs w:val="32"/>
          <w:lang w:eastAsia="zh-CN"/>
        </w:rPr>
        <w:t>子基金</w:t>
      </w:r>
      <w:r>
        <w:rPr>
          <w:rFonts w:hint="eastAsia" w:ascii="仿宋_GB2312" w:eastAsia="仿宋_GB2312"/>
          <w:sz w:val="32"/>
          <w:szCs w:val="32"/>
        </w:rPr>
        <w:t>实际费率每年最高不超过</w:t>
      </w:r>
      <w:r>
        <w:rPr>
          <w:rFonts w:ascii="仿宋_GB2312" w:eastAsia="仿宋_GB2312"/>
          <w:sz w:val="32"/>
          <w:szCs w:val="32"/>
        </w:rPr>
        <w:t>3%</w:t>
      </w:r>
      <w:r>
        <w:rPr>
          <w:rFonts w:hint="eastAsia" w:ascii="仿宋_GB2312" w:eastAsia="仿宋_GB2312"/>
          <w:sz w:val="32"/>
          <w:szCs w:val="32"/>
        </w:rPr>
        <w:t>，且对</w:t>
      </w:r>
      <w:r>
        <w:rPr>
          <w:rFonts w:hint="eastAsia" w:ascii="仿宋_GB2312" w:eastAsia="仿宋_GB2312"/>
          <w:sz w:val="32"/>
          <w:szCs w:val="32"/>
          <w:lang w:eastAsia="zh-CN"/>
        </w:rPr>
        <w:t>宝安区产业投资引导基金</w:t>
      </w:r>
      <w:r>
        <w:rPr>
          <w:rFonts w:hint="eastAsia" w:ascii="仿宋_GB2312" w:eastAsia="仿宋_GB2312"/>
          <w:sz w:val="32"/>
          <w:szCs w:val="32"/>
        </w:rPr>
        <w:t>征收管理费的标准不得高于其他出资人。鼓励子基金降低管理费标准，提高运作效益。</w:t>
      </w:r>
      <w:r>
        <w:rPr>
          <w:rFonts w:hint="eastAsia" w:ascii="仿宋_GB2312" w:hAnsi="Times New Roman" w:eastAsia="仿宋_GB2312" w:cs="仿宋_GB2312"/>
          <w:kern w:val="0"/>
          <w:sz w:val="32"/>
          <w:szCs w:val="32"/>
        </w:rPr>
        <w:t>子基金管理机构须接受</w:t>
      </w:r>
      <w:r>
        <w:rPr>
          <w:rFonts w:hint="eastAsia" w:ascii="仿宋_GB2312" w:hAnsi="Times New Roman" w:eastAsia="仿宋_GB2312" w:cs="仿宋_GB2312"/>
          <w:kern w:val="0"/>
          <w:sz w:val="32"/>
          <w:szCs w:val="32"/>
          <w:lang w:eastAsia="zh-CN"/>
        </w:rPr>
        <w:t>宝安区产业投资引导基金</w:t>
      </w:r>
      <w:r>
        <w:rPr>
          <w:rFonts w:hint="eastAsia" w:ascii="仿宋_GB2312" w:hAnsi="Times New Roman" w:eastAsia="仿宋_GB2312" w:cs="仿宋_GB2312"/>
          <w:kern w:val="0"/>
          <w:sz w:val="32"/>
          <w:szCs w:val="32"/>
        </w:rPr>
        <w:t>绩效评价，</w:t>
      </w:r>
      <w:r>
        <w:rPr>
          <w:rFonts w:hint="eastAsia" w:ascii="仿宋_GB2312" w:hAnsi="Times New Roman" w:eastAsia="仿宋_GB2312" w:cs="仿宋_GB2312"/>
          <w:kern w:val="0"/>
          <w:sz w:val="32"/>
          <w:szCs w:val="32"/>
          <w:lang w:eastAsia="zh-CN"/>
        </w:rPr>
        <w:t>宝安区产业投资引导基金</w:t>
      </w:r>
      <w:r>
        <w:rPr>
          <w:rFonts w:hint="eastAsia" w:ascii="仿宋_GB2312" w:hAnsi="Times New Roman" w:eastAsia="仿宋_GB2312" w:cs="仿宋_GB2312"/>
          <w:kern w:val="0"/>
          <w:sz w:val="32"/>
          <w:szCs w:val="32"/>
        </w:rPr>
        <w:t>所承担的管理费与绩效评价结果挂钩。</w:t>
      </w:r>
    </w:p>
    <w:p w14:paraId="7963AFB2">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highlight w:val="yellow"/>
        </w:rPr>
      </w:pPr>
      <w:r>
        <w:rPr>
          <w:rFonts w:hint="eastAsia" w:ascii="楷体" w:hAnsi="楷体" w:eastAsia="楷体" w:cs="楷体"/>
          <w:sz w:val="32"/>
          <w:szCs w:val="32"/>
          <w:highlight w:val="none"/>
        </w:rPr>
        <w:t>（七）投资领域：</w:t>
      </w:r>
      <w:r>
        <w:rPr>
          <w:rFonts w:hint="eastAsia" w:ascii="仿宋_GB2312" w:eastAsia="仿宋_GB2312"/>
          <w:sz w:val="32"/>
          <w:szCs w:val="32"/>
          <w:highlight w:val="none"/>
        </w:rPr>
        <w:t>主要投资于</w:t>
      </w:r>
      <w:r>
        <w:rPr>
          <w:rFonts w:hint="eastAsia" w:ascii="仿宋_GB2312" w:hAnsi="微软雅黑" w:eastAsia="仿宋_GB2312" w:cs="宋体"/>
          <w:kern w:val="0"/>
          <w:sz w:val="32"/>
          <w:szCs w:val="32"/>
          <w:highlight w:val="none"/>
        </w:rPr>
        <w:t>战略</w:t>
      </w:r>
      <w:r>
        <w:rPr>
          <w:rFonts w:hint="eastAsia" w:ascii="仿宋_GB2312" w:hAnsi="微软雅黑" w:eastAsia="仿宋_GB2312" w:cs="宋体"/>
          <w:sz w:val="32"/>
          <w:szCs w:val="32"/>
          <w:highlight w:val="none"/>
          <w:lang w:eastAsia="zh-CN"/>
        </w:rPr>
        <w:t>性</w:t>
      </w:r>
      <w:r>
        <w:rPr>
          <w:rFonts w:hint="eastAsia" w:ascii="仿宋_GB2312" w:hAnsi="微软雅黑" w:eastAsia="仿宋_GB2312" w:cs="宋体"/>
          <w:kern w:val="0"/>
          <w:sz w:val="32"/>
          <w:szCs w:val="32"/>
          <w:highlight w:val="none"/>
        </w:rPr>
        <w:t>新兴产业、未来产业</w:t>
      </w:r>
      <w:r>
        <w:rPr>
          <w:rFonts w:hint="eastAsia" w:ascii="仿宋_GB2312" w:hAnsi="微软雅黑" w:eastAsia="仿宋_GB2312" w:cs="宋体"/>
          <w:kern w:val="0"/>
          <w:sz w:val="32"/>
          <w:szCs w:val="32"/>
          <w:highlight w:val="none"/>
          <w:lang w:val="en-US" w:eastAsia="zh-CN"/>
        </w:rPr>
        <w:t>及其他产业集群</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围绕</w:t>
      </w:r>
      <w:r>
        <w:rPr>
          <w:rFonts w:hint="eastAsia" w:ascii="仿宋" w:hAnsi="仿宋" w:eastAsia="仿宋"/>
          <w:bCs/>
          <w:sz w:val="32"/>
          <w:szCs w:val="32"/>
        </w:rPr>
        <w:t>新一代信息技术（AI、具身智能等）、先进制造（航空航天、深海科技、高端装备等）、新能源新材料</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重点产业</w:t>
      </w:r>
      <w:r>
        <w:rPr>
          <w:rFonts w:hint="eastAsia" w:ascii="仿宋_GB2312" w:hAnsi="仿宋" w:eastAsia="仿宋_GB2312" w:cs="仿宋"/>
          <w:sz w:val="32"/>
          <w:szCs w:val="32"/>
          <w:lang w:val="en-US" w:eastAsia="zh-CN"/>
        </w:rPr>
        <w:t>集群</w:t>
      </w:r>
      <w:r>
        <w:rPr>
          <w:rFonts w:hint="eastAsia" w:ascii="仿宋_GB2312" w:hAnsi="仿宋" w:eastAsia="仿宋_GB2312" w:cs="仿宋"/>
          <w:sz w:val="32"/>
          <w:szCs w:val="32"/>
          <w:lang w:eastAsia="zh-CN"/>
        </w:rPr>
        <w:t>。</w:t>
      </w:r>
    </w:p>
    <w:p w14:paraId="44989B44">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）收益分配：</w:t>
      </w:r>
      <w:r>
        <w:rPr>
          <w:rFonts w:hint="eastAsia" w:ascii="仿宋_GB2312" w:eastAsia="仿宋_GB2312"/>
          <w:sz w:val="32"/>
          <w:szCs w:val="32"/>
        </w:rPr>
        <w:t>子基金存续期内，投资回收资金不得再用于对外投资，并在约定条件及时间内分配、收回资金。收益分配优先采用“整体先回本后分利”方式，按具体项目进行收益分配时，子基金管理机构收取的收益分成应当设置相应的“钩回机制”。</w:t>
      </w:r>
    </w:p>
    <w:p w14:paraId="45520B19">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九</w:t>
      </w:r>
      <w:r>
        <w:rPr>
          <w:rFonts w:hint="eastAsia" w:ascii="楷体" w:hAnsi="楷体" w:eastAsia="楷体" w:cs="楷体"/>
          <w:sz w:val="32"/>
          <w:szCs w:val="32"/>
        </w:rPr>
        <w:t>）亏损承担：</w:t>
      </w:r>
      <w:r>
        <w:rPr>
          <w:rFonts w:hint="eastAsia" w:ascii="仿宋_GB2312" w:eastAsia="仿宋_GB2312"/>
          <w:sz w:val="32"/>
          <w:szCs w:val="32"/>
        </w:rPr>
        <w:t>子基金清算出现亏损时，应按基金合同、合伙协议约定或公司章程规定的比例由子基金管理机构和各出资人分别承担，</w:t>
      </w:r>
      <w:r>
        <w:rPr>
          <w:rFonts w:hint="eastAsia" w:ascii="仿宋_GB2312" w:eastAsia="仿宋_GB2312"/>
          <w:sz w:val="32"/>
          <w:szCs w:val="32"/>
          <w:lang w:eastAsia="zh-CN"/>
        </w:rPr>
        <w:t>宝安区产业投资引导基金</w:t>
      </w:r>
      <w:r>
        <w:rPr>
          <w:rFonts w:hint="eastAsia" w:ascii="仿宋_GB2312" w:eastAsia="仿宋_GB2312"/>
          <w:sz w:val="32"/>
          <w:szCs w:val="32"/>
        </w:rPr>
        <w:t>应以出资额为限承担有限责任。</w:t>
      </w:r>
    </w:p>
    <w:p w14:paraId="32824A3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黑体" w:hAnsi="黑体" w:eastAsia="黑体"/>
          <w:sz w:val="32"/>
          <w:szCs w:val="32"/>
        </w:rPr>
      </w:pPr>
      <w:r>
        <w:rPr>
          <w:rFonts w:hint="eastAsia" w:ascii="黑体" w:hAnsi="黑体" w:eastAsia="黑体"/>
          <w:sz w:val="32"/>
          <w:szCs w:val="32"/>
        </w:rPr>
        <w:t>四、风险控制</w:t>
      </w:r>
    </w:p>
    <w:p w14:paraId="47286C2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（一）管理机构出资比例</w:t>
      </w:r>
    </w:p>
    <w:p w14:paraId="56779804">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cs="仿宋_GB2312"/>
          <w:sz w:val="32"/>
          <w:szCs w:val="32"/>
        </w:rPr>
      </w:pPr>
      <w:r>
        <w:rPr>
          <w:rFonts w:hint="eastAsia" w:ascii="仿宋_GB2312" w:eastAsia="仿宋_GB2312" w:cs="仿宋_GB2312"/>
          <w:sz w:val="32"/>
          <w:szCs w:val="32"/>
        </w:rPr>
        <w:t>子基金管理机构及其关联方对子基金合计出资比例不低于</w:t>
      </w:r>
      <w:r>
        <w:rPr>
          <w:rFonts w:ascii="仿宋_GB2312" w:eastAsia="仿宋_GB2312" w:cs="仿宋_GB2312"/>
          <w:sz w:val="32"/>
          <w:szCs w:val="32"/>
        </w:rPr>
        <w:t>1%</w:t>
      </w:r>
      <w:r>
        <w:rPr>
          <w:rFonts w:hint="eastAsia" w:ascii="仿宋_GB2312" w:eastAsia="仿宋_GB2312" w:cs="仿宋_GB2312"/>
          <w:sz w:val="32"/>
          <w:szCs w:val="32"/>
        </w:rPr>
        <w:t>。</w:t>
      </w:r>
    </w:p>
    <w:p w14:paraId="67DAD7C8">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（二）关键人锁定</w:t>
      </w:r>
    </w:p>
    <w:p w14:paraId="29B68779">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rPr>
      </w:pPr>
      <w:r>
        <w:rPr>
          <w:rFonts w:ascii="仿宋_GB2312" w:eastAsia="仿宋_GB2312"/>
          <w:sz w:val="32"/>
          <w:szCs w:val="32"/>
        </w:rPr>
        <w:t>在</w:t>
      </w:r>
      <w:r>
        <w:rPr>
          <w:rFonts w:hint="eastAsia" w:ascii="仿宋_GB2312" w:eastAsia="仿宋_GB2312"/>
          <w:sz w:val="32"/>
          <w:szCs w:val="32"/>
        </w:rPr>
        <w:t>子</w:t>
      </w:r>
      <w:r>
        <w:rPr>
          <w:rFonts w:ascii="仿宋_GB2312" w:eastAsia="仿宋_GB2312"/>
          <w:sz w:val="32"/>
          <w:szCs w:val="32"/>
        </w:rPr>
        <w:t>基金完成70%</w:t>
      </w:r>
      <w:r>
        <w:rPr>
          <w:rFonts w:hint="eastAsia" w:ascii="仿宋_GB2312" w:eastAsia="仿宋_GB2312"/>
          <w:sz w:val="32"/>
          <w:szCs w:val="32"/>
        </w:rPr>
        <w:t>的</w:t>
      </w:r>
      <w:r>
        <w:rPr>
          <w:rFonts w:ascii="仿宋_GB2312" w:eastAsia="仿宋_GB2312"/>
          <w:sz w:val="32"/>
          <w:szCs w:val="32"/>
        </w:rPr>
        <w:t>投资进度之前，</w:t>
      </w:r>
      <w:r>
        <w:rPr>
          <w:rFonts w:hint="eastAsia" w:ascii="仿宋_GB2312" w:eastAsia="仿宋_GB2312"/>
          <w:sz w:val="32"/>
          <w:szCs w:val="32"/>
        </w:rPr>
        <w:t>子基金的基金合同、合伙协议或公司章程应当约定对子基金投委会委员和管理团队核心成员进行锁定，管理团队核心成员原则上</w:t>
      </w:r>
      <w:r>
        <w:rPr>
          <w:rFonts w:ascii="仿宋_GB2312" w:eastAsia="仿宋_GB2312"/>
          <w:sz w:val="32"/>
          <w:szCs w:val="32"/>
        </w:rPr>
        <w:t>不</w:t>
      </w:r>
      <w:r>
        <w:rPr>
          <w:rFonts w:hint="eastAsia" w:ascii="仿宋_GB2312" w:eastAsia="仿宋_GB2312"/>
          <w:sz w:val="32"/>
          <w:szCs w:val="32"/>
        </w:rPr>
        <w:t>得变更，不得发起、设立或管理同领域和同类型投资策略的基金</w:t>
      </w:r>
      <w:r>
        <w:rPr>
          <w:rFonts w:ascii="仿宋_GB2312" w:eastAsia="仿宋_GB2312"/>
          <w:sz w:val="32"/>
          <w:szCs w:val="32"/>
        </w:rPr>
        <w:t>，不得作为</w:t>
      </w:r>
      <w:r>
        <w:rPr>
          <w:rFonts w:hint="eastAsia" w:ascii="仿宋_GB2312" w:eastAsia="仿宋_GB2312"/>
          <w:sz w:val="32"/>
          <w:szCs w:val="32"/>
        </w:rPr>
        <w:t>前述</w:t>
      </w:r>
      <w:r>
        <w:rPr>
          <w:rFonts w:ascii="仿宋_GB2312" w:eastAsia="仿宋_GB2312"/>
          <w:sz w:val="32"/>
          <w:szCs w:val="32"/>
        </w:rPr>
        <w:t>基金的关键人</w:t>
      </w:r>
      <w:r>
        <w:rPr>
          <w:rFonts w:hint="eastAsia" w:ascii="仿宋_GB2312" w:eastAsia="仿宋_GB2312"/>
          <w:sz w:val="32"/>
          <w:szCs w:val="32"/>
        </w:rPr>
        <w:t>，锁定人员如发生变动应当经合伙人大会等子基金相关权力机构表决通过。</w:t>
      </w:r>
    </w:p>
    <w:p w14:paraId="6D3C4CA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（三）子基金不得从事以下业务</w:t>
      </w:r>
    </w:p>
    <w:p w14:paraId="6920B58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1.投资二级市场股票、期货、房地产、证券投资基金、评级AAA以下的企业债、信托产品、非保本型理财产品、保险计划及其他金融衍生品；</w:t>
      </w:r>
    </w:p>
    <w:p w14:paraId="5C95756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2.从事融资担保以外的担保、抵押、委托贷款等业务；</w:t>
      </w:r>
    </w:p>
    <w:p w14:paraId="05505581">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3.向任何第三方提供赞助、捐赠（经批准的公益性捐赠除外）；</w:t>
      </w:r>
    </w:p>
    <w:p w14:paraId="28B32622">
      <w:pPr>
        <w:keepNext w:val="0"/>
        <w:keepLines w:val="0"/>
        <w:pageBreakBefore w:val="0"/>
        <w:kinsoku/>
        <w:wordWrap/>
        <w:topLinePunct w:val="0"/>
        <w:bidi w:val="0"/>
        <w:adjustRightInd w:val="0"/>
        <w:snapToGrid w:val="0"/>
        <w:spacing w:line="560" w:lineRule="exact"/>
        <w:ind w:right="0" w:firstLine="640" w:firstLineChars="200"/>
        <w:jc w:val="both"/>
        <w:textAlignment w:val="auto"/>
        <w:rPr>
          <w:rFonts w:ascii="仿宋_GB2312" w:eastAsia="仿宋_GB2312"/>
          <w:sz w:val="32"/>
          <w:szCs w:val="32"/>
        </w:rPr>
      </w:pPr>
      <w:r>
        <w:rPr>
          <w:rFonts w:hint="eastAsia" w:ascii="仿宋_GB2312" w:eastAsia="仿宋_GB2312"/>
          <w:sz w:val="32"/>
          <w:szCs w:val="32"/>
        </w:rPr>
        <w:t>4.吸收或变相吸收存款，或向第三方提供贷款和资金拆借（以股权投资为目的的可转债除外，但不得从事明股实债）；</w:t>
      </w:r>
    </w:p>
    <w:p w14:paraId="1CAE5A5F">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5.进行承担无限连带责任的对外投资； </w:t>
      </w:r>
    </w:p>
    <w:p w14:paraId="59325F2B">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6.发行信托或集合理财产品募集资金；</w:t>
      </w:r>
    </w:p>
    <w:p w14:paraId="433DB34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7.用于其他国家法律法规禁止从事的业务。</w:t>
      </w:r>
    </w:p>
    <w:p w14:paraId="602D3AB5">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（四）闲置资金管理</w:t>
      </w:r>
    </w:p>
    <w:p w14:paraId="399BE95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eastAsia="仿宋_GB2312"/>
          <w:sz w:val="32"/>
          <w:szCs w:val="32"/>
        </w:rPr>
        <w:t>子基金的闲置资金只能投资于银行存款、国债、政策性金融债和政府支持债券等安全性和流动性较好的资产。</w:t>
      </w:r>
    </w:p>
    <w:p w14:paraId="0C5C77A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（五）资金托管</w:t>
      </w:r>
    </w:p>
    <w:p w14:paraId="46A85400">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rPr>
      </w:pPr>
      <w:r>
        <w:rPr>
          <w:rFonts w:hint="eastAsia" w:ascii="仿宋_GB2312" w:hAnsi="仿宋_GB2312" w:eastAsia="仿宋_GB2312" w:cs="仿宋_GB2312"/>
          <w:sz w:val="32"/>
        </w:rPr>
        <w:t>子基金资产应委托一家在中国境内设立、具有合法资质且具有基金托管经验的商业银行进行托管，并优先选择入驻宝安区金融超市的银行作为托管银行。</w:t>
      </w:r>
    </w:p>
    <w:p w14:paraId="1D9AC72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rPr>
      </w:pPr>
      <w:r>
        <w:rPr>
          <w:rFonts w:hint="eastAsia" w:ascii="仿宋_GB2312" w:eastAsia="仿宋_GB2312"/>
          <w:sz w:val="32"/>
        </w:rPr>
        <w:t>托管银行接受子基金委托并签订资金托管协议，按照托管协议开展资产保管、资金拨付和结算等日常工作，对托管资金进行动态监管，确保子基金按约定方向投资，并定期向受托管理机构提交资金收支情况报告。</w:t>
      </w:r>
    </w:p>
    <w:p w14:paraId="613CDC6F">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（六）出资条件</w:t>
      </w:r>
    </w:p>
    <w:p w14:paraId="69985B59">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rPr>
      </w:pPr>
      <w:r>
        <w:rPr>
          <w:rFonts w:hint="eastAsia" w:ascii="仿宋_GB2312" w:eastAsia="仿宋_GB2312"/>
          <w:sz w:val="32"/>
        </w:rPr>
        <w:t>向子基金出资时，当期出资款总额的</w:t>
      </w:r>
      <w:r>
        <w:rPr>
          <w:rFonts w:ascii="仿宋_GB2312" w:eastAsia="仿宋_GB2312"/>
          <w:sz w:val="32"/>
        </w:rPr>
        <w:t>60%</w:t>
      </w:r>
      <w:r>
        <w:rPr>
          <w:rFonts w:hint="eastAsia" w:ascii="仿宋_GB2312" w:eastAsia="仿宋_GB2312"/>
          <w:sz w:val="32"/>
        </w:rPr>
        <w:t>到位后，</w:t>
      </w:r>
      <w:r>
        <w:rPr>
          <w:rFonts w:hint="eastAsia" w:ascii="仿宋_GB2312" w:hAnsi="微软雅黑" w:eastAsia="仿宋_GB2312" w:cs="宋体"/>
          <w:kern w:val="0"/>
          <w:sz w:val="32"/>
          <w:szCs w:val="32"/>
          <w:lang w:eastAsia="zh-CN"/>
        </w:rPr>
        <w:t>宝安区产业投资引导基金</w:t>
      </w:r>
      <w:r>
        <w:rPr>
          <w:rFonts w:hint="eastAsia" w:ascii="仿宋_GB2312" w:eastAsia="仿宋_GB2312"/>
          <w:sz w:val="32"/>
        </w:rPr>
        <w:t>可按基金合同、合伙协议约定或公司章程规定将出资额拨付至子基金账户。</w:t>
      </w:r>
    </w:p>
    <w:p w14:paraId="7681F562">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（七）代表委派</w:t>
      </w:r>
    </w:p>
    <w:p w14:paraId="76485AB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szCs w:val="32"/>
        </w:rPr>
      </w:pPr>
      <w:r>
        <w:rPr>
          <w:rFonts w:hint="eastAsia" w:ascii="仿宋_GB2312" w:hAnsi="微软雅黑" w:eastAsia="仿宋_GB2312" w:cs="宋体"/>
          <w:kern w:val="0"/>
          <w:sz w:val="32"/>
          <w:szCs w:val="32"/>
          <w:lang w:eastAsia="zh-CN"/>
        </w:rPr>
        <w:t>宝安区产业投资引导基金</w:t>
      </w:r>
      <w:r>
        <w:rPr>
          <w:rFonts w:hint="eastAsia" w:ascii="仿宋_GB2312" w:eastAsia="仿宋_GB2312"/>
          <w:sz w:val="32"/>
          <w:szCs w:val="32"/>
        </w:rPr>
        <w:t>行使出资人权利、不参与子基金的日常管理，但有权向子基金派出代表，监督子基金的投资和运作，按照相关协议及《宝安区产业投资引导基金管理办法》（</w:t>
      </w:r>
      <w:r>
        <w:rPr>
          <w:rFonts w:hint="eastAsia" w:ascii="仿宋_GB2312" w:hAnsi="微软雅黑" w:eastAsia="仿宋_GB2312" w:cs="宋体"/>
          <w:kern w:val="0"/>
          <w:sz w:val="32"/>
          <w:szCs w:val="32"/>
        </w:rPr>
        <w:t>以下简称“《</w:t>
      </w:r>
      <w:r>
        <w:rPr>
          <w:rFonts w:hint="eastAsia" w:ascii="仿宋_GB2312" w:eastAsia="仿宋_GB2312"/>
          <w:sz w:val="32"/>
          <w:szCs w:val="32"/>
        </w:rPr>
        <w:t>管理办法</w:t>
      </w:r>
      <w:r>
        <w:rPr>
          <w:rFonts w:hint="eastAsia" w:ascii="仿宋_GB2312" w:hAnsi="微软雅黑" w:eastAsia="仿宋_GB2312" w:cs="宋体"/>
          <w:kern w:val="0"/>
          <w:sz w:val="32"/>
          <w:szCs w:val="32"/>
        </w:rPr>
        <w:t>》”</w:t>
      </w:r>
      <w:r>
        <w:rPr>
          <w:rFonts w:hint="eastAsia" w:ascii="仿宋_GB2312" w:eastAsia="仿宋_GB2312"/>
          <w:sz w:val="32"/>
          <w:szCs w:val="32"/>
        </w:rPr>
        <w:t>）、《宝安区产业投资引导基金管理办法基金投资业务实施细则》（以下简称“《实施细则》”）等规定的政策目标，对子基金拟投资项目是否符合《管理办法》、《实施细则》及基金合同、合伙协议或公司章程等进行合规性审查，经</w:t>
      </w:r>
      <w:r>
        <w:rPr>
          <w:rFonts w:hint="eastAsia" w:ascii="仿宋_GB2312" w:hAnsi="微软雅黑" w:eastAsia="仿宋_GB2312" w:cs="宋体"/>
          <w:kern w:val="0"/>
          <w:sz w:val="32"/>
          <w:szCs w:val="32"/>
          <w:lang w:eastAsia="zh-CN"/>
        </w:rPr>
        <w:t>宝安区产业投资引导基金</w:t>
      </w:r>
      <w:r>
        <w:rPr>
          <w:rFonts w:hint="eastAsia" w:ascii="仿宋_GB2312" w:eastAsia="仿宋_GB2312"/>
          <w:sz w:val="32"/>
          <w:szCs w:val="32"/>
        </w:rPr>
        <w:t>确认存在违反约定情况的可行使一票否决权。</w:t>
      </w:r>
    </w:p>
    <w:p w14:paraId="1FC09950">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（八）</w:t>
      </w:r>
      <w:r>
        <w:rPr>
          <w:rFonts w:hint="eastAsia" w:ascii="楷体" w:hAnsi="楷体" w:eastAsia="楷体" w:cs="楷体"/>
          <w:sz w:val="32"/>
          <w:szCs w:val="32"/>
          <w:lang w:eastAsia="zh-CN"/>
        </w:rPr>
        <w:t>宝安区产业投资引导基金</w:t>
      </w:r>
      <w:r>
        <w:rPr>
          <w:rFonts w:hint="eastAsia" w:ascii="楷体" w:hAnsi="楷体" w:eastAsia="楷体" w:cs="楷体"/>
          <w:sz w:val="32"/>
          <w:szCs w:val="32"/>
        </w:rPr>
        <w:t>强制退出权</w:t>
      </w:r>
    </w:p>
    <w:p w14:paraId="7CE3F02A">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lang w:eastAsia="zh-CN"/>
        </w:rPr>
        <w:t>子基金出现以下情况之一的，宝安区产业投资引导基金有权提前退出：</w:t>
      </w:r>
    </w:p>
    <w:p w14:paraId="06DD417B">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1.子基金未按基金合同、合伙协议或公司章程投资且未能有效整改的；</w:t>
      </w:r>
    </w:p>
    <w:p w14:paraId="2EA3F4A9">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与子基金管理机构签订基金合同、合伙协议或公司章程后，子基金管理机构未按规定程序完成设立手续超过一年的；</w:t>
      </w:r>
    </w:p>
    <w:p w14:paraId="2115C240">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出资资金拨付至子基金账户后，子基金未开展投资业务超过一年的；</w:t>
      </w:r>
    </w:p>
    <w:p w14:paraId="69CFB73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4.子基金投资项目不符合宝安区或《管理办法》规定的政策导向的；</w:t>
      </w:r>
    </w:p>
    <w:p w14:paraId="6F109855">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.子基金管理机构发生实质性变化的。</w:t>
      </w:r>
    </w:p>
    <w:p w14:paraId="005516AE">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退出价格按照基金合同、合伙协议约定或公司章程规定的方式计算，</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有权要求收回投资本金及同期全国银行间同业拆借中心公布的贷款市场报价利率（LPR）计算之和，如有收益分成部分，按照投资协议约定享有收益分配。</w:t>
      </w:r>
    </w:p>
    <w:p w14:paraId="54B3B04A">
      <w:pPr>
        <w:keepNext w:val="0"/>
        <w:keepLines w:val="0"/>
        <w:pageBreakBefore w:val="0"/>
        <w:kinsoku/>
        <w:wordWrap/>
        <w:topLinePunct w:val="0"/>
        <w:autoSpaceDE w:val="0"/>
        <w:autoSpaceDN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Times New Roman" w:eastAsia="仿宋_GB2312" w:cs="仿宋_GB2312"/>
          <w:kern w:val="0"/>
          <w:sz w:val="32"/>
          <w:szCs w:val="32"/>
        </w:rPr>
        <w:t>子基金设立方案自公示期结束且无异议之日起超过半年，子基金管理机构或其关联方仍未与</w:t>
      </w:r>
      <w:r>
        <w:rPr>
          <w:rFonts w:hint="eastAsia" w:ascii="仿宋_GB2312" w:hAnsi="Times New Roman" w:eastAsia="仿宋_GB2312" w:cs="仿宋_GB2312"/>
          <w:kern w:val="0"/>
          <w:sz w:val="32"/>
          <w:szCs w:val="32"/>
          <w:lang w:eastAsia="zh-CN"/>
        </w:rPr>
        <w:t>宝安区产业投资引导基金</w:t>
      </w:r>
      <w:r>
        <w:rPr>
          <w:rFonts w:hint="eastAsia" w:ascii="仿宋_GB2312" w:hAnsi="Times New Roman" w:eastAsia="仿宋_GB2312" w:cs="仿宋_GB2312"/>
          <w:kern w:val="0"/>
          <w:sz w:val="32"/>
          <w:szCs w:val="32"/>
        </w:rPr>
        <w:t>签署基金合伙协议或公司章程的，</w:t>
      </w:r>
      <w:r>
        <w:rPr>
          <w:rFonts w:hint="eastAsia" w:ascii="仿宋_GB2312" w:hAnsi="Times New Roman" w:eastAsia="仿宋_GB2312" w:cs="仿宋_GB2312"/>
          <w:kern w:val="0"/>
          <w:sz w:val="32"/>
          <w:szCs w:val="32"/>
          <w:lang w:eastAsia="zh-CN"/>
        </w:rPr>
        <w:t>宝安区产业投资引导基金</w:t>
      </w:r>
      <w:r>
        <w:rPr>
          <w:rFonts w:hint="eastAsia" w:ascii="仿宋_GB2312" w:hAnsi="Times New Roman" w:eastAsia="仿宋_GB2312" w:cs="仿宋_GB2312"/>
          <w:kern w:val="0"/>
          <w:sz w:val="32"/>
          <w:szCs w:val="32"/>
        </w:rPr>
        <w:t>有权视相关投资决策文件失效。</w:t>
      </w:r>
    </w:p>
    <w:p w14:paraId="533DC191">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（九）信息披露</w:t>
      </w:r>
    </w:p>
    <w:p w14:paraId="5EC2DDD9">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eastAsia="仿宋_GB2312"/>
          <w:sz w:val="32"/>
        </w:rPr>
      </w:pPr>
      <w:r>
        <w:rPr>
          <w:rFonts w:hint="eastAsia" w:ascii="仿宋_GB2312" w:eastAsia="仿宋_GB2312"/>
          <w:sz w:val="32"/>
        </w:rPr>
        <w:t>子基金管理机构应当建立基金重大事项披露制度。子基金管理机构应当在每个季度结束后</w:t>
      </w:r>
      <w:r>
        <w:rPr>
          <w:rFonts w:ascii="仿宋_GB2312" w:eastAsia="仿宋_GB2312"/>
          <w:sz w:val="32"/>
        </w:rPr>
        <w:t>1</w:t>
      </w:r>
      <w:r>
        <w:rPr>
          <w:rFonts w:hint="eastAsia" w:ascii="仿宋_GB2312" w:eastAsia="仿宋_GB2312"/>
          <w:sz w:val="32"/>
        </w:rPr>
        <w:t>个半月内，向</w:t>
      </w:r>
      <w:r>
        <w:rPr>
          <w:rFonts w:hint="eastAsia" w:ascii="仿宋_GB2312" w:eastAsia="仿宋_GB2312"/>
          <w:sz w:val="32"/>
          <w:lang w:eastAsia="zh-CN"/>
        </w:rPr>
        <w:t>宝安区产业投资引导基金</w:t>
      </w:r>
      <w:r>
        <w:rPr>
          <w:rFonts w:hint="eastAsia" w:ascii="仿宋_GB2312" w:eastAsia="仿宋_GB2312"/>
          <w:sz w:val="32"/>
        </w:rPr>
        <w:t>提交上季度基金业务运作报告及资金托管报告；于每个会计年度结束后</w:t>
      </w:r>
      <w:r>
        <w:rPr>
          <w:rFonts w:ascii="仿宋_GB2312" w:eastAsia="仿宋_GB2312"/>
          <w:sz w:val="32"/>
        </w:rPr>
        <w:t>4</w:t>
      </w:r>
      <w:r>
        <w:rPr>
          <w:rFonts w:hint="eastAsia" w:ascii="仿宋_GB2312" w:eastAsia="仿宋_GB2312"/>
          <w:sz w:val="32"/>
        </w:rPr>
        <w:t>个月内提交经会计师事务所审计的基金年度审计报告、基金年度运营报告及基金年度银行托管报告，</w:t>
      </w:r>
      <w:r>
        <w:rPr>
          <w:rFonts w:hint="eastAsia" w:ascii="仿宋_GB2312" w:eastAsia="仿宋_GB2312"/>
          <w:sz w:val="32"/>
          <w:lang w:eastAsia="zh-CN"/>
        </w:rPr>
        <w:t>宝安区产业投资引导基金</w:t>
      </w:r>
      <w:r>
        <w:rPr>
          <w:rFonts w:hint="eastAsia" w:ascii="仿宋_GB2312" w:eastAsia="仿宋_GB2312"/>
          <w:sz w:val="32"/>
        </w:rPr>
        <w:t>视工作需要可委托专业机构对子基金进行审计</w:t>
      </w:r>
      <w:r>
        <w:rPr>
          <w:rFonts w:hint="eastAsia" w:ascii="仿宋_GB2312" w:eastAsia="仿宋_GB2312"/>
          <w:sz w:val="32"/>
          <w:szCs w:val="32"/>
        </w:rPr>
        <w:t>。</w:t>
      </w:r>
    </w:p>
    <w:p w14:paraId="42E9B5C6">
      <w:pPr>
        <w:keepNext w:val="0"/>
        <w:keepLines w:val="0"/>
        <w:pageBreakBefore w:val="0"/>
        <w:kinsoku/>
        <w:wordWrap/>
        <w:topLinePunct w:val="0"/>
        <w:bidi w:val="0"/>
        <w:adjustRightInd w:val="0"/>
        <w:snapToGrid w:val="0"/>
        <w:spacing w:line="560" w:lineRule="exact"/>
        <w:ind w:left="0" w:right="0" w:firstLine="640" w:firstLineChars="200"/>
        <w:jc w:val="both"/>
        <w:textAlignment w:val="auto"/>
      </w:pPr>
      <w:r>
        <w:rPr>
          <w:rFonts w:ascii="楷体" w:hAnsi="楷体" w:eastAsia="楷体" w:cs="楷体"/>
          <w:sz w:val="32"/>
          <w:szCs w:val="32"/>
        </w:rPr>
        <w:t>（十）其他</w:t>
      </w:r>
    </w:p>
    <w:p w14:paraId="717CEE48">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rFonts w:hAnsi="Calibri" w:cs="Times New Roman"/>
          <w:kern w:val="2"/>
          <w:lang w:eastAsia="zh-CN"/>
        </w:rPr>
      </w:pPr>
      <w:r>
        <w:rPr>
          <w:rFonts w:hAnsi="Calibri" w:cs="Times New Roman"/>
          <w:kern w:val="2"/>
          <w:lang w:eastAsia="zh-CN"/>
        </w:rPr>
        <w:t>为落实督查、审计等监管部门要求，子基金在投资运营过程中应：</w:t>
      </w:r>
    </w:p>
    <w:p w14:paraId="565ABDE8">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rFonts w:hAnsi="Calibri" w:cs="Times New Roman"/>
          <w:kern w:val="2"/>
          <w:lang w:eastAsia="zh-CN"/>
        </w:rPr>
      </w:pPr>
      <w:r>
        <w:rPr>
          <w:rFonts w:hAnsi="Calibri" w:cs="Times New Roman"/>
          <w:kern w:val="2"/>
          <w:lang w:eastAsia="zh-CN"/>
        </w:rPr>
        <w:t>1</w:t>
      </w:r>
      <w:r>
        <w:rPr>
          <w:rFonts w:hint="eastAsia" w:hAnsi="Calibri" w:cs="Times New Roman"/>
          <w:kern w:val="2"/>
          <w:lang w:eastAsia="zh-CN"/>
        </w:rPr>
        <w:t>.</w:t>
      </w:r>
      <w:r>
        <w:rPr>
          <w:rFonts w:hAnsi="Calibri" w:cs="Times New Roman"/>
          <w:kern w:val="2"/>
          <w:lang w:eastAsia="zh-CN"/>
        </w:rPr>
        <w:t>坚持合规运营。子基金在募、投、管、退等环节均应严格遵守国家及有关部门（发改委、财政部、证监会、中基协等）所颁布关于创业投资基金、私募股权投资基金的各项法律法规政策和行业自律规则，确保子基金在合规方面“零风险”，同时，接受、配合审计、督查工作。</w:t>
      </w:r>
    </w:p>
    <w:p w14:paraId="383D341F">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rFonts w:hAnsi="Calibri" w:cs="Times New Roman"/>
          <w:kern w:val="2"/>
          <w:lang w:eastAsia="zh-CN"/>
        </w:rPr>
      </w:pPr>
      <w:r>
        <w:rPr>
          <w:rFonts w:hAnsi="Calibri" w:cs="Times New Roman"/>
          <w:kern w:val="2"/>
          <w:lang w:eastAsia="zh-CN"/>
        </w:rPr>
        <w:t>2</w:t>
      </w:r>
      <w:r>
        <w:rPr>
          <w:rFonts w:hint="eastAsia" w:hAnsi="Calibri" w:cs="Times New Roman"/>
          <w:kern w:val="2"/>
          <w:lang w:eastAsia="zh-CN"/>
        </w:rPr>
        <w:t>.</w:t>
      </w:r>
      <w:r>
        <w:rPr>
          <w:rFonts w:hAnsi="Calibri" w:cs="Times New Roman"/>
          <w:kern w:val="2"/>
          <w:lang w:eastAsia="zh-CN"/>
        </w:rPr>
        <w:t>合理安排缴款。子基金应</w:t>
      </w:r>
      <w:r>
        <w:rPr>
          <w:rFonts w:hint="eastAsia" w:hAnsi="Calibri" w:cs="Times New Roman"/>
          <w:kern w:val="2"/>
          <w:lang w:eastAsia="zh-CN"/>
        </w:rPr>
        <w:t>合理制定</w:t>
      </w:r>
      <w:r>
        <w:rPr>
          <w:rFonts w:hAnsi="Calibri" w:cs="Times New Roman"/>
          <w:kern w:val="2"/>
          <w:lang w:eastAsia="zh-CN"/>
        </w:rPr>
        <w:t>缴款计划，</w:t>
      </w:r>
      <w:r>
        <w:rPr>
          <w:rFonts w:hint="eastAsia" w:hAnsi="Calibri" w:cs="Times New Roman"/>
          <w:kern w:val="2"/>
          <w:lang w:eastAsia="zh-CN"/>
        </w:rPr>
        <w:t>充分考虑各出资人出资进展和投资需求，</w:t>
      </w:r>
      <w:r>
        <w:rPr>
          <w:rFonts w:hAnsi="Calibri" w:cs="Times New Roman"/>
          <w:kern w:val="2"/>
          <w:lang w:eastAsia="zh-CN"/>
        </w:rPr>
        <w:t>提高缴款计划准确率，</w:t>
      </w:r>
      <w:r>
        <w:rPr>
          <w:rFonts w:hint="eastAsia" w:hAnsi="Calibri" w:cs="Times New Roman"/>
          <w:kern w:val="2"/>
          <w:lang w:eastAsia="zh-CN"/>
        </w:rPr>
        <w:t>避免</w:t>
      </w:r>
      <w:r>
        <w:rPr>
          <w:rFonts w:hAnsi="Calibri" w:cs="Times New Roman"/>
          <w:kern w:val="2"/>
          <w:lang w:eastAsia="zh-CN"/>
        </w:rPr>
        <w:t>子基金账户存在大量可用于投资的结存资金。</w:t>
      </w:r>
    </w:p>
    <w:p w14:paraId="27BDE8B1">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lang w:eastAsia="zh-CN"/>
        </w:rPr>
      </w:pPr>
      <w:r>
        <w:rPr>
          <w:rFonts w:hAnsi="Calibri" w:cs="Times New Roman"/>
          <w:kern w:val="2"/>
          <w:lang w:eastAsia="zh-CN"/>
        </w:rPr>
        <w:t>3</w:t>
      </w:r>
      <w:r>
        <w:rPr>
          <w:rFonts w:hint="eastAsia" w:hAnsi="Calibri" w:cs="Times New Roman"/>
          <w:kern w:val="2"/>
          <w:lang w:eastAsia="zh-CN"/>
        </w:rPr>
        <w:t>.</w:t>
      </w:r>
      <w:r>
        <w:rPr>
          <w:rFonts w:hAnsi="Calibri" w:cs="Times New Roman"/>
          <w:kern w:val="2"/>
          <w:lang w:eastAsia="zh-CN"/>
        </w:rPr>
        <w:t>稳步推进投资。子基金时序进度、投资进度以及</w:t>
      </w:r>
      <w:r>
        <w:rPr>
          <w:rFonts w:hint="eastAsia" w:hAnsi="Calibri" w:cs="Times New Roman"/>
          <w:kern w:val="2"/>
          <w:lang w:eastAsia="zh-CN"/>
        </w:rPr>
        <w:t>宝安区产业投资引导基金</w:t>
      </w:r>
      <w:r>
        <w:rPr>
          <w:rFonts w:hAnsi="Calibri" w:cs="Times New Roman"/>
          <w:kern w:val="2"/>
          <w:lang w:eastAsia="zh-CN"/>
        </w:rPr>
        <w:t>政策目标完成度应保持总体一致。</w:t>
      </w:r>
    </w:p>
    <w:p w14:paraId="4B9E229F">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rFonts w:hAnsi="Calibri" w:cs="Times New Roman"/>
          <w:kern w:val="2"/>
          <w:lang w:eastAsia="zh-CN"/>
        </w:rPr>
      </w:pPr>
      <w:r>
        <w:rPr>
          <w:rFonts w:hAnsi="Calibri" w:cs="Times New Roman"/>
          <w:kern w:val="2"/>
          <w:lang w:eastAsia="zh-CN"/>
        </w:rPr>
        <w:t>4</w:t>
      </w:r>
      <w:r>
        <w:rPr>
          <w:rFonts w:hint="eastAsia" w:hAnsi="Calibri" w:cs="Times New Roman"/>
          <w:kern w:val="2"/>
          <w:lang w:eastAsia="zh-CN"/>
        </w:rPr>
        <w:t>.聚焦产业方向。子基金应重点投向符合国家及深圳市鼓励发展的战略性新兴产业和未来产业。</w:t>
      </w:r>
    </w:p>
    <w:p w14:paraId="7ABE0357">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lang w:eastAsia="zh-CN"/>
        </w:rPr>
      </w:pPr>
      <w:r>
        <w:rPr>
          <w:rFonts w:hint="eastAsia" w:hAnsi="Calibri" w:cs="Times New Roman"/>
          <w:kern w:val="2"/>
          <w:lang w:eastAsia="zh-CN"/>
        </w:rPr>
        <w:t>5.接受绩效评价。</w:t>
      </w:r>
      <w:r>
        <w:rPr>
          <w:w w:val="99"/>
          <w:lang w:eastAsia="zh-CN"/>
        </w:rPr>
        <w:t>子</w:t>
      </w:r>
      <w:r>
        <w:rPr>
          <w:spacing w:val="2"/>
          <w:w w:val="99"/>
          <w:lang w:eastAsia="zh-CN"/>
        </w:rPr>
        <w:t>基</w:t>
      </w:r>
      <w:r>
        <w:rPr>
          <w:w w:val="99"/>
          <w:lang w:eastAsia="zh-CN"/>
        </w:rPr>
        <w:t>金管</w:t>
      </w:r>
      <w:r>
        <w:rPr>
          <w:spacing w:val="2"/>
          <w:w w:val="99"/>
          <w:lang w:eastAsia="zh-CN"/>
        </w:rPr>
        <w:t>理</w:t>
      </w:r>
      <w:r>
        <w:rPr>
          <w:w w:val="99"/>
          <w:lang w:eastAsia="zh-CN"/>
        </w:rPr>
        <w:t>机构</w:t>
      </w:r>
      <w:r>
        <w:rPr>
          <w:spacing w:val="2"/>
          <w:w w:val="99"/>
          <w:lang w:eastAsia="zh-CN"/>
        </w:rPr>
        <w:t>须</w:t>
      </w:r>
      <w:r>
        <w:rPr>
          <w:w w:val="99"/>
          <w:lang w:eastAsia="zh-CN"/>
        </w:rPr>
        <w:t>接受</w:t>
      </w:r>
      <w:r>
        <w:rPr>
          <w:rFonts w:hint="eastAsia"/>
          <w:w w:val="99"/>
          <w:lang w:eastAsia="zh-CN"/>
        </w:rPr>
        <w:t>并配合</w:t>
      </w:r>
      <w:r>
        <w:rPr>
          <w:rFonts w:hint="eastAsia"/>
          <w:spacing w:val="2"/>
          <w:w w:val="99"/>
          <w:lang w:eastAsia="zh-CN"/>
        </w:rPr>
        <w:t>宝安区产业投资引导基金</w:t>
      </w:r>
      <w:r>
        <w:rPr>
          <w:rFonts w:hint="eastAsia"/>
          <w:w w:val="99"/>
          <w:lang w:eastAsia="zh-CN"/>
        </w:rPr>
        <w:t>对子基金开展</w:t>
      </w:r>
      <w:r>
        <w:rPr>
          <w:w w:val="99"/>
          <w:lang w:eastAsia="zh-CN"/>
        </w:rPr>
        <w:t>绩</w:t>
      </w:r>
      <w:r>
        <w:rPr>
          <w:spacing w:val="2"/>
          <w:w w:val="99"/>
          <w:lang w:eastAsia="zh-CN"/>
        </w:rPr>
        <w:t>效</w:t>
      </w:r>
      <w:r>
        <w:rPr>
          <w:w w:val="99"/>
          <w:lang w:eastAsia="zh-CN"/>
        </w:rPr>
        <w:t>评价</w:t>
      </w:r>
      <w:r>
        <w:rPr>
          <w:spacing w:val="-58"/>
          <w:w w:val="99"/>
          <w:lang w:eastAsia="zh-CN"/>
        </w:rPr>
        <w:t>，</w:t>
      </w:r>
      <w:r>
        <w:rPr>
          <w:spacing w:val="2"/>
          <w:w w:val="99"/>
          <w:lang w:eastAsia="zh-CN"/>
        </w:rPr>
        <w:t>绩</w:t>
      </w:r>
      <w:r>
        <w:rPr>
          <w:w w:val="99"/>
          <w:lang w:eastAsia="zh-CN"/>
        </w:rPr>
        <w:t>效评</w:t>
      </w:r>
      <w:r>
        <w:rPr>
          <w:spacing w:val="2"/>
          <w:w w:val="99"/>
          <w:lang w:eastAsia="zh-CN"/>
        </w:rPr>
        <w:t>价</w:t>
      </w:r>
      <w:r>
        <w:rPr>
          <w:w w:val="99"/>
          <w:lang w:eastAsia="zh-CN"/>
        </w:rPr>
        <w:t>结果</w:t>
      </w:r>
      <w:r>
        <w:rPr>
          <w:rFonts w:hint="eastAsia"/>
          <w:w w:val="99"/>
          <w:lang w:eastAsia="zh-CN"/>
        </w:rPr>
        <w:t>作为计提</w:t>
      </w:r>
      <w:r>
        <w:rPr>
          <w:w w:val="99"/>
          <w:lang w:eastAsia="zh-CN"/>
        </w:rPr>
        <w:t>管</w:t>
      </w:r>
      <w:r>
        <w:rPr>
          <w:spacing w:val="2"/>
          <w:w w:val="99"/>
          <w:lang w:eastAsia="zh-CN"/>
        </w:rPr>
        <w:t>理</w:t>
      </w:r>
      <w:r>
        <w:rPr>
          <w:w w:val="99"/>
          <w:lang w:eastAsia="zh-CN"/>
        </w:rPr>
        <w:t>费</w:t>
      </w:r>
      <w:r>
        <w:rPr>
          <w:rFonts w:hint="eastAsia"/>
          <w:w w:val="99"/>
          <w:lang w:eastAsia="zh-CN"/>
        </w:rPr>
        <w:t>、后续合作等的重要依据</w:t>
      </w:r>
      <w:r>
        <w:rPr>
          <w:rFonts w:hint="eastAsia"/>
          <w:spacing w:val="-58"/>
          <w:w w:val="99"/>
          <w:lang w:eastAsia="zh-CN"/>
        </w:rPr>
        <w:t>，</w:t>
      </w:r>
      <w:r>
        <w:rPr>
          <w:spacing w:val="2"/>
          <w:w w:val="99"/>
          <w:lang w:eastAsia="zh-CN"/>
        </w:rPr>
        <w:t>具体以</w:t>
      </w:r>
      <w:r>
        <w:rPr>
          <w:rFonts w:hint="eastAsia"/>
          <w:spacing w:val="2"/>
          <w:w w:val="99"/>
          <w:lang w:eastAsia="zh-CN"/>
        </w:rPr>
        <w:t>宝安区产业投资引导基金市场化子基金绩效考核评价</w:t>
      </w:r>
      <w:r>
        <w:rPr>
          <w:rFonts w:hint="eastAsia"/>
          <w:spacing w:val="2"/>
          <w:w w:val="99"/>
          <w:lang w:val="en-US" w:eastAsia="zh-CN"/>
        </w:rPr>
        <w:t>相关</w:t>
      </w:r>
      <w:r>
        <w:rPr>
          <w:rFonts w:hint="eastAsia"/>
          <w:spacing w:val="2"/>
          <w:w w:val="99"/>
          <w:lang w:eastAsia="zh-CN"/>
        </w:rPr>
        <w:t>规定</w:t>
      </w:r>
      <w:r>
        <w:rPr>
          <w:spacing w:val="2"/>
          <w:w w:val="99"/>
          <w:lang w:eastAsia="zh-CN"/>
        </w:rPr>
        <w:t>为准。</w:t>
      </w:r>
    </w:p>
    <w:p w14:paraId="080DDCFC">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黑体" w:hAnsi="黑体" w:eastAsia="黑体"/>
          <w:sz w:val="32"/>
          <w:szCs w:val="32"/>
        </w:rPr>
      </w:pPr>
      <w:r>
        <w:rPr>
          <w:rFonts w:hint="eastAsia" w:ascii="黑体" w:hAnsi="黑体" w:eastAsia="黑体"/>
          <w:sz w:val="32"/>
          <w:szCs w:val="32"/>
        </w:rPr>
        <w:t>五、子基金管理机构遴选机制及程序</w:t>
      </w:r>
    </w:p>
    <w:p w14:paraId="458693E3">
      <w:pPr>
        <w:pStyle w:val="4"/>
        <w:keepNext w:val="0"/>
        <w:keepLines w:val="0"/>
        <w:pageBreakBefore w:val="0"/>
        <w:kinsoku/>
        <w:wordWrap/>
        <w:topLinePunct w:val="0"/>
        <w:bidi w:val="0"/>
        <w:adjustRightInd w:val="0"/>
        <w:snapToGrid w:val="0"/>
        <w:spacing w:before="0" w:line="560" w:lineRule="exact"/>
        <w:ind w:left="0" w:right="0" w:firstLine="640" w:firstLineChars="200"/>
        <w:jc w:val="both"/>
        <w:textAlignment w:val="auto"/>
        <w:rPr>
          <w:lang w:eastAsia="zh-CN"/>
        </w:rPr>
      </w:pPr>
      <w:r>
        <w:rPr>
          <w:rFonts w:hint="eastAsia" w:hAnsi="Calibri" w:cs="Times New Roman"/>
          <w:kern w:val="2"/>
          <w:lang w:eastAsia="zh-CN"/>
        </w:rPr>
        <w:t>根据《管理办法》及《实施细则》规定，由深圳市宝安区深创投投资运营有限公司（以下简称“深创投宝安”）按照规定负责开展遴选工作，具体程序如下：</w:t>
      </w:r>
    </w:p>
    <w:p w14:paraId="67543D73">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（一）公开遴选</w:t>
      </w:r>
    </w:p>
    <w:p w14:paraId="24EB302D">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仿宋_GB2312" w:eastAsia="仿宋_GB2312"/>
          <w:sz w:val="32"/>
          <w:szCs w:val="32"/>
        </w:rPr>
        <w:t>深创投宝安</w:t>
      </w:r>
      <w:r>
        <w:rPr>
          <w:rFonts w:hint="eastAsia" w:ascii="仿宋_GB2312" w:hAnsi="仿宋_GB2312" w:eastAsia="仿宋_GB2312" w:cs="仿宋"/>
          <w:sz w:val="32"/>
          <w:szCs w:val="32"/>
        </w:rPr>
        <w:t>按照管委会批准（或后续调整）的年度投资计划，面向社会公开发布申报指南。</w:t>
      </w:r>
    </w:p>
    <w:p w14:paraId="58A19BCE">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楷体" w:hAnsi="楷体" w:eastAsia="楷体" w:cs="楷体"/>
          <w:sz w:val="32"/>
          <w:szCs w:val="32"/>
        </w:rPr>
        <w:t>（二）提交申请</w:t>
      </w:r>
    </w:p>
    <w:p w14:paraId="04FBFA03">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仿宋_GB2312" w:hAnsi="仿宋_GB2312" w:eastAsia="仿宋_GB2312" w:cs="仿宋"/>
          <w:sz w:val="32"/>
          <w:szCs w:val="32"/>
        </w:rPr>
        <w:t>拟申请</w:t>
      </w:r>
      <w:r>
        <w:rPr>
          <w:rFonts w:hint="eastAsia" w:ascii="仿宋_GB2312" w:hAnsi="仿宋_GB2312" w:eastAsia="仿宋_GB2312" w:cs="仿宋"/>
          <w:sz w:val="32"/>
          <w:szCs w:val="32"/>
          <w:lang w:eastAsia="zh-CN"/>
        </w:rPr>
        <w:t>宝安区产业投资引导基金</w:t>
      </w:r>
      <w:r>
        <w:rPr>
          <w:rFonts w:hint="eastAsia" w:ascii="仿宋_GB2312" w:hAnsi="仿宋_GB2312" w:eastAsia="仿宋_GB2312" w:cs="仿宋"/>
          <w:sz w:val="32"/>
          <w:szCs w:val="32"/>
        </w:rPr>
        <w:t>出资的申请机构根据申报指南要求，编制基金申请方案及相关证明材料进行申报。</w:t>
      </w:r>
    </w:p>
    <w:p w14:paraId="37D9A423">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(三)资质审查及初审立项</w:t>
      </w:r>
    </w:p>
    <w:p w14:paraId="4B5664C4">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仿宋_GB2312" w:hAnsi="仿宋_GB2312" w:eastAsia="仿宋_GB2312" w:cs="仿宋"/>
          <w:sz w:val="32"/>
          <w:szCs w:val="32"/>
        </w:rPr>
        <w:t>申请材料报送至</w:t>
      </w:r>
      <w:r>
        <w:rPr>
          <w:rFonts w:hint="eastAsia" w:ascii="仿宋_GB2312" w:eastAsia="仿宋_GB2312"/>
          <w:sz w:val="32"/>
          <w:szCs w:val="32"/>
          <w:lang w:eastAsia="zh-CN"/>
        </w:rPr>
        <w:t>宝安区产业投资引导基金</w:t>
      </w:r>
      <w:r>
        <w:rPr>
          <w:rFonts w:hint="eastAsia" w:ascii="仿宋_GB2312" w:hAnsi="仿宋_GB2312" w:eastAsia="仿宋_GB2312" w:cs="仿宋"/>
          <w:sz w:val="32"/>
          <w:szCs w:val="32"/>
        </w:rPr>
        <w:t>后，由</w:t>
      </w:r>
      <w:r>
        <w:rPr>
          <w:rFonts w:hint="eastAsia" w:ascii="仿宋_GB2312" w:eastAsia="仿宋_GB2312"/>
          <w:sz w:val="32"/>
          <w:szCs w:val="32"/>
        </w:rPr>
        <w:t>深创投宝安</w:t>
      </w:r>
      <w:r>
        <w:rPr>
          <w:rFonts w:hint="eastAsia" w:ascii="仿宋_GB2312" w:hAnsi="仿宋_GB2312" w:eastAsia="仿宋_GB2312" w:cs="仿宋"/>
          <w:sz w:val="32"/>
          <w:szCs w:val="32"/>
        </w:rPr>
        <w:t>对提交的材料内容进行完备性及资质审查，并对审查合格的申请方案予以立项。</w:t>
      </w:r>
    </w:p>
    <w:p w14:paraId="4C336FF0">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(四)尽职调查</w:t>
      </w:r>
    </w:p>
    <w:p w14:paraId="41F4E311">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仿宋_GB2312" w:hAnsi="仿宋_GB2312" w:eastAsia="仿宋_GB2312" w:cs="仿宋"/>
          <w:sz w:val="32"/>
          <w:szCs w:val="32"/>
        </w:rPr>
        <w:t>立项通过的，由</w:t>
      </w:r>
      <w:r>
        <w:rPr>
          <w:rFonts w:hint="eastAsia" w:ascii="仿宋_GB2312" w:eastAsia="仿宋_GB2312"/>
          <w:sz w:val="32"/>
          <w:szCs w:val="32"/>
        </w:rPr>
        <w:t>深创投宝安</w:t>
      </w:r>
      <w:r>
        <w:rPr>
          <w:rFonts w:hint="eastAsia" w:ascii="仿宋_GB2312" w:hAnsi="仿宋_GB2312" w:eastAsia="仿宋_GB2312" w:cs="仿宋"/>
          <w:sz w:val="32"/>
          <w:szCs w:val="32"/>
        </w:rPr>
        <w:t>独立或委托第三方专业机构对申请机构、管理机构开展尽职调查。</w:t>
      </w:r>
    </w:p>
    <w:p w14:paraId="0625CDF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(五)核心条款谈判</w:t>
      </w:r>
    </w:p>
    <w:p w14:paraId="07D6277F">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仿宋_GB2312" w:eastAsia="仿宋_GB2312"/>
          <w:sz w:val="32"/>
          <w:szCs w:val="32"/>
        </w:rPr>
        <w:t>深创投宝安</w:t>
      </w:r>
      <w:r>
        <w:rPr>
          <w:rFonts w:hint="eastAsia" w:ascii="仿宋_GB2312" w:hAnsi="仿宋_GB2312" w:eastAsia="仿宋_GB2312" w:cs="仿宋"/>
          <w:sz w:val="32"/>
          <w:szCs w:val="32"/>
        </w:rPr>
        <w:t>与申请机构就核心条款及投资条件开展磋商谈判，核心条款和投资条件包括但不限于：认缴金额与比例、出资方式、出资条件、管理费与收益分配机制、风险控制措施等。</w:t>
      </w:r>
    </w:p>
    <w:p w14:paraId="5AED2DB8">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（六）专家评审</w:t>
      </w:r>
    </w:p>
    <w:p w14:paraId="094EFF9B">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sz w:val="32"/>
          <w:szCs w:val="32"/>
        </w:rPr>
      </w:pPr>
      <w:r>
        <w:rPr>
          <w:rFonts w:hint="eastAsia" w:ascii="仿宋_GB2312" w:hAnsi="仿宋_GB2312" w:eastAsia="仿宋_GB2312" w:cs="仿宋"/>
          <w:sz w:val="32"/>
          <w:szCs w:val="32"/>
        </w:rPr>
        <w:t>完成项目尽调及核心条款谈判后，由</w:t>
      </w:r>
      <w:r>
        <w:rPr>
          <w:rFonts w:hint="eastAsia" w:ascii="仿宋_GB2312" w:eastAsia="仿宋_GB2312"/>
          <w:sz w:val="32"/>
          <w:szCs w:val="32"/>
        </w:rPr>
        <w:t>深创投宝安</w:t>
      </w:r>
      <w:r>
        <w:rPr>
          <w:rFonts w:hint="eastAsia" w:ascii="仿宋_GB2312" w:hAnsi="仿宋_GB2312" w:eastAsia="仿宋_GB2312" w:cs="仿宋"/>
          <w:sz w:val="32"/>
          <w:szCs w:val="32"/>
        </w:rPr>
        <w:t>组织开展专家评审工作。</w:t>
      </w:r>
    </w:p>
    <w:p w14:paraId="69FA13D9">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(七)投资决策</w:t>
      </w:r>
    </w:p>
    <w:p w14:paraId="4B992FB2">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
          <w:color w:val="000000"/>
          <w:sz w:val="32"/>
          <w:szCs w:val="32"/>
        </w:rPr>
      </w:pPr>
      <w:r>
        <w:rPr>
          <w:rFonts w:hint="eastAsia" w:ascii="仿宋_GB2312" w:hAnsi="仿宋_GB2312" w:eastAsia="仿宋_GB2312" w:cs="仿宋"/>
          <w:sz w:val="32"/>
          <w:szCs w:val="32"/>
        </w:rPr>
        <w:t>专家评审结束后，如基金条款和投资条件符合《管理办法》、《实施细则》相关规定，由</w:t>
      </w:r>
      <w:r>
        <w:rPr>
          <w:rFonts w:hint="eastAsia" w:ascii="仿宋_GB2312" w:eastAsia="仿宋_GB2312"/>
          <w:sz w:val="32"/>
          <w:szCs w:val="32"/>
          <w:lang w:eastAsia="zh-CN"/>
        </w:rPr>
        <w:t>宝安区产业投资引导基金</w:t>
      </w:r>
      <w:r>
        <w:rPr>
          <w:rFonts w:hint="eastAsia" w:ascii="仿宋_GB2312" w:eastAsia="仿宋_GB2312"/>
          <w:sz w:val="32"/>
          <w:szCs w:val="32"/>
        </w:rPr>
        <w:t>投资决策机构</w:t>
      </w:r>
      <w:r>
        <w:rPr>
          <w:rFonts w:hint="eastAsia" w:ascii="仿宋_GB2312" w:hAnsi="仿宋_GB2312" w:eastAsia="仿宋_GB2312" w:cs="仿宋"/>
          <w:sz w:val="32"/>
          <w:szCs w:val="32"/>
        </w:rPr>
        <w:t>结合专家评审意见及第三方尽调机构结论按投资决策要求进行决策，最终择优确定</w:t>
      </w:r>
      <w:r>
        <w:rPr>
          <w:rFonts w:hint="eastAsia" w:ascii="仿宋_GB2312" w:hAnsi="仿宋_GB2312" w:eastAsia="仿宋_GB2312" w:cs="仿宋"/>
          <w:sz w:val="32"/>
          <w:szCs w:val="32"/>
          <w:lang w:eastAsia="zh-CN"/>
        </w:rPr>
        <w:t>宝安区产业投资引导基金</w:t>
      </w:r>
      <w:r>
        <w:rPr>
          <w:rFonts w:hint="eastAsia" w:ascii="仿宋_GB2312" w:hAnsi="仿宋_GB2312" w:eastAsia="仿宋_GB2312" w:cs="仿宋"/>
          <w:sz w:val="32"/>
          <w:szCs w:val="32"/>
        </w:rPr>
        <w:t>出资方案和子基金管理机构。</w:t>
      </w:r>
    </w:p>
    <w:p w14:paraId="66E69CE6">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(八)社会公示</w:t>
      </w:r>
    </w:p>
    <w:p w14:paraId="21AE9877">
      <w:pPr>
        <w:keepNext w:val="0"/>
        <w:keepLines w:val="0"/>
        <w:pageBreakBefore w:val="0"/>
        <w:kinsoku/>
        <w:wordWrap/>
        <w:topLinePunct w:val="0"/>
        <w:bidi w:val="0"/>
        <w:adjustRightInd w:val="0"/>
        <w:snapToGrid w:val="0"/>
        <w:spacing w:line="560" w:lineRule="exact"/>
        <w:ind w:left="0" w:right="0" w:firstLine="640" w:firstLineChars="200"/>
        <w:jc w:val="both"/>
        <w:textAlignment w:val="auto"/>
        <w:rPr>
          <w:rFonts w:ascii="仿宋_GB2312" w:hAnsi="宋体" w:eastAsia="仿宋_GB2312" w:cs="宋体"/>
          <w:sz w:val="32"/>
          <w:szCs w:val="32"/>
        </w:rPr>
      </w:pPr>
      <w:r>
        <w:rPr>
          <w:rFonts w:hint="eastAsia" w:ascii="仿宋_GB2312" w:hAnsi="仿宋_GB2312" w:eastAsia="仿宋_GB2312" w:cs="仿宋_GB2312"/>
          <w:sz w:val="32"/>
          <w:szCs w:val="32"/>
        </w:rPr>
        <w:t>决策通过后，将在深圳市创新投资集团有限公司及宝安区财政局网站上对项目进行公示，公示期为5个工作日。公示有异议的，由</w:t>
      </w:r>
      <w:r>
        <w:rPr>
          <w:rFonts w:hint="eastAsia" w:ascii="仿宋_GB2312" w:eastAsia="仿宋_GB2312"/>
          <w:sz w:val="32"/>
          <w:szCs w:val="32"/>
        </w:rPr>
        <w:t>深创投宝安</w:t>
      </w:r>
      <w:r>
        <w:rPr>
          <w:rFonts w:hint="eastAsia" w:ascii="仿宋_GB2312" w:hAnsi="仿宋_GB2312" w:eastAsia="仿宋_GB2312" w:cs="仿宋_GB2312"/>
          <w:sz w:val="32"/>
          <w:szCs w:val="32"/>
        </w:rPr>
        <w:t>启动调查程序，调查后可消除异议的，进入下一阶段。调查后无法消除异议的，报项目决策机构再次审定是否继续推进。公示无异议的，</w:t>
      </w:r>
      <w:r>
        <w:rPr>
          <w:rFonts w:hint="eastAsia" w:ascii="仿宋_GB2312" w:eastAsia="仿宋_GB2312"/>
          <w:sz w:val="32"/>
          <w:szCs w:val="32"/>
        </w:rPr>
        <w:t>深创投宝安</w:t>
      </w:r>
      <w:r>
        <w:rPr>
          <w:rFonts w:hint="eastAsia" w:ascii="仿宋_GB2312" w:hAnsi="仿宋_GB2312" w:eastAsia="仿宋_GB2312" w:cs="仿宋_GB2312"/>
          <w:sz w:val="32"/>
          <w:szCs w:val="32"/>
        </w:rPr>
        <w:t>将</w:t>
      </w:r>
      <w:r>
        <w:rPr>
          <w:rFonts w:hint="eastAsia" w:ascii="仿宋_GB2312" w:hAnsi="宋体" w:eastAsia="仿宋_GB2312" w:cs="宋体"/>
          <w:sz w:val="32"/>
          <w:szCs w:val="32"/>
        </w:rPr>
        <w:t>与基金管理机构商谈、拟定、签署投资协议等法律文件，并进行资金拨付、投后管理程序。</w:t>
      </w:r>
    </w:p>
    <w:p w14:paraId="051F7E8F">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黑体" w:hAnsi="黑体" w:eastAsia="黑体"/>
          <w:sz w:val="32"/>
          <w:szCs w:val="32"/>
        </w:rPr>
      </w:pPr>
      <w:r>
        <w:rPr>
          <w:rFonts w:hint="eastAsia" w:ascii="黑体" w:hAnsi="黑体" w:eastAsia="黑体"/>
          <w:sz w:val="32"/>
          <w:szCs w:val="32"/>
        </w:rPr>
        <w:t>六、解释权</w:t>
      </w:r>
    </w:p>
    <w:p w14:paraId="4CAFB138">
      <w:pPr>
        <w:keepNext w:val="0"/>
        <w:keepLines w:val="0"/>
        <w:pageBreakBefore w:val="0"/>
        <w:widowControl/>
        <w:shd w:val="clear" w:color="auto" w:fill="FFFFFF"/>
        <w:kinsoku/>
        <w:wordWrap/>
        <w:topLinePunct w:val="0"/>
        <w:bidi w:val="0"/>
        <w:adjustRightInd w:val="0"/>
        <w:snapToGrid w:val="0"/>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本指南解释权归深创投宝安所有。</w:t>
      </w:r>
    </w:p>
    <w:sectPr>
      <w:footerReference r:id="rId3" w:type="default"/>
      <w:footerReference r:id="rId4" w:type="even"/>
      <w:pgSz w:w="11906" w:h="16838"/>
      <w:pgMar w:top="1588" w:right="1474" w:bottom="1474" w:left="1588" w:header="851" w:footer="124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0000000000000000000"/>
    <w:charset w:val="86"/>
    <w:family w:val="roman"/>
    <w:pitch w:val="default"/>
    <w:sig w:usb0="00000000" w:usb1="00000000" w:usb2="05000016" w:usb3="00000000" w:csb0="003E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BF58">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323"/>
                            <w:docPartObj>
                              <w:docPartGallery w:val="autotext"/>
                            </w:docPartObj>
                          </w:sdtPr>
                          <w:sdtContent>
                            <w:p w14:paraId="5E0F40FA">
                              <w:pPr>
                                <w:pStyle w:val="6"/>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14:paraId="0F0F00E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3323"/>
                      <w:docPartObj>
                        <w:docPartGallery w:val="autotext"/>
                      </w:docPartObj>
                    </w:sdtPr>
                    <w:sdtContent>
                      <w:p w14:paraId="5E0F40FA">
                        <w:pPr>
                          <w:pStyle w:val="6"/>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14:paraId="0F0F00E4"/>
                </w:txbxContent>
              </v:textbox>
            </v:shape>
          </w:pict>
        </mc:Fallback>
      </mc:AlternateContent>
    </w:r>
  </w:p>
  <w:p w14:paraId="4223C6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53C00A12">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sdtContent>
  </w:sdt>
  <w:p w14:paraId="5CCFE755"/>
  <w:p w14:paraId="0179A311"/>
  <w:p w14:paraId="2147FD76"/>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zc5YWNkYzJjN2U0MmRlYzMxYTNlM2EyYzRlOTAifQ=="/>
    <w:docVar w:name="KSO_WPS_MARK_KEY" w:val="64df8108-114e-4783-9b70-493e42af6f0e"/>
  </w:docVars>
  <w:rsids>
    <w:rsidRoot w:val="00565E0D"/>
    <w:rsid w:val="00002F9B"/>
    <w:rsid w:val="00004FE1"/>
    <w:rsid w:val="000103C5"/>
    <w:rsid w:val="0001136D"/>
    <w:rsid w:val="00014F90"/>
    <w:rsid w:val="000205FA"/>
    <w:rsid w:val="00025241"/>
    <w:rsid w:val="000268F6"/>
    <w:rsid w:val="00027264"/>
    <w:rsid w:val="00030C3B"/>
    <w:rsid w:val="000311AF"/>
    <w:rsid w:val="00033749"/>
    <w:rsid w:val="0003653E"/>
    <w:rsid w:val="0004611E"/>
    <w:rsid w:val="00046893"/>
    <w:rsid w:val="0004751D"/>
    <w:rsid w:val="000509AA"/>
    <w:rsid w:val="0005557E"/>
    <w:rsid w:val="0005719A"/>
    <w:rsid w:val="000735D8"/>
    <w:rsid w:val="00077352"/>
    <w:rsid w:val="000805C0"/>
    <w:rsid w:val="00082BD8"/>
    <w:rsid w:val="000836D4"/>
    <w:rsid w:val="00083E32"/>
    <w:rsid w:val="000879C9"/>
    <w:rsid w:val="000917DC"/>
    <w:rsid w:val="00097E70"/>
    <w:rsid w:val="000A31FC"/>
    <w:rsid w:val="000A4B7E"/>
    <w:rsid w:val="000A6B64"/>
    <w:rsid w:val="000B1716"/>
    <w:rsid w:val="000B22AD"/>
    <w:rsid w:val="000D11F1"/>
    <w:rsid w:val="000D262C"/>
    <w:rsid w:val="000D26E5"/>
    <w:rsid w:val="000E09AA"/>
    <w:rsid w:val="000F38D7"/>
    <w:rsid w:val="000F491E"/>
    <w:rsid w:val="000F6448"/>
    <w:rsid w:val="00100CFA"/>
    <w:rsid w:val="001011CE"/>
    <w:rsid w:val="00102144"/>
    <w:rsid w:val="001041C7"/>
    <w:rsid w:val="001106AA"/>
    <w:rsid w:val="00114D07"/>
    <w:rsid w:val="00125919"/>
    <w:rsid w:val="00125F06"/>
    <w:rsid w:val="00126E42"/>
    <w:rsid w:val="00130017"/>
    <w:rsid w:val="00134B71"/>
    <w:rsid w:val="00135A4E"/>
    <w:rsid w:val="00135D30"/>
    <w:rsid w:val="00136F16"/>
    <w:rsid w:val="0014081E"/>
    <w:rsid w:val="00143588"/>
    <w:rsid w:val="0014609A"/>
    <w:rsid w:val="001534FF"/>
    <w:rsid w:val="0015693B"/>
    <w:rsid w:val="00165C00"/>
    <w:rsid w:val="0017433A"/>
    <w:rsid w:val="00176222"/>
    <w:rsid w:val="00181239"/>
    <w:rsid w:val="00181307"/>
    <w:rsid w:val="00183429"/>
    <w:rsid w:val="001845F3"/>
    <w:rsid w:val="00191588"/>
    <w:rsid w:val="001924FA"/>
    <w:rsid w:val="001946DE"/>
    <w:rsid w:val="001A2C74"/>
    <w:rsid w:val="001A4415"/>
    <w:rsid w:val="001A5770"/>
    <w:rsid w:val="001B242C"/>
    <w:rsid w:val="001B394D"/>
    <w:rsid w:val="001B47D5"/>
    <w:rsid w:val="001B5627"/>
    <w:rsid w:val="001C29A6"/>
    <w:rsid w:val="001C32FE"/>
    <w:rsid w:val="001D37F5"/>
    <w:rsid w:val="001E2A21"/>
    <w:rsid w:val="001E4C5D"/>
    <w:rsid w:val="001E7ECC"/>
    <w:rsid w:val="001F091E"/>
    <w:rsid w:val="001F14E3"/>
    <w:rsid w:val="001F7729"/>
    <w:rsid w:val="00200E6C"/>
    <w:rsid w:val="00203363"/>
    <w:rsid w:val="002035C9"/>
    <w:rsid w:val="00203EBD"/>
    <w:rsid w:val="00207904"/>
    <w:rsid w:val="002104C4"/>
    <w:rsid w:val="00214270"/>
    <w:rsid w:val="00217ACE"/>
    <w:rsid w:val="00231114"/>
    <w:rsid w:val="00232F4B"/>
    <w:rsid w:val="00235B46"/>
    <w:rsid w:val="002448DD"/>
    <w:rsid w:val="002539C6"/>
    <w:rsid w:val="002559D2"/>
    <w:rsid w:val="00265A83"/>
    <w:rsid w:val="00266B2D"/>
    <w:rsid w:val="00266B30"/>
    <w:rsid w:val="002761E8"/>
    <w:rsid w:val="00280A2B"/>
    <w:rsid w:val="00280FF6"/>
    <w:rsid w:val="0028207B"/>
    <w:rsid w:val="00294C60"/>
    <w:rsid w:val="0029742D"/>
    <w:rsid w:val="002B13C0"/>
    <w:rsid w:val="002B25BB"/>
    <w:rsid w:val="002B5D0A"/>
    <w:rsid w:val="002B617A"/>
    <w:rsid w:val="002B78F4"/>
    <w:rsid w:val="002C0071"/>
    <w:rsid w:val="002C3F33"/>
    <w:rsid w:val="002E67CC"/>
    <w:rsid w:val="002E7337"/>
    <w:rsid w:val="002F3CF3"/>
    <w:rsid w:val="002F4B4F"/>
    <w:rsid w:val="003129F5"/>
    <w:rsid w:val="00312AF2"/>
    <w:rsid w:val="00320077"/>
    <w:rsid w:val="003209A5"/>
    <w:rsid w:val="00320CFD"/>
    <w:rsid w:val="00321391"/>
    <w:rsid w:val="003229E9"/>
    <w:rsid w:val="00332F9D"/>
    <w:rsid w:val="00332FFF"/>
    <w:rsid w:val="003344DB"/>
    <w:rsid w:val="00337F2D"/>
    <w:rsid w:val="00337FBC"/>
    <w:rsid w:val="00341C9B"/>
    <w:rsid w:val="00341FEE"/>
    <w:rsid w:val="003521DA"/>
    <w:rsid w:val="0035782F"/>
    <w:rsid w:val="00365552"/>
    <w:rsid w:val="003678C7"/>
    <w:rsid w:val="00370DE5"/>
    <w:rsid w:val="00371E76"/>
    <w:rsid w:val="00372BCA"/>
    <w:rsid w:val="00373849"/>
    <w:rsid w:val="003833E7"/>
    <w:rsid w:val="00387369"/>
    <w:rsid w:val="003A77FE"/>
    <w:rsid w:val="003B0E1B"/>
    <w:rsid w:val="003B2A59"/>
    <w:rsid w:val="003B2BEE"/>
    <w:rsid w:val="003C1071"/>
    <w:rsid w:val="003D29A0"/>
    <w:rsid w:val="003D31D7"/>
    <w:rsid w:val="003D3857"/>
    <w:rsid w:val="003D581D"/>
    <w:rsid w:val="003D72C1"/>
    <w:rsid w:val="003E204D"/>
    <w:rsid w:val="003E6C1D"/>
    <w:rsid w:val="003F0577"/>
    <w:rsid w:val="003F50D8"/>
    <w:rsid w:val="003F51E5"/>
    <w:rsid w:val="003F594C"/>
    <w:rsid w:val="003F5B2B"/>
    <w:rsid w:val="003F6FF3"/>
    <w:rsid w:val="0040184A"/>
    <w:rsid w:val="00404124"/>
    <w:rsid w:val="0040560C"/>
    <w:rsid w:val="00413481"/>
    <w:rsid w:val="00414080"/>
    <w:rsid w:val="00414373"/>
    <w:rsid w:val="00422C20"/>
    <w:rsid w:val="004303D5"/>
    <w:rsid w:val="00432623"/>
    <w:rsid w:val="004336D1"/>
    <w:rsid w:val="0044215E"/>
    <w:rsid w:val="0045110D"/>
    <w:rsid w:val="00453074"/>
    <w:rsid w:val="00453382"/>
    <w:rsid w:val="00455974"/>
    <w:rsid w:val="00456E32"/>
    <w:rsid w:val="004651E9"/>
    <w:rsid w:val="00467886"/>
    <w:rsid w:val="004732B0"/>
    <w:rsid w:val="004747ED"/>
    <w:rsid w:val="00480775"/>
    <w:rsid w:val="00480F88"/>
    <w:rsid w:val="004824F6"/>
    <w:rsid w:val="00485E90"/>
    <w:rsid w:val="004872CF"/>
    <w:rsid w:val="00487545"/>
    <w:rsid w:val="0049260D"/>
    <w:rsid w:val="0049290B"/>
    <w:rsid w:val="0049413B"/>
    <w:rsid w:val="004959E1"/>
    <w:rsid w:val="004A1E07"/>
    <w:rsid w:val="004A3C2A"/>
    <w:rsid w:val="004A5835"/>
    <w:rsid w:val="004B460F"/>
    <w:rsid w:val="004B5BE2"/>
    <w:rsid w:val="004B6F3F"/>
    <w:rsid w:val="004C47F1"/>
    <w:rsid w:val="004C502D"/>
    <w:rsid w:val="004C5224"/>
    <w:rsid w:val="004C7F30"/>
    <w:rsid w:val="004D3A15"/>
    <w:rsid w:val="004E049E"/>
    <w:rsid w:val="004E7C83"/>
    <w:rsid w:val="004F4F61"/>
    <w:rsid w:val="00502173"/>
    <w:rsid w:val="00506AC7"/>
    <w:rsid w:val="005106DF"/>
    <w:rsid w:val="00511AC4"/>
    <w:rsid w:val="00513306"/>
    <w:rsid w:val="005142BC"/>
    <w:rsid w:val="00514894"/>
    <w:rsid w:val="00520DEB"/>
    <w:rsid w:val="00524B39"/>
    <w:rsid w:val="0052767B"/>
    <w:rsid w:val="00531F79"/>
    <w:rsid w:val="00537BAA"/>
    <w:rsid w:val="00537CAD"/>
    <w:rsid w:val="00546BDB"/>
    <w:rsid w:val="0055058A"/>
    <w:rsid w:val="005528F4"/>
    <w:rsid w:val="005621C8"/>
    <w:rsid w:val="00565E0D"/>
    <w:rsid w:val="005711DA"/>
    <w:rsid w:val="00575081"/>
    <w:rsid w:val="00582A7A"/>
    <w:rsid w:val="005872A1"/>
    <w:rsid w:val="005971E7"/>
    <w:rsid w:val="00597EAF"/>
    <w:rsid w:val="005A12F1"/>
    <w:rsid w:val="005A2451"/>
    <w:rsid w:val="005A4905"/>
    <w:rsid w:val="005B4FF3"/>
    <w:rsid w:val="005C0601"/>
    <w:rsid w:val="005C070D"/>
    <w:rsid w:val="005C4D2E"/>
    <w:rsid w:val="005C6E1B"/>
    <w:rsid w:val="005D3D9C"/>
    <w:rsid w:val="005E5A01"/>
    <w:rsid w:val="005F3B6B"/>
    <w:rsid w:val="005F5A20"/>
    <w:rsid w:val="00600A9E"/>
    <w:rsid w:val="00602B41"/>
    <w:rsid w:val="00614C37"/>
    <w:rsid w:val="00615224"/>
    <w:rsid w:val="00615BF0"/>
    <w:rsid w:val="0061675F"/>
    <w:rsid w:val="00617EE5"/>
    <w:rsid w:val="00620F85"/>
    <w:rsid w:val="006224D4"/>
    <w:rsid w:val="0062407E"/>
    <w:rsid w:val="00627606"/>
    <w:rsid w:val="00635EC0"/>
    <w:rsid w:val="0064114F"/>
    <w:rsid w:val="006517BC"/>
    <w:rsid w:val="006709DC"/>
    <w:rsid w:val="00671B9D"/>
    <w:rsid w:val="00674350"/>
    <w:rsid w:val="00680BE0"/>
    <w:rsid w:val="00682959"/>
    <w:rsid w:val="006875E1"/>
    <w:rsid w:val="00691415"/>
    <w:rsid w:val="006957D3"/>
    <w:rsid w:val="006960B7"/>
    <w:rsid w:val="006A2FB8"/>
    <w:rsid w:val="006A6A7C"/>
    <w:rsid w:val="006B11B3"/>
    <w:rsid w:val="006B1DA0"/>
    <w:rsid w:val="006B537E"/>
    <w:rsid w:val="006B746B"/>
    <w:rsid w:val="006B7D58"/>
    <w:rsid w:val="006C64FA"/>
    <w:rsid w:val="006D6D22"/>
    <w:rsid w:val="006E12FA"/>
    <w:rsid w:val="006E2B2F"/>
    <w:rsid w:val="006E50A0"/>
    <w:rsid w:val="006E5E92"/>
    <w:rsid w:val="006F01BA"/>
    <w:rsid w:val="00705E8A"/>
    <w:rsid w:val="00712F7A"/>
    <w:rsid w:val="00716DDF"/>
    <w:rsid w:val="00724693"/>
    <w:rsid w:val="007247F0"/>
    <w:rsid w:val="00724A1A"/>
    <w:rsid w:val="00726385"/>
    <w:rsid w:val="00737F0F"/>
    <w:rsid w:val="00741AEA"/>
    <w:rsid w:val="0074480A"/>
    <w:rsid w:val="007461FC"/>
    <w:rsid w:val="007466F5"/>
    <w:rsid w:val="00752C30"/>
    <w:rsid w:val="00752E65"/>
    <w:rsid w:val="00756514"/>
    <w:rsid w:val="00756C85"/>
    <w:rsid w:val="00763D81"/>
    <w:rsid w:val="00766064"/>
    <w:rsid w:val="00766294"/>
    <w:rsid w:val="00766CFD"/>
    <w:rsid w:val="00767B52"/>
    <w:rsid w:val="00767BF0"/>
    <w:rsid w:val="00770453"/>
    <w:rsid w:val="00772DE3"/>
    <w:rsid w:val="00774405"/>
    <w:rsid w:val="007757B4"/>
    <w:rsid w:val="00780048"/>
    <w:rsid w:val="007848E0"/>
    <w:rsid w:val="00795996"/>
    <w:rsid w:val="00797AB9"/>
    <w:rsid w:val="007A1422"/>
    <w:rsid w:val="007A1DD4"/>
    <w:rsid w:val="007A32C3"/>
    <w:rsid w:val="007A39C8"/>
    <w:rsid w:val="007A6A94"/>
    <w:rsid w:val="007B238C"/>
    <w:rsid w:val="007B2BD3"/>
    <w:rsid w:val="007C1BA8"/>
    <w:rsid w:val="007C3E2A"/>
    <w:rsid w:val="007C79F0"/>
    <w:rsid w:val="007D42DD"/>
    <w:rsid w:val="007D4434"/>
    <w:rsid w:val="007D71B2"/>
    <w:rsid w:val="007D7EBB"/>
    <w:rsid w:val="007E255E"/>
    <w:rsid w:val="007E51FC"/>
    <w:rsid w:val="007E7C74"/>
    <w:rsid w:val="007E7F19"/>
    <w:rsid w:val="007F1DFA"/>
    <w:rsid w:val="007F7A4A"/>
    <w:rsid w:val="00815C1C"/>
    <w:rsid w:val="00822EA1"/>
    <w:rsid w:val="00824801"/>
    <w:rsid w:val="008278F9"/>
    <w:rsid w:val="00832AE4"/>
    <w:rsid w:val="008334BE"/>
    <w:rsid w:val="008347BD"/>
    <w:rsid w:val="008405EC"/>
    <w:rsid w:val="0084240A"/>
    <w:rsid w:val="008432F5"/>
    <w:rsid w:val="0084688A"/>
    <w:rsid w:val="00863379"/>
    <w:rsid w:val="00872299"/>
    <w:rsid w:val="00880DE3"/>
    <w:rsid w:val="00881CDB"/>
    <w:rsid w:val="00882001"/>
    <w:rsid w:val="0088451F"/>
    <w:rsid w:val="00885124"/>
    <w:rsid w:val="008936A8"/>
    <w:rsid w:val="00893D3D"/>
    <w:rsid w:val="008A1899"/>
    <w:rsid w:val="008B320D"/>
    <w:rsid w:val="008B39ED"/>
    <w:rsid w:val="008C2ABD"/>
    <w:rsid w:val="008C6C97"/>
    <w:rsid w:val="008D3037"/>
    <w:rsid w:val="008D76C0"/>
    <w:rsid w:val="008E0377"/>
    <w:rsid w:val="008E27DE"/>
    <w:rsid w:val="008E2B62"/>
    <w:rsid w:val="008E4754"/>
    <w:rsid w:val="008E5FF8"/>
    <w:rsid w:val="008F0F06"/>
    <w:rsid w:val="008F3E69"/>
    <w:rsid w:val="008F618B"/>
    <w:rsid w:val="0090799E"/>
    <w:rsid w:val="0091211E"/>
    <w:rsid w:val="009127C3"/>
    <w:rsid w:val="00914521"/>
    <w:rsid w:val="00917066"/>
    <w:rsid w:val="009205B6"/>
    <w:rsid w:val="0092724E"/>
    <w:rsid w:val="00933B7B"/>
    <w:rsid w:val="009417D7"/>
    <w:rsid w:val="00944D86"/>
    <w:rsid w:val="0094546E"/>
    <w:rsid w:val="009475A7"/>
    <w:rsid w:val="009558F2"/>
    <w:rsid w:val="009617F0"/>
    <w:rsid w:val="009624D2"/>
    <w:rsid w:val="00963217"/>
    <w:rsid w:val="009636E2"/>
    <w:rsid w:val="00967BB9"/>
    <w:rsid w:val="00971264"/>
    <w:rsid w:val="00972928"/>
    <w:rsid w:val="009838F6"/>
    <w:rsid w:val="00994CE7"/>
    <w:rsid w:val="009A136F"/>
    <w:rsid w:val="009A2898"/>
    <w:rsid w:val="009A30B0"/>
    <w:rsid w:val="009A6E5F"/>
    <w:rsid w:val="009A719F"/>
    <w:rsid w:val="009B6A2C"/>
    <w:rsid w:val="009B6E45"/>
    <w:rsid w:val="009C0317"/>
    <w:rsid w:val="009C6A5F"/>
    <w:rsid w:val="009D0E2A"/>
    <w:rsid w:val="009D3A79"/>
    <w:rsid w:val="009D47E2"/>
    <w:rsid w:val="009D79EF"/>
    <w:rsid w:val="009E119A"/>
    <w:rsid w:val="009E5E25"/>
    <w:rsid w:val="009F593D"/>
    <w:rsid w:val="00A0393E"/>
    <w:rsid w:val="00A060F7"/>
    <w:rsid w:val="00A06D3F"/>
    <w:rsid w:val="00A12BF9"/>
    <w:rsid w:val="00A15397"/>
    <w:rsid w:val="00A22C0D"/>
    <w:rsid w:val="00A25D07"/>
    <w:rsid w:val="00A26AB2"/>
    <w:rsid w:val="00A27C63"/>
    <w:rsid w:val="00A32190"/>
    <w:rsid w:val="00A373F3"/>
    <w:rsid w:val="00A40532"/>
    <w:rsid w:val="00A56789"/>
    <w:rsid w:val="00A629F0"/>
    <w:rsid w:val="00A62EFD"/>
    <w:rsid w:val="00A64D1B"/>
    <w:rsid w:val="00A657BE"/>
    <w:rsid w:val="00A673DE"/>
    <w:rsid w:val="00A67FB0"/>
    <w:rsid w:val="00A7184A"/>
    <w:rsid w:val="00A73619"/>
    <w:rsid w:val="00A73C83"/>
    <w:rsid w:val="00A86DFB"/>
    <w:rsid w:val="00A94703"/>
    <w:rsid w:val="00A95479"/>
    <w:rsid w:val="00A963E0"/>
    <w:rsid w:val="00AA37AD"/>
    <w:rsid w:val="00AA3F41"/>
    <w:rsid w:val="00AA424D"/>
    <w:rsid w:val="00AB3C7C"/>
    <w:rsid w:val="00AB553C"/>
    <w:rsid w:val="00AB5CC8"/>
    <w:rsid w:val="00AC472D"/>
    <w:rsid w:val="00AC4AA4"/>
    <w:rsid w:val="00AC6FED"/>
    <w:rsid w:val="00AD35AF"/>
    <w:rsid w:val="00AD4D69"/>
    <w:rsid w:val="00AD7A6B"/>
    <w:rsid w:val="00AE190D"/>
    <w:rsid w:val="00AE5567"/>
    <w:rsid w:val="00AE6BED"/>
    <w:rsid w:val="00AF7B7A"/>
    <w:rsid w:val="00B030C3"/>
    <w:rsid w:val="00B0455A"/>
    <w:rsid w:val="00B049CC"/>
    <w:rsid w:val="00B06662"/>
    <w:rsid w:val="00B16E4F"/>
    <w:rsid w:val="00B238F9"/>
    <w:rsid w:val="00B24314"/>
    <w:rsid w:val="00B36005"/>
    <w:rsid w:val="00B43924"/>
    <w:rsid w:val="00B455F6"/>
    <w:rsid w:val="00B51B7B"/>
    <w:rsid w:val="00B5228E"/>
    <w:rsid w:val="00B527B8"/>
    <w:rsid w:val="00B542F7"/>
    <w:rsid w:val="00B70719"/>
    <w:rsid w:val="00B70BB4"/>
    <w:rsid w:val="00B71F56"/>
    <w:rsid w:val="00B72E65"/>
    <w:rsid w:val="00B7516A"/>
    <w:rsid w:val="00B80BD8"/>
    <w:rsid w:val="00BA01CB"/>
    <w:rsid w:val="00BA17A5"/>
    <w:rsid w:val="00BB2A35"/>
    <w:rsid w:val="00BB6248"/>
    <w:rsid w:val="00BC3A0E"/>
    <w:rsid w:val="00BC3D57"/>
    <w:rsid w:val="00BC4B35"/>
    <w:rsid w:val="00BC5F99"/>
    <w:rsid w:val="00BC7B87"/>
    <w:rsid w:val="00BD15AC"/>
    <w:rsid w:val="00BD77DD"/>
    <w:rsid w:val="00BE17A7"/>
    <w:rsid w:val="00BE1890"/>
    <w:rsid w:val="00BF0682"/>
    <w:rsid w:val="00C07F95"/>
    <w:rsid w:val="00C132D8"/>
    <w:rsid w:val="00C13A1C"/>
    <w:rsid w:val="00C16752"/>
    <w:rsid w:val="00C3119D"/>
    <w:rsid w:val="00C33CC5"/>
    <w:rsid w:val="00C3434F"/>
    <w:rsid w:val="00C406FE"/>
    <w:rsid w:val="00C42D17"/>
    <w:rsid w:val="00C47137"/>
    <w:rsid w:val="00C4715E"/>
    <w:rsid w:val="00C60056"/>
    <w:rsid w:val="00C677C5"/>
    <w:rsid w:val="00C81985"/>
    <w:rsid w:val="00C91833"/>
    <w:rsid w:val="00C92445"/>
    <w:rsid w:val="00CA125B"/>
    <w:rsid w:val="00CA3F72"/>
    <w:rsid w:val="00CA639D"/>
    <w:rsid w:val="00CA6ED3"/>
    <w:rsid w:val="00CB2F16"/>
    <w:rsid w:val="00CC0DDC"/>
    <w:rsid w:val="00CC2DFE"/>
    <w:rsid w:val="00CC507C"/>
    <w:rsid w:val="00CD0894"/>
    <w:rsid w:val="00CD5A4F"/>
    <w:rsid w:val="00CE2AC1"/>
    <w:rsid w:val="00CE652E"/>
    <w:rsid w:val="00CF3ADB"/>
    <w:rsid w:val="00CF4ABF"/>
    <w:rsid w:val="00D038A1"/>
    <w:rsid w:val="00D07760"/>
    <w:rsid w:val="00D11BAB"/>
    <w:rsid w:val="00D13BB0"/>
    <w:rsid w:val="00D17BDC"/>
    <w:rsid w:val="00D230F0"/>
    <w:rsid w:val="00D234F7"/>
    <w:rsid w:val="00D23BDC"/>
    <w:rsid w:val="00D27C51"/>
    <w:rsid w:val="00D319D1"/>
    <w:rsid w:val="00D31E41"/>
    <w:rsid w:val="00D34F60"/>
    <w:rsid w:val="00D35DA1"/>
    <w:rsid w:val="00D417FB"/>
    <w:rsid w:val="00D42B0C"/>
    <w:rsid w:val="00D44A75"/>
    <w:rsid w:val="00D459DB"/>
    <w:rsid w:val="00D51D42"/>
    <w:rsid w:val="00D52251"/>
    <w:rsid w:val="00D559F6"/>
    <w:rsid w:val="00D57679"/>
    <w:rsid w:val="00D672EC"/>
    <w:rsid w:val="00D74B25"/>
    <w:rsid w:val="00D754BB"/>
    <w:rsid w:val="00D7586F"/>
    <w:rsid w:val="00D81477"/>
    <w:rsid w:val="00D92333"/>
    <w:rsid w:val="00D9380C"/>
    <w:rsid w:val="00DA01C0"/>
    <w:rsid w:val="00DA3633"/>
    <w:rsid w:val="00DA3A6C"/>
    <w:rsid w:val="00DA3F0B"/>
    <w:rsid w:val="00DA4BE9"/>
    <w:rsid w:val="00DA6EFB"/>
    <w:rsid w:val="00DB097E"/>
    <w:rsid w:val="00DB1F42"/>
    <w:rsid w:val="00DB1F72"/>
    <w:rsid w:val="00DC3DDB"/>
    <w:rsid w:val="00DD0D67"/>
    <w:rsid w:val="00DD4D4D"/>
    <w:rsid w:val="00DE757C"/>
    <w:rsid w:val="00DE7B85"/>
    <w:rsid w:val="00E01C5B"/>
    <w:rsid w:val="00E05BF6"/>
    <w:rsid w:val="00E10452"/>
    <w:rsid w:val="00E160DF"/>
    <w:rsid w:val="00E16A01"/>
    <w:rsid w:val="00E20B9D"/>
    <w:rsid w:val="00E30DAB"/>
    <w:rsid w:val="00E3345F"/>
    <w:rsid w:val="00E33952"/>
    <w:rsid w:val="00E43EA5"/>
    <w:rsid w:val="00E51E2C"/>
    <w:rsid w:val="00E52C2C"/>
    <w:rsid w:val="00E53169"/>
    <w:rsid w:val="00E539D4"/>
    <w:rsid w:val="00E545EB"/>
    <w:rsid w:val="00E65A97"/>
    <w:rsid w:val="00E661DE"/>
    <w:rsid w:val="00E67F34"/>
    <w:rsid w:val="00E70EC8"/>
    <w:rsid w:val="00E7432F"/>
    <w:rsid w:val="00E75E0D"/>
    <w:rsid w:val="00E765F3"/>
    <w:rsid w:val="00E90AF0"/>
    <w:rsid w:val="00E90C6E"/>
    <w:rsid w:val="00E921F2"/>
    <w:rsid w:val="00E941B5"/>
    <w:rsid w:val="00E9550B"/>
    <w:rsid w:val="00E97524"/>
    <w:rsid w:val="00EA43BE"/>
    <w:rsid w:val="00EA4E67"/>
    <w:rsid w:val="00EC3D4C"/>
    <w:rsid w:val="00EC5D67"/>
    <w:rsid w:val="00ED050F"/>
    <w:rsid w:val="00ED0CA9"/>
    <w:rsid w:val="00EE1343"/>
    <w:rsid w:val="00EE4EF7"/>
    <w:rsid w:val="00EF080B"/>
    <w:rsid w:val="00EF1BC9"/>
    <w:rsid w:val="00EF551B"/>
    <w:rsid w:val="00F0622B"/>
    <w:rsid w:val="00F06E37"/>
    <w:rsid w:val="00F11780"/>
    <w:rsid w:val="00F2102A"/>
    <w:rsid w:val="00F22A9B"/>
    <w:rsid w:val="00F25CBF"/>
    <w:rsid w:val="00F31EFF"/>
    <w:rsid w:val="00F36D25"/>
    <w:rsid w:val="00F37359"/>
    <w:rsid w:val="00F41B96"/>
    <w:rsid w:val="00F42145"/>
    <w:rsid w:val="00F452DF"/>
    <w:rsid w:val="00F537C1"/>
    <w:rsid w:val="00F54110"/>
    <w:rsid w:val="00F54600"/>
    <w:rsid w:val="00F6324C"/>
    <w:rsid w:val="00F70D3A"/>
    <w:rsid w:val="00F76F1C"/>
    <w:rsid w:val="00F831C8"/>
    <w:rsid w:val="00F84D03"/>
    <w:rsid w:val="00F85F2B"/>
    <w:rsid w:val="00F90C96"/>
    <w:rsid w:val="00FA4169"/>
    <w:rsid w:val="00FA4389"/>
    <w:rsid w:val="00FA7E4B"/>
    <w:rsid w:val="00FB133A"/>
    <w:rsid w:val="00FB64B8"/>
    <w:rsid w:val="00FC3621"/>
    <w:rsid w:val="00FD315D"/>
    <w:rsid w:val="00FD449D"/>
    <w:rsid w:val="00FD6C13"/>
    <w:rsid w:val="00FE5396"/>
    <w:rsid w:val="00FF0B61"/>
    <w:rsid w:val="00FF505C"/>
    <w:rsid w:val="05D84CA5"/>
    <w:rsid w:val="09DE67B4"/>
    <w:rsid w:val="0AEE08D7"/>
    <w:rsid w:val="14194124"/>
    <w:rsid w:val="158954E4"/>
    <w:rsid w:val="15F9198D"/>
    <w:rsid w:val="1CB21067"/>
    <w:rsid w:val="1CF01837"/>
    <w:rsid w:val="22384334"/>
    <w:rsid w:val="253F6583"/>
    <w:rsid w:val="2565568C"/>
    <w:rsid w:val="26057982"/>
    <w:rsid w:val="28985B45"/>
    <w:rsid w:val="2A6F3AD2"/>
    <w:rsid w:val="2BCF5A14"/>
    <w:rsid w:val="2C6C2D9B"/>
    <w:rsid w:val="2F8A1F5C"/>
    <w:rsid w:val="33BA63EC"/>
    <w:rsid w:val="3C143807"/>
    <w:rsid w:val="3FB6BD13"/>
    <w:rsid w:val="40A23390"/>
    <w:rsid w:val="414841AF"/>
    <w:rsid w:val="4339522A"/>
    <w:rsid w:val="440A3726"/>
    <w:rsid w:val="44D5259E"/>
    <w:rsid w:val="45FC4DD9"/>
    <w:rsid w:val="4A320FEB"/>
    <w:rsid w:val="4BC9197F"/>
    <w:rsid w:val="4D102B55"/>
    <w:rsid w:val="4E630603"/>
    <w:rsid w:val="4E823677"/>
    <w:rsid w:val="4F7B4D5E"/>
    <w:rsid w:val="551E6806"/>
    <w:rsid w:val="55496982"/>
    <w:rsid w:val="571231AA"/>
    <w:rsid w:val="5BAC6181"/>
    <w:rsid w:val="5FDA2CFC"/>
    <w:rsid w:val="60AC0C40"/>
    <w:rsid w:val="610539B6"/>
    <w:rsid w:val="64F6708B"/>
    <w:rsid w:val="65B02953"/>
    <w:rsid w:val="65DB2ACD"/>
    <w:rsid w:val="67AF50D7"/>
    <w:rsid w:val="69CB10A2"/>
    <w:rsid w:val="6D7753A8"/>
    <w:rsid w:val="6FEDF0ED"/>
    <w:rsid w:val="775A72B3"/>
    <w:rsid w:val="7A5A1035"/>
    <w:rsid w:val="7AD7365B"/>
    <w:rsid w:val="7CAF4459"/>
    <w:rsid w:val="7DE20C95"/>
    <w:rsid w:val="7F7733B7"/>
    <w:rsid w:val="7FBB07DD"/>
    <w:rsid w:val="7FE65231"/>
    <w:rsid w:val="BCDB4229"/>
    <w:rsid w:val="BF7FD7B9"/>
    <w:rsid w:val="CFDB946E"/>
    <w:rsid w:val="E9B7355B"/>
    <w:rsid w:val="ECED1750"/>
    <w:rsid w:val="EFBDCE7A"/>
    <w:rsid w:val="FB716BC2"/>
    <w:rsid w:val="FFB667FB"/>
    <w:rsid w:val="FFDEA009"/>
    <w:rsid w:val="FFE7D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autoSpaceDE w:val="0"/>
      <w:autoSpaceDN w:val="0"/>
      <w:spacing w:before="31"/>
      <w:ind w:left="737"/>
      <w:jc w:val="left"/>
      <w:outlineLvl w:val="0"/>
    </w:pPr>
    <w:rPr>
      <w:rFonts w:ascii="楷体" w:hAnsi="楷体" w:eastAsia="楷体" w:cs="楷体"/>
      <w:b/>
      <w:bCs/>
      <w:kern w:val="0"/>
      <w:sz w:val="32"/>
      <w:szCs w:val="32"/>
      <w:lang w:eastAsia="en-U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ody Text"/>
    <w:basedOn w:val="1"/>
    <w:link w:val="22"/>
    <w:qFormat/>
    <w:uiPriority w:val="1"/>
    <w:pPr>
      <w:autoSpaceDE w:val="0"/>
      <w:autoSpaceDN w:val="0"/>
      <w:spacing w:before="140"/>
      <w:ind w:left="111"/>
      <w:jc w:val="left"/>
    </w:pPr>
    <w:rPr>
      <w:rFonts w:ascii="仿宋_GB2312" w:hAnsi="仿宋_GB2312" w:eastAsia="仿宋_GB2312" w:cs="仿宋_GB2312"/>
      <w:kern w:val="0"/>
      <w:sz w:val="32"/>
      <w:szCs w:val="32"/>
      <w:lang w:eastAsia="en-US"/>
    </w:rPr>
  </w:style>
  <w:style w:type="paragraph" w:styleId="5">
    <w:name w:val="Balloon Text"/>
    <w:basedOn w:val="1"/>
    <w:link w:val="20"/>
    <w:semiHidden/>
    <w:unhideWhenUsed/>
    <w:qFormat/>
    <w:uiPriority w:val="99"/>
    <w:rPr>
      <w:rFonts w:ascii="宋体"/>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彩色列表 - 着色 11"/>
    <w:basedOn w:val="1"/>
    <w:qFormat/>
    <w:uiPriority w:val="34"/>
    <w:pPr>
      <w:spacing w:line="440" w:lineRule="exact"/>
      <w:ind w:firstLine="420" w:firstLineChars="200"/>
    </w:pPr>
    <w:rPr>
      <w:rFonts w:ascii="Arial" w:hAnsi="Arial"/>
      <w:szCs w:val="24"/>
    </w:rPr>
  </w:style>
  <w:style w:type="character" w:customStyle="1" w:styleId="15">
    <w:name w:val="页眉 字符"/>
    <w:basedOn w:val="11"/>
    <w:link w:val="7"/>
    <w:qFormat/>
    <w:uiPriority w:val="99"/>
    <w:rPr>
      <w:rFonts w:ascii="Calibri" w:hAnsi="Calibri" w:eastAsia="宋体" w:cs="Times New Roman"/>
      <w:sz w:val="18"/>
      <w:szCs w:val="18"/>
    </w:rPr>
  </w:style>
  <w:style w:type="character" w:customStyle="1" w:styleId="16">
    <w:name w:val="页脚 字符"/>
    <w:basedOn w:val="11"/>
    <w:link w:val="6"/>
    <w:qFormat/>
    <w:uiPriority w:val="99"/>
    <w:rPr>
      <w:rFonts w:ascii="Calibri" w:hAnsi="Calibri" w:eastAsia="宋体" w:cs="Times New Roman"/>
      <w:sz w:val="18"/>
      <w:szCs w:val="18"/>
    </w:rPr>
  </w:style>
  <w:style w:type="paragraph" w:customStyle="1" w:styleId="17">
    <w:name w:val="_Style 1"/>
    <w:basedOn w:val="1"/>
    <w:qFormat/>
    <w:uiPriority w:val="34"/>
    <w:pPr>
      <w:ind w:firstLine="420" w:firstLineChars="200"/>
    </w:pPr>
    <w:rPr>
      <w:szCs w:val="24"/>
    </w:rPr>
  </w:style>
  <w:style w:type="character" w:customStyle="1" w:styleId="18">
    <w:name w:val="批注文字 字符"/>
    <w:basedOn w:val="11"/>
    <w:link w:val="3"/>
    <w:semiHidden/>
    <w:qFormat/>
    <w:uiPriority w:val="99"/>
    <w:rPr>
      <w:rFonts w:ascii="Calibri" w:hAnsi="Calibri" w:eastAsia="宋体" w:cs="Times New Roman"/>
    </w:rPr>
  </w:style>
  <w:style w:type="character" w:customStyle="1" w:styleId="19">
    <w:name w:val="批注主题 字符"/>
    <w:basedOn w:val="18"/>
    <w:link w:val="9"/>
    <w:semiHidden/>
    <w:qFormat/>
    <w:uiPriority w:val="99"/>
    <w:rPr>
      <w:rFonts w:ascii="Calibri" w:hAnsi="Calibri" w:eastAsia="宋体" w:cs="Times New Roman"/>
      <w:b/>
      <w:bCs/>
    </w:rPr>
  </w:style>
  <w:style w:type="character" w:customStyle="1" w:styleId="20">
    <w:name w:val="批注框文本 字符"/>
    <w:basedOn w:val="11"/>
    <w:link w:val="5"/>
    <w:semiHidden/>
    <w:qFormat/>
    <w:uiPriority w:val="99"/>
    <w:rPr>
      <w:rFonts w:ascii="宋体" w:hAnsi="Calibri" w:eastAsia="宋体" w:cs="Times New Roman"/>
      <w:sz w:val="18"/>
      <w:szCs w:val="18"/>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正文文本 字符"/>
    <w:basedOn w:val="11"/>
    <w:link w:val="4"/>
    <w:qFormat/>
    <w:uiPriority w:val="1"/>
    <w:rPr>
      <w:rFonts w:ascii="仿宋_GB2312" w:hAnsi="仿宋_GB2312" w:eastAsia="仿宋_GB2312" w:cs="仿宋_GB2312"/>
      <w:sz w:val="32"/>
      <w:szCs w:val="32"/>
      <w:lang w:eastAsia="en-US"/>
    </w:rPr>
  </w:style>
  <w:style w:type="character" w:customStyle="1" w:styleId="23">
    <w:name w:val="标题 1 字符"/>
    <w:basedOn w:val="11"/>
    <w:link w:val="2"/>
    <w:qFormat/>
    <w:uiPriority w:val="9"/>
    <w:rPr>
      <w:rFonts w:ascii="楷体" w:hAnsi="楷体" w:eastAsia="楷体" w:cs="楷体"/>
      <w:b/>
      <w:bCs/>
      <w:sz w:val="32"/>
      <w:szCs w:val="32"/>
      <w:lang w:eastAsia="en-US"/>
    </w:r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contractReview xmlns="http://schemas.wps.cn/vas-ai-hub/contract-review">
  <reviewItems>
    <reviewItem>
      <errorID>09c92cea-2a45-4e79-beed-706f8676fc60</errorID>
      <errorWord>,</errorWord>
      <group>L1_Format</group>
      <groupName>格式问题</groupName>
      <ability>L2_HalfPunc</ability>
      <abilityName>全半角检查</abilityName>
      <candidateList>
        <item>，</item>
      </candidateList>
      <explain>文本全半角错误。</explain>
      <paraID>49C8A825</paraID>
      <start>42</start>
      <end>43</end>
      <status>unmodified</status>
      <modifiedWord/>
      <trackRevisions>false</trackRevisions>
    </reviewItem>
    <reviewItem>
      <errorID>b09269bb-ec64-4c7a-8125-c08285370c9b</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7963AFB2</paraID>
      <start>13</start>
      <end>19</end>
      <status>unmodified</status>
      <modifiedWord/>
      <trackRevisions>false</trackRevisions>
    </reviewItem>
    <reviewItem>
      <errorID>4b298cea-80ed-4bee-837c-14d92f4ca6b7</errorID>
      <errorWord>1个半月</errorWord>
      <group>L1_Word</group>
      <groupName>字词问题</groupName>
      <ability>L2_Typo</ability>
      <abilityName>字词错误</abilityName>
      <candidateList>
        <item>一个半月</item>
      </candidateList>
      <explain/>
      <paraID>5EC2DDD9</paraID>
      <start>39</start>
      <end>43</end>
      <status>unmodified</status>
      <modifiedWord/>
      <trackRevisions>false</trackRevisions>
    </reviewItem>
    <reviewItem>
      <errorID>bae3a606-29a1-4f23-a0e4-831ad449a77a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37D9A423</paraID>
      <start>0</start>
      <end>3</end>
      <status>unmodified</status>
      <modifiedWord/>
      <trackRevisions>false</trackRevisions>
    </reviewItem>
    <reviewItem>
      <errorID>718fa272-6ae9-4c36-bcfc-30e97f607a6a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4C336FF0</paraID>
      <start>0</start>
      <end>3</end>
      <status>unmodified</status>
      <modifiedWord/>
      <trackRevisions>false</trackRevisions>
    </reviewItem>
    <reviewItem>
      <errorID>327a68c6-d955-4114-8b63-ea4d1c69a243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625CDF7</paraID>
      <start>0</start>
      <end>3</end>
      <status>unmodified</status>
      <modifiedWord/>
      <trackRevisions>false</trackRevisions>
    </reviewItem>
    <reviewItem>
      <errorID>c810db38-6b03-4612-a586-b19a4fbc92d2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69FA13D9</paraID>
      <start>0</start>
      <end>3</end>
      <status>unmodified</status>
      <modifiedWord/>
      <trackRevisions>false</trackRevisions>
    </reviewItem>
    <reviewItem>
      <errorID>4429aaea-7b24-4292-98a5-66ceb970cd35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66E69CE6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609D1-27EA-40EB-83F7-63E533CD9393}">
  <ds:schemaRefs/>
</ds:datastoreItem>
</file>

<file path=customXml/itemProps3.xml><?xml version="1.0" encoding="utf-8"?>
<ds:datastoreItem xmlns:ds="http://schemas.openxmlformats.org/officeDocument/2006/customXml" ds:itemID="{f166f05b-eb9b-4c5e-a01f-80a974de25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4648</Words>
  <Characters>4705</Characters>
  <Lines>40</Lines>
  <Paragraphs>11</Paragraphs>
  <TotalTime>48</TotalTime>
  <ScaleCrop>false</ScaleCrop>
  <LinksUpToDate>false</LinksUpToDate>
  <CharactersWithSpaces>4714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2024-02-03T16:03:00Z</dcterms:created>
  <dc:creator>任俊学</dc:creator>
  <cp:lastModifiedBy>Caesar</cp:lastModifiedBy>
  <cp:lastPrinted>2022-11-25T17:31:00Z</cp:lastPrinted>
  <dcterms:modified xsi:type="dcterms:W3CDTF">2026-03-31T09:08:50Z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1C96EDE02857433BAB75B6D7D35D1F2D_13</vt:lpwstr>
  </property>
  <property fmtid="{D5CDD505-2E9C-101B-9397-08002B2CF9AE}" pid="4" name="KSOTemplateDocerSaveRecord">
    <vt:lpwstr>eyJoZGlkIjoiYWJkNGRjNjBmNTVlYzlmOTQyNmI2NWE1ZWQxOGQ5MWEiLCJ1c2VySWQiOiIyMDk0ODk1ODYifQ==</vt:lpwstr>
  </property>
</Properties>
</file>