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福建省“十五五”光电产业集群</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高质量发展行动方案起草说明</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为贯彻落实省委第十五个五年规划</w:t>
      </w:r>
      <w:bookmarkStart w:id="0" w:name="_GoBack"/>
      <w:bookmarkEnd w:id="0"/>
      <w:r>
        <w:rPr>
          <w:rFonts w:hint="eastAsia" w:ascii="仿宋_GB2312" w:hAnsi="仿宋_GB2312" w:eastAsia="仿宋_GB2312" w:cs="仿宋_GB2312"/>
          <w:color w:val="auto"/>
          <w:sz w:val="32"/>
          <w:szCs w:val="32"/>
          <w:highlight w:val="none"/>
          <w:lang w:val="en-US" w:eastAsia="zh-CN"/>
        </w:rPr>
        <w:t>工作部署，加快建设“555X”产业集群，推动光电产业集群高质量发展，我厅牵头起草了《福建省“十五五”光电产业集群高质量发展行动方案（2026—2030年）》（征求意见稿）（以下简称《行动方案》）。现将有关情况说明如下：</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一、起草过程</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深入学习领会党的二十大及二十届历次全会精神和省委十一届九次全会要求，系统总结“十四五”时期推动产业发展的亮点成效与短板弱项，委托专业机构开展前期研究。期间，我厅多次深入重点地区、重点园区、重点企业开展一线调研，多场次组织相关行业专家、重点地市及县（市、区）工信部门、行业协会及重点企业专题座谈交流，广泛听取意见。在此基础上，结合本省实际，坚持目标导向和问题导向，编制形成《行动方案》初稿，吸收厅内相关处室意见并进一步修改完善后，形成征求意见稿。</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二、主要内容</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《行动方案》主要包括“总体要求及主要目标、发展重点、主要任务、保障措施”等内容。</w:t>
      </w:r>
    </w:p>
    <w:p>
      <w:pPr>
        <w:keepNext w:val="0"/>
        <w:keepLines w:val="0"/>
        <w:pageBreakBefore w:val="0"/>
        <w:widowControl/>
        <w:kinsoku/>
        <w:wordWrap/>
        <w:overflowPunct/>
        <w:topLinePunct w:val="0"/>
        <w:autoSpaceDE/>
        <w:autoSpaceDN/>
        <w:bidi w:val="0"/>
        <w:adjustRightInd/>
        <w:snapToGrid/>
        <w:spacing w:line="580" w:lineRule="exact"/>
        <w:ind w:firstLine="642"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（一）总体要求及主要目标。</w:t>
      </w:r>
      <w:r>
        <w:rPr>
          <w:rFonts w:hint="eastAsia" w:ascii="仿宋_GB2312" w:hAnsi="仿宋_GB2312" w:eastAsia="仿宋_GB2312" w:cs="仿宋_GB2312"/>
          <w:color w:val="auto"/>
          <w:sz w:val="32"/>
          <w:szCs w:val="32"/>
          <w:highlight w:val="none"/>
          <w:lang w:val="en-US" w:eastAsia="zh-CN"/>
        </w:rPr>
        <w:t>以习近平新时代中国特色社会主义思想为指导，深入贯彻落实习近平总书记关于新型工业化的重要论述和在福建考察时的重要讲话精神，以发展壮大光电产业集群为主线，深化闽台合作特色，强化科技创新引领、企业梯度培育、产业协同集聚，加快构建产业韧性足、创新水平高、支撑带动强、福建特色鲜明的光电产业集群。到2030年，全省光电产业集群营收规模超3000亿元，年均增长5%左右，初步建成链条完整、生态完善、具有国际影响力的光电产业集群和两岸光电产业融合发展示范区。</w:t>
      </w:r>
    </w:p>
    <w:p>
      <w:pPr>
        <w:keepNext w:val="0"/>
        <w:keepLines w:val="0"/>
        <w:pageBreakBefore w:val="0"/>
        <w:widowControl/>
        <w:kinsoku/>
        <w:wordWrap/>
        <w:overflowPunct/>
        <w:topLinePunct w:val="0"/>
        <w:autoSpaceDE/>
        <w:autoSpaceDN/>
        <w:bidi w:val="0"/>
        <w:adjustRightInd/>
        <w:snapToGrid/>
        <w:spacing w:line="580" w:lineRule="exact"/>
        <w:ind w:firstLine="642"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（二）发展重点。</w:t>
      </w:r>
      <w:r>
        <w:rPr>
          <w:rFonts w:hint="eastAsia" w:ascii="仿宋_GB2312" w:hAnsi="仿宋_GB2312" w:eastAsia="仿宋_GB2312" w:cs="仿宋_GB2312"/>
          <w:color w:val="auto"/>
          <w:sz w:val="32"/>
          <w:szCs w:val="32"/>
          <w:highlight w:val="none"/>
          <w:lang w:val="en-US" w:eastAsia="zh-CN"/>
        </w:rPr>
        <w:t>围绕产业链“关键元器件—核心组件—智能终端—材料装备”关键环节，聚焦五大领域，推动错位发展、优势互补。</w:t>
      </w:r>
      <w:r>
        <w:rPr>
          <w:rFonts w:hint="eastAsia" w:ascii="仿宋_GB2312" w:hAnsi="仿宋_GB2312" w:eastAsia="仿宋_GB2312" w:cs="仿宋_GB2312"/>
          <w:b/>
          <w:bCs/>
          <w:color w:val="auto"/>
          <w:sz w:val="32"/>
          <w:szCs w:val="32"/>
          <w:highlight w:val="none"/>
          <w:lang w:val="en-US" w:eastAsia="zh-CN"/>
        </w:rPr>
        <w:t>一是做优做强关键元器件。</w:t>
      </w:r>
      <w:r>
        <w:rPr>
          <w:rFonts w:hint="eastAsia" w:ascii="仿宋_GB2312" w:hAnsi="仿宋_GB2312" w:eastAsia="仿宋_GB2312" w:cs="仿宋_GB2312"/>
          <w:color w:val="auto"/>
          <w:sz w:val="32"/>
          <w:szCs w:val="32"/>
          <w:highlight w:val="none"/>
          <w:lang w:val="en-US" w:eastAsia="zh-CN"/>
        </w:rPr>
        <w:t>加快突破高速DFB、EML、VCSEL等自主光芯片技术，持续做强数字信号处理器、高速驱动器、跨阻放大器等电芯片技术，构建光芯片与电芯片协同发展生态；巩固提升精密微纳加工优势，重点发展微纳光学超结构表面元件等超精密光学元器件。</w:t>
      </w:r>
      <w:r>
        <w:rPr>
          <w:rFonts w:hint="eastAsia" w:ascii="仿宋_GB2312" w:hAnsi="仿宋_GB2312" w:eastAsia="仿宋_GB2312" w:cs="仿宋_GB2312"/>
          <w:b/>
          <w:bCs/>
          <w:color w:val="auto"/>
          <w:sz w:val="32"/>
          <w:szCs w:val="32"/>
          <w:highlight w:val="none"/>
          <w:lang w:val="en-US" w:eastAsia="zh-CN"/>
        </w:rPr>
        <w:t>二是做大做精显示及通信核心组件。</w:t>
      </w:r>
      <w:r>
        <w:rPr>
          <w:rFonts w:hint="eastAsia" w:ascii="仿宋_GB2312" w:hAnsi="仿宋_GB2312" w:eastAsia="仿宋_GB2312" w:cs="仿宋_GB2312"/>
          <w:color w:val="auto"/>
          <w:sz w:val="32"/>
          <w:szCs w:val="32"/>
          <w:highlight w:val="none"/>
          <w:lang w:val="en-US" w:eastAsia="zh-CN"/>
        </w:rPr>
        <w:t>面向AI算力中心互联等场景，重点发展光电共封装、硅光技术及不低于200G EML、不低于800G高速光模块等产品；深化Micro LED全彩化、巨量转移等技术攻关，引育面板关键材料等高附加值配套企业；加快AR/VR光机、车载镜头规模化发展，着力突破钙钛矿叠层电池核心工艺。</w:t>
      </w:r>
      <w:r>
        <w:rPr>
          <w:rFonts w:hint="eastAsia" w:ascii="仿宋_GB2312" w:hAnsi="仿宋_GB2312" w:eastAsia="仿宋_GB2312" w:cs="仿宋_GB2312"/>
          <w:b/>
          <w:bCs/>
          <w:color w:val="auto"/>
          <w:sz w:val="32"/>
          <w:szCs w:val="32"/>
          <w:highlight w:val="none"/>
          <w:lang w:val="en-US" w:eastAsia="zh-CN"/>
        </w:rPr>
        <w:t>三是培育壮大智能终端产品。</w:t>
      </w:r>
      <w:r>
        <w:rPr>
          <w:rFonts w:hint="eastAsia" w:ascii="仿宋_GB2312" w:hAnsi="仿宋_GB2312" w:eastAsia="仿宋_GB2312" w:cs="仿宋_GB2312"/>
          <w:color w:val="auto"/>
          <w:sz w:val="32"/>
          <w:szCs w:val="32"/>
          <w:highlight w:val="none"/>
          <w:lang w:val="en-US" w:eastAsia="zh-CN"/>
        </w:rPr>
        <w:t>聚焦车载显示、工控显示等场景，研发车载智能座舱、柔性折叠屏、Mini/Micro LED直显屏等高端产品，加速培育自主品牌；升级迭代面向AI集群网络的交换机、路由器等终端产品，壮大车载镜头、激光雷达等现代光学产品规模。</w:t>
      </w:r>
      <w:r>
        <w:rPr>
          <w:rFonts w:hint="eastAsia" w:ascii="仿宋_GB2312" w:hAnsi="仿宋_GB2312" w:eastAsia="仿宋_GB2312" w:cs="仿宋_GB2312"/>
          <w:b/>
          <w:bCs/>
          <w:color w:val="auto"/>
          <w:sz w:val="32"/>
          <w:szCs w:val="32"/>
          <w:highlight w:val="none"/>
          <w:lang w:val="en-US" w:eastAsia="zh-CN"/>
        </w:rPr>
        <w:t>四是补齐强化关键材料及核心装备。</w:t>
      </w:r>
      <w:r>
        <w:rPr>
          <w:rFonts w:hint="eastAsia" w:ascii="仿宋_GB2312" w:hAnsi="仿宋_GB2312" w:eastAsia="仿宋_GB2312" w:cs="仿宋_GB2312"/>
          <w:color w:val="auto"/>
          <w:sz w:val="32"/>
          <w:szCs w:val="32"/>
          <w:highlight w:val="none"/>
          <w:lang w:val="en-US" w:eastAsia="zh-CN"/>
        </w:rPr>
        <w:t>加快壮大超高纯电子气体、溅射靶材、光刻胶、</w:t>
      </w:r>
      <w:r>
        <w:rPr>
          <w:rFonts w:hint="eastAsia" w:ascii="Times New Roman" w:hAnsi="Times New Roman" w:eastAsia="仿宋_GB2312" w:cs="Times New Roman"/>
          <w:color w:val="auto"/>
          <w:sz w:val="32"/>
          <w:szCs w:val="32"/>
          <w:highlight w:val="none"/>
        </w:rPr>
        <w:t>掩膜版</w:t>
      </w:r>
      <w:r>
        <w:rPr>
          <w:rFonts w:hint="eastAsia" w:ascii="仿宋_GB2312" w:hAnsi="仿宋_GB2312" w:eastAsia="仿宋_GB2312" w:cs="仿宋_GB2312"/>
          <w:color w:val="auto"/>
          <w:sz w:val="32"/>
          <w:szCs w:val="32"/>
          <w:highlight w:val="none"/>
          <w:lang w:val="en-US" w:eastAsia="zh-CN"/>
        </w:rPr>
        <w:t>等品类及规模；巩固提升激光晶体、非线性光学晶体及磷化铟、砷化镓、氮化镓等化合物半导体材料技术优势；加快发展精密镀膜设备、光源系统、</w:t>
      </w:r>
      <w:r>
        <w:rPr>
          <w:rFonts w:hint="eastAsia" w:ascii="仿宋_GB2312" w:hAnsi="仿宋_GB2312" w:eastAsia="仿宋_GB2312" w:cs="仿宋_GB2312"/>
          <w:color w:val="auto"/>
          <w:sz w:val="32"/>
          <w:szCs w:val="32"/>
          <w:lang w:val="en-US" w:eastAsia="zh-CN"/>
        </w:rPr>
        <w:t>光子探测</w:t>
      </w:r>
      <w:r>
        <w:rPr>
          <w:rFonts w:hint="eastAsia" w:ascii="仿宋_GB2312" w:hAnsi="仿宋_GB2312" w:eastAsia="仿宋_GB2312" w:cs="仿宋_GB2312"/>
          <w:color w:val="auto"/>
          <w:sz w:val="32"/>
          <w:szCs w:val="32"/>
          <w:highlight w:val="none"/>
          <w:lang w:val="en-US" w:eastAsia="zh-CN"/>
        </w:rPr>
        <w:t>等核心装备，鼓励参与Micro LED高端显示产线设备国产化替代。</w:t>
      </w:r>
      <w:r>
        <w:rPr>
          <w:rFonts w:hint="eastAsia" w:ascii="仿宋_GB2312" w:hAnsi="仿宋_GB2312" w:eastAsia="仿宋_GB2312" w:cs="仿宋_GB2312"/>
          <w:b/>
          <w:bCs/>
          <w:color w:val="auto"/>
          <w:sz w:val="32"/>
          <w:szCs w:val="32"/>
          <w:highlight w:val="none"/>
          <w:lang w:val="en-US" w:eastAsia="zh-CN"/>
        </w:rPr>
        <w:t>五是前瞻布局光电未来技术。</w:t>
      </w:r>
      <w:r>
        <w:rPr>
          <w:rFonts w:hint="eastAsia" w:ascii="仿宋_GB2312" w:hAnsi="仿宋_GB2312" w:eastAsia="仿宋_GB2312" w:cs="仿宋_GB2312"/>
          <w:color w:val="auto"/>
          <w:sz w:val="32"/>
          <w:szCs w:val="32"/>
          <w:highlight w:val="none"/>
          <w:lang w:val="en-US" w:eastAsia="zh-CN"/>
        </w:rPr>
        <w:t>发挥三硼酸锂、β相偏硼酸钡等非线性光学晶体技术优势，布局量子光源等光量子技术；拓展星地联动卫星通导、水下光互连及商业航天轻量化星载光学组件应用；布局氧化镓、金刚石等第四代半导体材料及器件等新一代光电技术。</w:t>
      </w:r>
    </w:p>
    <w:p>
      <w:pPr>
        <w:keepNext w:val="0"/>
        <w:keepLines w:val="0"/>
        <w:pageBreakBefore w:val="0"/>
        <w:widowControl/>
        <w:kinsoku/>
        <w:wordWrap/>
        <w:overflowPunct/>
        <w:topLinePunct w:val="0"/>
        <w:autoSpaceDE/>
        <w:autoSpaceDN/>
        <w:bidi w:val="0"/>
        <w:adjustRightInd/>
        <w:snapToGrid/>
        <w:spacing w:line="580" w:lineRule="exact"/>
        <w:ind w:firstLine="642"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（三）主要任务。</w:t>
      </w:r>
      <w:r>
        <w:rPr>
          <w:rFonts w:hint="eastAsia" w:ascii="仿宋_GB2312" w:hAnsi="仿宋_GB2312" w:eastAsia="仿宋_GB2312" w:cs="仿宋_GB2312"/>
          <w:color w:val="auto"/>
          <w:sz w:val="32"/>
          <w:szCs w:val="32"/>
          <w:highlight w:val="none"/>
          <w:lang w:val="en-US" w:eastAsia="zh-CN"/>
        </w:rPr>
        <w:t>实施五大专项行动。</w:t>
      </w:r>
      <w:r>
        <w:rPr>
          <w:rFonts w:hint="eastAsia" w:ascii="仿宋_GB2312" w:hAnsi="仿宋_GB2312" w:eastAsia="仿宋_GB2312" w:cs="仿宋_GB2312"/>
          <w:b/>
          <w:bCs/>
          <w:color w:val="auto"/>
          <w:sz w:val="32"/>
          <w:szCs w:val="32"/>
          <w:highlight w:val="none"/>
          <w:lang w:val="en-US" w:eastAsia="zh-CN"/>
        </w:rPr>
        <w:t>一是全产业链跃升行动。</w:t>
      </w:r>
      <w:r>
        <w:rPr>
          <w:rFonts w:hint="eastAsia" w:ascii="仿宋_GB2312" w:hAnsi="仿宋_GB2312" w:eastAsia="仿宋_GB2312" w:cs="仿宋_GB2312"/>
          <w:color w:val="auto"/>
          <w:sz w:val="32"/>
          <w:szCs w:val="32"/>
          <w:highlight w:val="none"/>
          <w:lang w:val="en-US" w:eastAsia="zh-CN"/>
        </w:rPr>
        <w:t>构建应用牵引、核心支撑、基础配套协同发展格局，鼓励福清、安溪、武平等县域特色融入；发布创新产品应用场景清单，以场景倒逼技术迭代；围绕龙头企业开展延链补链强链精准招商。</w:t>
      </w:r>
      <w:r>
        <w:rPr>
          <w:rFonts w:hint="eastAsia" w:ascii="仿宋_GB2312" w:hAnsi="仿宋_GB2312" w:eastAsia="仿宋_GB2312" w:cs="仿宋_GB2312"/>
          <w:b/>
          <w:bCs/>
          <w:color w:val="auto"/>
          <w:sz w:val="32"/>
          <w:szCs w:val="32"/>
          <w:highlight w:val="none"/>
          <w:lang w:val="en-US" w:eastAsia="zh-CN"/>
        </w:rPr>
        <w:t>二是产业创新突破行动。</w:t>
      </w:r>
      <w:r>
        <w:rPr>
          <w:rFonts w:hint="eastAsia" w:ascii="仿宋_GB2312" w:hAnsi="仿宋_GB2312" w:eastAsia="仿宋_GB2312" w:cs="仿宋_GB2312"/>
          <w:color w:val="auto"/>
          <w:sz w:val="32"/>
          <w:szCs w:val="32"/>
          <w:highlight w:val="none"/>
          <w:lang w:val="en-US" w:eastAsia="zh-CN"/>
        </w:rPr>
        <w:t>推动闽都创新实验室、嘉庚创新实验室等平台提质增效，建设一批中试服务平台；支持龙头企业牵头组建创新联合体，参与国家科技重大专项和省级攻关项目；加强知识产权布局，</w:t>
      </w:r>
      <w:r>
        <w:rPr>
          <w:rFonts w:hint="eastAsia" w:ascii="Times New Roman" w:hAnsi="Times New Roman" w:eastAsia="仿宋_GB2312" w:cs="Times New Roman"/>
          <w:color w:val="auto"/>
          <w:sz w:val="32"/>
          <w:szCs w:val="32"/>
          <w:highlight w:val="none"/>
          <w:lang w:eastAsia="zh-CN"/>
        </w:rPr>
        <w:t>畅通优质</w:t>
      </w:r>
      <w:r>
        <w:rPr>
          <w:rFonts w:hint="eastAsia" w:ascii="Times New Roman" w:hAnsi="Times New Roman" w:eastAsia="仿宋_GB2312" w:cs="Times New Roman"/>
          <w:color w:val="auto"/>
          <w:sz w:val="32"/>
          <w:szCs w:val="32"/>
          <w:highlight w:val="none"/>
        </w:rPr>
        <w:t>专利申请</w:t>
      </w:r>
      <w:r>
        <w:rPr>
          <w:rFonts w:hint="eastAsia" w:ascii="Times New Roman" w:hAnsi="Times New Roman" w:eastAsia="仿宋_GB2312" w:cs="Times New Roman"/>
          <w:color w:val="auto"/>
          <w:sz w:val="32"/>
          <w:szCs w:val="32"/>
          <w:highlight w:val="none"/>
          <w:lang w:eastAsia="zh-CN"/>
        </w:rPr>
        <w:t>通道</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三是AI双向赋能行动。</w:t>
      </w:r>
      <w:r>
        <w:rPr>
          <w:rFonts w:hint="eastAsia" w:ascii="仿宋_GB2312" w:hAnsi="仿宋_GB2312" w:eastAsia="仿宋_GB2312" w:cs="仿宋_GB2312"/>
          <w:color w:val="auto"/>
          <w:sz w:val="32"/>
          <w:szCs w:val="32"/>
          <w:highlight w:val="none"/>
          <w:lang w:val="en-US" w:eastAsia="zh-CN"/>
        </w:rPr>
        <w:t>面向具身智能、低空经济等AI应用领域，研发布局高精度传感器、800G/1.6T高速光模块等关键产品，支持光电企业联合整车制造、机器人整机等下游应用企业，开展产品定义、技术适配和验证测试；支持光电企业应用工业智能体赋能设计、制造、检测全流程，打造卓越级和领航级智能工厂。</w:t>
      </w:r>
      <w:r>
        <w:rPr>
          <w:rFonts w:hint="eastAsia" w:ascii="仿宋_GB2312" w:hAnsi="仿宋_GB2312" w:eastAsia="仿宋_GB2312" w:cs="仿宋_GB2312"/>
          <w:b/>
          <w:bCs/>
          <w:color w:val="auto"/>
          <w:sz w:val="32"/>
          <w:szCs w:val="32"/>
          <w:highlight w:val="none"/>
          <w:lang w:val="en-US" w:eastAsia="zh-CN"/>
        </w:rPr>
        <w:t>四是优质企业梯度培育行动。</w:t>
      </w:r>
      <w:r>
        <w:rPr>
          <w:rFonts w:hint="eastAsia" w:ascii="仿宋_GB2312" w:hAnsi="仿宋_GB2312" w:eastAsia="仿宋_GB2312" w:cs="仿宋_GB2312"/>
          <w:color w:val="auto"/>
          <w:sz w:val="32"/>
          <w:szCs w:val="32"/>
          <w:highlight w:val="none"/>
          <w:lang w:val="en-US" w:eastAsia="zh-CN"/>
        </w:rPr>
        <w:t>健全骨干企业挂钩帮扶机制，支持龙头企业对标国际先进水平争创标杆示范；引导中小企业融入链主体系，培育一批专精特新“小巨人”和单项冠军企业，构建大中小企业融通发展生态。</w:t>
      </w:r>
      <w:r>
        <w:rPr>
          <w:rFonts w:hint="eastAsia" w:ascii="仿宋_GB2312" w:hAnsi="仿宋_GB2312" w:eastAsia="仿宋_GB2312" w:cs="仿宋_GB2312"/>
          <w:b/>
          <w:bCs/>
          <w:color w:val="auto"/>
          <w:sz w:val="32"/>
          <w:szCs w:val="32"/>
          <w:highlight w:val="none"/>
          <w:lang w:val="en-US" w:eastAsia="zh-CN"/>
        </w:rPr>
        <w:t>五是市场拓展对接行动。</w:t>
      </w:r>
      <w:r>
        <w:rPr>
          <w:rFonts w:hint="eastAsia" w:ascii="仿宋_GB2312" w:hAnsi="仿宋_GB2312" w:eastAsia="仿宋_GB2312" w:cs="仿宋_GB2312"/>
          <w:color w:val="auto"/>
          <w:sz w:val="32"/>
          <w:szCs w:val="32"/>
          <w:highlight w:val="none"/>
          <w:lang w:val="en-US" w:eastAsia="zh-CN"/>
        </w:rPr>
        <w:t>建强用好省工业企业供需对接平台，举办产业链“手拉手”专场对接；落实首台（套）推广应用政策和电子信息新产品征集推广机制，加快创新产品市场化应用；用好“一带一路”、RCEP等合作机制，支持拓展海外市场。</w:t>
      </w:r>
    </w:p>
    <w:p>
      <w:pPr>
        <w:keepNext w:val="0"/>
        <w:keepLines w:val="0"/>
        <w:pageBreakBefore w:val="0"/>
        <w:widowControl/>
        <w:kinsoku/>
        <w:wordWrap/>
        <w:overflowPunct/>
        <w:topLinePunct w:val="0"/>
        <w:autoSpaceDE/>
        <w:autoSpaceDN/>
        <w:bidi w:val="0"/>
        <w:adjustRightInd/>
        <w:snapToGrid/>
        <w:spacing w:line="580" w:lineRule="exact"/>
        <w:ind w:firstLine="642"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（四）保障措施。</w:t>
      </w:r>
      <w:r>
        <w:rPr>
          <w:rFonts w:hint="eastAsia" w:ascii="仿宋_GB2312" w:hAnsi="仿宋_GB2312" w:eastAsia="仿宋_GB2312" w:cs="仿宋_GB2312"/>
          <w:b/>
          <w:bCs/>
          <w:color w:val="auto"/>
          <w:sz w:val="32"/>
          <w:szCs w:val="32"/>
          <w:highlight w:val="none"/>
          <w:lang w:val="en-US" w:eastAsia="zh-CN"/>
        </w:rPr>
        <w:t>一是强化组织统筹协调</w:t>
      </w:r>
      <w:r>
        <w:rPr>
          <w:rFonts w:hint="eastAsia" w:ascii="仿宋_GB2312" w:hAnsi="仿宋_GB2312" w:eastAsia="仿宋_GB2312" w:cs="仿宋_GB2312"/>
          <w:color w:val="auto"/>
          <w:sz w:val="32"/>
          <w:szCs w:val="32"/>
          <w:highlight w:val="none"/>
          <w:lang w:val="en-US" w:eastAsia="zh-CN"/>
        </w:rPr>
        <w:t>。坚持“全省一盘棋”，引导各地错位发展，健全惠企政策直达快享机制。</w:t>
      </w:r>
      <w:r>
        <w:rPr>
          <w:rFonts w:hint="eastAsia" w:ascii="仿宋_GB2312" w:hAnsi="仿宋_GB2312" w:eastAsia="仿宋_GB2312" w:cs="仿宋_GB2312"/>
          <w:b/>
          <w:bCs/>
          <w:color w:val="auto"/>
          <w:sz w:val="32"/>
          <w:szCs w:val="32"/>
          <w:highlight w:val="none"/>
          <w:lang w:val="en-US" w:eastAsia="zh-CN"/>
        </w:rPr>
        <w:t>二是强化金融要素支撑</w:t>
      </w:r>
      <w:r>
        <w:rPr>
          <w:rFonts w:hint="eastAsia" w:ascii="仿宋_GB2312" w:hAnsi="仿宋_GB2312" w:eastAsia="仿宋_GB2312" w:cs="仿宋_GB2312"/>
          <w:color w:val="auto"/>
          <w:sz w:val="32"/>
          <w:szCs w:val="32"/>
          <w:highlight w:val="none"/>
          <w:lang w:val="en-US" w:eastAsia="zh-CN"/>
        </w:rPr>
        <w:t>。统筹用好省级专项资金，鼓励设立光电产业基金，支持耐心资本投早投小，推动优质企业挂牌上市。</w:t>
      </w:r>
      <w:r>
        <w:rPr>
          <w:rFonts w:hint="eastAsia" w:ascii="仿宋_GB2312" w:hAnsi="仿宋_GB2312" w:eastAsia="仿宋_GB2312" w:cs="仿宋_GB2312"/>
          <w:b/>
          <w:bCs/>
          <w:color w:val="auto"/>
          <w:sz w:val="32"/>
          <w:szCs w:val="32"/>
          <w:highlight w:val="none"/>
          <w:lang w:val="en-US" w:eastAsia="zh-CN"/>
        </w:rPr>
        <w:t>三是优化人才服务保障</w:t>
      </w:r>
      <w:r>
        <w:rPr>
          <w:rFonts w:hint="eastAsia" w:ascii="仿宋_GB2312" w:hAnsi="仿宋_GB2312" w:eastAsia="仿宋_GB2312" w:cs="仿宋_GB2312"/>
          <w:color w:val="auto"/>
          <w:sz w:val="32"/>
          <w:szCs w:val="32"/>
          <w:highlight w:val="none"/>
          <w:lang w:val="en-US" w:eastAsia="zh-CN"/>
        </w:rPr>
        <w:t>。支持推广“订单式”培养模式，加大高层次人才团队引培力度，</w:t>
      </w:r>
      <w:r>
        <w:rPr>
          <w:rFonts w:hint="eastAsia" w:ascii="仿宋_GB2312" w:eastAsia="仿宋_GB2312" w:cs="Times New Roman"/>
          <w:color w:val="auto"/>
          <w:sz w:val="32"/>
          <w:szCs w:val="32"/>
          <w:highlight w:val="none"/>
          <w:lang w:val="en-US" w:eastAsia="zh-CN"/>
        </w:rPr>
        <w:t>持续健全引育留用全链条人才体系，营造近悦远来人才生态。</w:t>
      </w:r>
    </w:p>
    <w:sectPr>
      <w:footerReference r:id="rId3" w:type="default"/>
      <w:pgSz w:w="11906" w:h="16838"/>
      <w:pgMar w:top="2154" w:right="1417" w:bottom="204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703060505090304"/>
    <w:charset w:val="86"/>
    <w:family w:val="auto"/>
    <w:pitch w:val="default"/>
    <w:sig w:usb0="00000000" w:usb1="00000000" w:usb2="00000001" w:usb3="00000000" w:csb0="400001BF" w:csb1="DFF7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rial"/>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704020202020204"/>
    <w:charset w:val="00"/>
    <w:family w:val="auto"/>
    <w:pitch w:val="default"/>
    <w:sig w:usb0="E0002AFF" w:usb1="C0007843" w:usb2="00000009" w:usb3="00000000" w:csb0="400001FF" w:csb1="FFFF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EFED642"/>
    <w:rsid w:val="7EDDD891"/>
    <w:rsid w:val="B7BFDFA3"/>
    <w:rsid w:val="BEFED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99"/>
    <w:rPr>
      <w:rFonts w:cs="Calibri"/>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2026-05-08T09:36:00Z</dcterms:created>
  <dc:creator>刘国振</dc:creator>
  <cp:lastModifiedBy>刘国振</cp:lastModifiedBy>
  <dcterms:modified xsi:type="dcterms:W3CDTF">2026-05-09T10:14:08Z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B0613CBB9C5726E9345DFC69D338CB4E_41</vt:lpwstr>
  </property>
</Properties>
</file>