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FDCA">
      <w:pPr>
        <w:spacing w:before="312" w:beforeLines="100" w:line="520" w:lineRule="exact"/>
        <w:ind w:firstLine="320" w:firstLineChars="10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 w14:paraId="562408E4">
      <w:pPr>
        <w:spacing w:before="312" w:beforeLines="100" w:line="520" w:lineRule="exact"/>
        <w:ind w:firstLine="320" w:firstLineChars="100"/>
        <w:rPr>
          <w:rFonts w:hint="eastAsia" w:ascii="黑体" w:hAnsi="黑体" w:eastAsia="黑体" w:cs="黑体"/>
          <w:sz w:val="32"/>
          <w:szCs w:val="36"/>
        </w:rPr>
      </w:pPr>
      <w:bookmarkStart w:id="0" w:name="_GoBack"/>
      <w:bookmarkEnd w:id="0"/>
    </w:p>
    <w:p w14:paraId="7B2AC82C">
      <w:pPr>
        <w:spacing w:before="156" w:beforeLines="50" w:line="520" w:lineRule="exact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  <w:lang w:eastAsia="zh-CN"/>
        </w:rPr>
        <w:t>四川发展科创基金子基金管理机构</w:t>
      </w:r>
    </w:p>
    <w:p w14:paraId="072FBA8F">
      <w:pPr>
        <w:spacing w:before="156" w:beforeLines="50"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申请材料目录</w:t>
      </w:r>
    </w:p>
    <w:p w14:paraId="45EA89B7">
      <w:pPr>
        <w:autoSpaceDN w:val="0"/>
        <w:ind w:firstLine="627" w:firstLineChars="196"/>
        <w:rPr>
          <w:rFonts w:eastAsia="黑体"/>
          <w:sz w:val="32"/>
          <w:szCs w:val="32"/>
        </w:rPr>
      </w:pPr>
    </w:p>
    <w:p w14:paraId="62554CC4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四川发展科创基金子基金管理机构</w:t>
      </w:r>
      <w:r>
        <w:rPr>
          <w:rFonts w:eastAsia="黑体"/>
          <w:sz w:val="32"/>
          <w:szCs w:val="32"/>
          <w:shd w:val="clear" w:color="auto" w:fill="FFFFFF"/>
        </w:rPr>
        <w:t>申请登记表（附件2）</w:t>
      </w:r>
    </w:p>
    <w:p w14:paraId="01CDA734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二、承诺函（附件3）</w:t>
      </w:r>
    </w:p>
    <w:p w14:paraId="514D6461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  <w:lang w:eastAsia="zh-CN"/>
        </w:rPr>
        <w:t>子</w:t>
      </w:r>
      <w:r>
        <w:rPr>
          <w:rFonts w:eastAsia="黑体"/>
          <w:sz w:val="32"/>
          <w:szCs w:val="32"/>
        </w:rPr>
        <w:t>基金组建方案</w:t>
      </w:r>
    </w:p>
    <w:p w14:paraId="4A923D87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1.基金名称</w:t>
      </w:r>
    </w:p>
    <w:p w14:paraId="4D360DCB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2.投资领域</w:t>
      </w:r>
    </w:p>
    <w:p w14:paraId="79A051C3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3.基金管理人及普通合伙人</w:t>
      </w:r>
    </w:p>
    <w:p w14:paraId="664ACCBC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4.基金托管人</w:t>
      </w:r>
    </w:p>
    <w:p w14:paraId="2D62A167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5.基金规模（总规模、分几期到位、申请</w:t>
      </w:r>
      <w:r>
        <w:rPr>
          <w:rFonts w:hint="eastAsia" w:eastAsia="仿宋"/>
          <w:sz w:val="32"/>
          <w:szCs w:val="32"/>
          <w:lang w:eastAsia="zh-CN"/>
        </w:rPr>
        <w:t>四川发展科创基金出资</w:t>
      </w:r>
      <w:r>
        <w:rPr>
          <w:rFonts w:eastAsia="仿宋"/>
          <w:sz w:val="32"/>
          <w:szCs w:val="32"/>
        </w:rPr>
        <w:t>规模）</w:t>
      </w:r>
    </w:p>
    <w:p w14:paraId="4457A78A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6.基金存续期</w:t>
      </w:r>
    </w:p>
    <w:p w14:paraId="11E9A88E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7.管理费用</w:t>
      </w:r>
    </w:p>
    <w:p w14:paraId="590489C9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8.基金收益分配</w:t>
      </w:r>
    </w:p>
    <w:p w14:paraId="22EF1FB3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9.核心人员简介</w:t>
      </w:r>
    </w:p>
    <w:p w14:paraId="034FE7A8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四、基金管理人及普通合伙人</w:t>
      </w:r>
    </w:p>
    <w:p w14:paraId="31CB2ABA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10.基金管理人及普通合伙人简介（成立时间、注册资本、股东及股权结构）</w:t>
      </w:r>
    </w:p>
    <w:p w14:paraId="268681F7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11.管理团队（团队核心人员职务及简历）</w:t>
      </w:r>
    </w:p>
    <w:p w14:paraId="49813ABC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eastAsia="仿宋"/>
          <w:sz w:val="32"/>
          <w:szCs w:val="32"/>
        </w:rPr>
        <w:t>.基金管理团队投资业绩（附件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eastAsia="仿宋"/>
          <w:sz w:val="32"/>
          <w:szCs w:val="32"/>
        </w:rPr>
        <w:t>）</w:t>
      </w:r>
    </w:p>
    <w:p w14:paraId="5FA8A877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eastAsia="仿宋"/>
          <w:sz w:val="32"/>
          <w:szCs w:val="32"/>
        </w:rPr>
        <w:t>.激励和风险约束机制</w:t>
      </w:r>
    </w:p>
    <w:p w14:paraId="0232DA2D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  <w:lang w:eastAsia="zh-CN"/>
        </w:rPr>
        <w:t>子</w:t>
      </w:r>
      <w:r>
        <w:rPr>
          <w:rFonts w:eastAsia="黑体"/>
          <w:sz w:val="32"/>
          <w:szCs w:val="32"/>
        </w:rPr>
        <w:t>基金募集</w:t>
      </w:r>
    </w:p>
    <w:p w14:paraId="1F750EBE">
      <w:pPr>
        <w:autoSpaceDN w:val="0"/>
        <w:ind w:firstLine="627" w:firstLineChars="196"/>
        <w:rPr>
          <w:rFonts w:hint="eastAsia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4.</w:t>
      </w:r>
      <w:r>
        <w:rPr>
          <w:rFonts w:eastAsia="仿宋"/>
          <w:sz w:val="32"/>
          <w:szCs w:val="32"/>
        </w:rPr>
        <w:t>份额认购</w:t>
      </w:r>
      <w:r>
        <w:rPr>
          <w:rFonts w:hint="eastAsia" w:eastAsia="仿宋"/>
          <w:sz w:val="32"/>
          <w:szCs w:val="32"/>
          <w:lang w:val="en-US" w:eastAsia="zh-CN"/>
        </w:rPr>
        <w:t>情况</w:t>
      </w:r>
    </w:p>
    <w:p w14:paraId="36E76F48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.LP出资能力</w:t>
      </w:r>
    </w:p>
    <w:p w14:paraId="4FC594E2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eastAsia="仿宋"/>
          <w:sz w:val="32"/>
          <w:szCs w:val="32"/>
        </w:rPr>
        <w:t>.缴款进度安排</w:t>
      </w:r>
    </w:p>
    <w:p w14:paraId="5AEDA036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子</w:t>
      </w:r>
      <w:r>
        <w:rPr>
          <w:rFonts w:eastAsia="黑体"/>
          <w:sz w:val="32"/>
          <w:szCs w:val="32"/>
        </w:rPr>
        <w:t>基金投资</w:t>
      </w:r>
    </w:p>
    <w:p w14:paraId="1EE63FBB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eastAsia="仿宋"/>
          <w:sz w:val="32"/>
          <w:szCs w:val="32"/>
        </w:rPr>
        <w:t>.基金投向</w:t>
      </w:r>
    </w:p>
    <w:p w14:paraId="2B22D072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18</w:t>
      </w:r>
      <w:r>
        <w:rPr>
          <w:rFonts w:eastAsia="仿宋"/>
          <w:sz w:val="32"/>
          <w:szCs w:val="32"/>
        </w:rPr>
        <w:t>.投向比例限制</w:t>
      </w:r>
    </w:p>
    <w:p w14:paraId="146D65EF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19</w:t>
      </w:r>
      <w:r>
        <w:rPr>
          <w:rFonts w:eastAsia="仿宋"/>
          <w:sz w:val="32"/>
          <w:szCs w:val="32"/>
        </w:rPr>
        <w:t>.投资决策机构</w:t>
      </w:r>
    </w:p>
    <w:p w14:paraId="16BD2FCC">
      <w:pPr>
        <w:autoSpaceDN w:val="0"/>
        <w:ind w:firstLine="627" w:firstLineChars="19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0</w:t>
      </w:r>
      <w:r>
        <w:rPr>
          <w:rFonts w:eastAsia="仿宋"/>
          <w:sz w:val="32"/>
          <w:szCs w:val="32"/>
        </w:rPr>
        <w:t>.储备项目列表（附件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）</w:t>
      </w:r>
    </w:p>
    <w:p w14:paraId="0AA5E3A8">
      <w:pPr>
        <w:autoSpaceDN w:val="0"/>
        <w:ind w:firstLine="627" w:firstLineChars="196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46"/>
    <w:rsid w:val="003F6846"/>
    <w:rsid w:val="00483D5B"/>
    <w:rsid w:val="00641192"/>
    <w:rsid w:val="00DD6DDC"/>
    <w:rsid w:val="07ED3D0B"/>
    <w:rsid w:val="0C47620C"/>
    <w:rsid w:val="1320473E"/>
    <w:rsid w:val="1BB9129A"/>
    <w:rsid w:val="289E34CF"/>
    <w:rsid w:val="2D462A5D"/>
    <w:rsid w:val="40FC0CF2"/>
    <w:rsid w:val="4CA45393"/>
    <w:rsid w:val="507E3B98"/>
    <w:rsid w:val="5DCA6E39"/>
    <w:rsid w:val="793B7903"/>
    <w:rsid w:val="7C0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f81efda-cbfc-4b73-be9d-1eefc8195c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341</Characters>
  <Lines>4</Lines>
  <Paragraphs>1</Paragraphs>
  <TotalTime>56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2020-02-17T02:10:00Z</dcterms:created>
  <dc:creator>邹莜</dc:creator>
  <cp:lastModifiedBy>尹莉</cp:lastModifiedBy>
  <dcterms:modified xsi:type="dcterms:W3CDTF">2026-04-22T05:33:58Z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B237B99B34064623A6BB6289AF690FAB</vt:lpwstr>
  </property>
  <property fmtid="{D5CDD505-2E9C-101B-9397-08002B2CF9AE}" pid="4" name="KSOTemplateDocerSaveRecord">
    <vt:lpwstr>eyJoZGlkIjoiNDY4MjJhY2VkNmMwMWUxZDFiODQzZDRjNmIwY2Q0NjMiLCJ1c2VySWQiOiIxNjM4ODA3NzIzIn0=</vt:lpwstr>
  </property>
</Properties>
</file>