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AF266">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14:paraId="1698A530">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14:paraId="0F8949F7">
      <w:pPr>
        <w:widowControl w:val="0"/>
        <w:snapToGrid w:val="0"/>
        <w:spacing w:before="48" w:line="264" w:lineRule="auto"/>
        <w:ind w:left="17"/>
        <w:jc w:val="center"/>
        <w:rPr>
          <w:rFonts w:hint="eastAsia" w:ascii="方正小标宋简体" w:hAnsi="方正小标宋简体" w:eastAsia="方正小标宋简体" w:cs="方正小标宋简体"/>
          <w:b/>
          <w:bCs/>
          <w:sz w:val="44"/>
          <w:szCs w:val="44"/>
        </w:rPr>
      </w:pPr>
    </w:p>
    <w:p w14:paraId="55CC42EB">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广东南控一号产业投资合伙企业（有限合伙）</w:t>
      </w:r>
      <w:r>
        <w:rPr>
          <w:rFonts w:ascii="方正小标宋简体" w:hAnsi="方正小标宋简体" w:eastAsia="方正小标宋简体" w:cs="方正小标宋简体"/>
          <w:b/>
          <w:bCs/>
          <w:sz w:val="44"/>
          <w:szCs w:val="44"/>
        </w:rPr>
        <w:t xml:space="preserve"> </w:t>
      </w:r>
    </w:p>
    <w:p w14:paraId="2DF4BE22">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p>
    <w:p w14:paraId="707F8332">
      <w:pPr>
        <w:widowControl w:val="0"/>
        <w:snapToGrid w:val="0"/>
        <w:spacing w:before="48" w:line="264" w:lineRule="auto"/>
        <w:ind w:left="17"/>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子基金申报材料</w:t>
      </w:r>
    </w:p>
    <w:p w14:paraId="11325C78">
      <w:pPr>
        <w:widowControl w:val="0"/>
        <w:rPr>
          <w:sz w:val="20"/>
          <w:szCs w:val="20"/>
        </w:rPr>
      </w:pPr>
    </w:p>
    <w:p w14:paraId="4EA98E07">
      <w:pPr>
        <w:widowControl w:val="0"/>
        <w:rPr>
          <w:sz w:val="20"/>
          <w:szCs w:val="20"/>
        </w:rPr>
      </w:pPr>
    </w:p>
    <w:p w14:paraId="73DF4955">
      <w:pPr>
        <w:widowControl w:val="0"/>
        <w:rPr>
          <w:sz w:val="20"/>
          <w:szCs w:val="20"/>
        </w:rPr>
      </w:pPr>
    </w:p>
    <w:p w14:paraId="2DF24C5C">
      <w:pPr>
        <w:widowControl w:val="0"/>
        <w:rPr>
          <w:sz w:val="20"/>
          <w:szCs w:val="20"/>
        </w:rPr>
      </w:pPr>
    </w:p>
    <w:p w14:paraId="52FB9367">
      <w:pPr>
        <w:widowControl w:val="0"/>
        <w:rPr>
          <w:sz w:val="20"/>
          <w:szCs w:val="20"/>
        </w:rPr>
      </w:pPr>
    </w:p>
    <w:p w14:paraId="7257537A">
      <w:pPr>
        <w:widowControl w:val="0"/>
        <w:rPr>
          <w:sz w:val="20"/>
          <w:szCs w:val="20"/>
        </w:rPr>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4"/>
        <w:gridCol w:w="5478"/>
      </w:tblGrid>
      <w:tr w14:paraId="152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21207D67">
            <w:pPr>
              <w:jc w:val="distribute"/>
              <w:rPr>
                <w:rFonts w:ascii="宋体" w:hAnsi="宋体" w:eastAsia="方正仿宋_GB2312" w:cs="宋体"/>
                <w:b/>
                <w:bCs/>
                <w:sz w:val="36"/>
                <w:szCs w:val="36"/>
              </w:rPr>
            </w:pPr>
            <w:r>
              <w:rPr>
                <w:rFonts w:hint="eastAsia" w:ascii="宋体" w:hAnsi="宋体" w:eastAsia="方正仿宋_GB2312" w:cs="宋体"/>
                <w:b/>
                <w:bCs/>
                <w:sz w:val="36"/>
                <w:szCs w:val="36"/>
              </w:rPr>
              <w:t>申请机构：</w:t>
            </w:r>
          </w:p>
        </w:tc>
        <w:tc>
          <w:tcPr>
            <w:tcW w:w="5478" w:type="dxa"/>
            <w:vAlign w:val="bottom"/>
          </w:tcPr>
          <w:p w14:paraId="6C3D8766">
            <w:pPr>
              <w:rPr>
                <w:rFonts w:hint="eastAsia" w:eastAsia="仿宋_GB2312"/>
                <w:lang w:eastAsia="zh-CN"/>
              </w:rPr>
            </w:pPr>
            <w:r>
              <w:rPr>
                <w:rFonts w:ascii="宋体" w:hAnsi="宋体" w:eastAsia="仿宋_GB2312" w:cs="宋体"/>
                <w:sz w:val="32"/>
                <w:szCs w:val="32"/>
                <w:u w:val="single"/>
              </w:rPr>
              <w:t xml:space="preserve">                        </w:t>
            </w:r>
            <w:r>
              <w:rPr>
                <w:rFonts w:hint="eastAsia" w:ascii="宋体" w:hAnsi="宋体" w:eastAsia="仿宋_GB2312" w:cs="宋体"/>
                <w:sz w:val="32"/>
                <w:szCs w:val="32"/>
                <w:u w:val="single"/>
                <w:lang w:eastAsia="zh-CN"/>
              </w:rPr>
              <w:t>（</w:t>
            </w:r>
            <w:r>
              <w:rPr>
                <w:rFonts w:hint="eastAsia" w:ascii="宋体" w:hAnsi="宋体" w:eastAsia="仿宋_GB2312" w:cs="宋体"/>
                <w:sz w:val="32"/>
                <w:szCs w:val="32"/>
                <w:u w:val="single"/>
                <w:lang w:val="en-US" w:eastAsia="zh-CN"/>
              </w:rPr>
              <w:t>公章</w:t>
            </w:r>
            <w:r>
              <w:rPr>
                <w:rFonts w:hint="eastAsia" w:ascii="宋体" w:hAnsi="宋体" w:eastAsia="仿宋_GB2312" w:cs="宋体"/>
                <w:sz w:val="32"/>
                <w:szCs w:val="32"/>
                <w:u w:val="single"/>
                <w:lang w:eastAsia="zh-CN"/>
              </w:rPr>
              <w:t>）</w:t>
            </w:r>
          </w:p>
        </w:tc>
      </w:tr>
      <w:tr w14:paraId="72C7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28AD24EF">
            <w:pPr>
              <w:jc w:val="distribute"/>
              <w:rPr>
                <w:rFonts w:ascii="宋体" w:hAnsi="宋体" w:eastAsia="方正仿宋_GB2312" w:cs="宋体"/>
                <w:b/>
                <w:bCs/>
                <w:sz w:val="36"/>
                <w:szCs w:val="36"/>
              </w:rPr>
            </w:pPr>
            <w:r>
              <w:rPr>
                <w:rFonts w:hint="eastAsia" w:ascii="宋体" w:hAnsi="宋体" w:eastAsia="方正仿宋_GB2312" w:cs="宋体"/>
                <w:b/>
                <w:bCs/>
                <w:sz w:val="36"/>
                <w:szCs w:val="36"/>
              </w:rPr>
              <w:t>法定代表人：</w:t>
            </w:r>
          </w:p>
        </w:tc>
        <w:tc>
          <w:tcPr>
            <w:tcW w:w="5478" w:type="dxa"/>
            <w:vAlign w:val="bottom"/>
          </w:tcPr>
          <w:p w14:paraId="3206DA1D">
            <w:r>
              <w:rPr>
                <w:rFonts w:ascii="宋体" w:hAnsi="宋体" w:eastAsia="仿宋_GB2312" w:cs="宋体"/>
                <w:sz w:val="32"/>
                <w:szCs w:val="32"/>
                <w:u w:val="single"/>
              </w:rPr>
              <w:t xml:space="preserve">                   </w:t>
            </w:r>
            <w:r>
              <w:rPr>
                <w:rFonts w:hint="eastAsia" w:ascii="宋体" w:hAnsi="宋体" w:eastAsia="仿宋_GB2312" w:cs="宋体"/>
                <w:sz w:val="32"/>
                <w:szCs w:val="32"/>
                <w:u w:val="single"/>
                <w:lang w:val="en-US" w:eastAsia="zh-CN"/>
              </w:rPr>
              <w:t xml:space="preserve">       </w:t>
            </w:r>
            <w:r>
              <w:rPr>
                <w:rFonts w:ascii="宋体" w:hAnsi="宋体" w:eastAsia="仿宋_GB2312" w:cs="宋体"/>
                <w:sz w:val="32"/>
                <w:szCs w:val="32"/>
                <w:u w:val="single"/>
              </w:rPr>
              <w:t xml:space="preserve"> </w:t>
            </w:r>
          </w:p>
        </w:tc>
      </w:tr>
      <w:tr w14:paraId="0640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53A260EA">
            <w:pPr>
              <w:jc w:val="distribute"/>
              <w:rPr>
                <w:rFonts w:ascii="宋体" w:hAnsi="宋体" w:eastAsia="方正仿宋_GB2312" w:cs="宋体"/>
                <w:b/>
                <w:bCs/>
                <w:sz w:val="36"/>
                <w:szCs w:val="36"/>
              </w:rPr>
            </w:pPr>
            <w:r>
              <w:rPr>
                <w:rFonts w:hint="eastAsia" w:ascii="宋体" w:hAnsi="宋体" w:eastAsia="方正仿宋_GB2312" w:cs="宋体"/>
                <w:b/>
                <w:bCs/>
                <w:sz w:val="36"/>
                <w:szCs w:val="36"/>
              </w:rPr>
              <w:t>单位地址：</w:t>
            </w:r>
          </w:p>
        </w:tc>
        <w:tc>
          <w:tcPr>
            <w:tcW w:w="5478" w:type="dxa"/>
            <w:vAlign w:val="bottom"/>
          </w:tcPr>
          <w:p w14:paraId="46699BCE">
            <w:r>
              <w:rPr>
                <w:rFonts w:ascii="宋体" w:hAnsi="宋体" w:eastAsia="仿宋_GB2312" w:cs="宋体"/>
                <w:sz w:val="32"/>
                <w:szCs w:val="32"/>
                <w:u w:val="single"/>
              </w:rPr>
              <w:t xml:space="preserve">                          </w:t>
            </w:r>
          </w:p>
        </w:tc>
      </w:tr>
      <w:tr w14:paraId="6392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3401DDAE">
            <w:pPr>
              <w:jc w:val="distribute"/>
              <w:rPr>
                <w:rFonts w:ascii="宋体" w:hAnsi="宋体" w:eastAsia="方正仿宋_GB2312" w:cs="宋体"/>
                <w:b/>
                <w:bCs/>
                <w:sz w:val="36"/>
                <w:szCs w:val="36"/>
              </w:rPr>
            </w:pPr>
            <w:r>
              <w:rPr>
                <w:rFonts w:hint="eastAsia" w:ascii="宋体" w:hAnsi="宋体" w:eastAsia="方正仿宋_GB2312" w:cs="宋体"/>
                <w:b/>
                <w:bCs/>
                <w:sz w:val="36"/>
                <w:szCs w:val="36"/>
              </w:rPr>
              <w:t>联系人：</w:t>
            </w:r>
          </w:p>
        </w:tc>
        <w:tc>
          <w:tcPr>
            <w:tcW w:w="5478" w:type="dxa"/>
            <w:vAlign w:val="bottom"/>
          </w:tcPr>
          <w:p w14:paraId="08D1D7AF">
            <w:r>
              <w:rPr>
                <w:rFonts w:ascii="宋体" w:hAnsi="宋体" w:eastAsia="仿宋_GB2312" w:cs="宋体"/>
                <w:sz w:val="32"/>
                <w:szCs w:val="32"/>
                <w:u w:val="single"/>
              </w:rPr>
              <w:t xml:space="preserve">                          </w:t>
            </w:r>
          </w:p>
        </w:tc>
      </w:tr>
      <w:tr w14:paraId="791C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5B0C7A23">
            <w:pPr>
              <w:jc w:val="distribute"/>
              <w:rPr>
                <w:rFonts w:ascii="宋体" w:hAnsi="宋体" w:eastAsia="方正仿宋_GB2312" w:cs="宋体"/>
                <w:b/>
                <w:bCs/>
                <w:sz w:val="36"/>
                <w:szCs w:val="36"/>
              </w:rPr>
            </w:pPr>
            <w:r>
              <w:rPr>
                <w:rFonts w:hint="eastAsia" w:ascii="宋体" w:hAnsi="宋体" w:eastAsia="方正仿宋_GB2312" w:cs="宋体"/>
                <w:b/>
                <w:bCs/>
                <w:sz w:val="36"/>
                <w:szCs w:val="36"/>
              </w:rPr>
              <w:t>联系电话：</w:t>
            </w:r>
          </w:p>
        </w:tc>
        <w:tc>
          <w:tcPr>
            <w:tcW w:w="5478" w:type="dxa"/>
            <w:vAlign w:val="bottom"/>
          </w:tcPr>
          <w:p w14:paraId="445854C2">
            <w:r>
              <w:rPr>
                <w:rFonts w:ascii="宋体" w:hAnsi="宋体" w:eastAsia="仿宋_GB2312" w:cs="宋体"/>
                <w:sz w:val="32"/>
                <w:szCs w:val="32"/>
                <w:u w:val="single"/>
              </w:rPr>
              <w:t xml:space="preserve">                          </w:t>
            </w:r>
          </w:p>
        </w:tc>
      </w:tr>
      <w:tr w14:paraId="5B41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44" w:type="dxa"/>
          </w:tcPr>
          <w:p w14:paraId="45EB3EB9">
            <w:pPr>
              <w:jc w:val="distribute"/>
              <w:rPr>
                <w:rFonts w:ascii="宋体" w:hAnsi="宋体" w:eastAsia="方正仿宋_GB2312" w:cs="宋体"/>
                <w:b/>
                <w:bCs/>
                <w:sz w:val="36"/>
                <w:szCs w:val="36"/>
              </w:rPr>
            </w:pPr>
            <w:r>
              <w:rPr>
                <w:rFonts w:ascii="宋体" w:hAnsi="宋体" w:eastAsia="仿宋_GB2312" w:cs="宋体"/>
                <w:b/>
                <w:bCs/>
                <w:sz w:val="32"/>
                <w:szCs w:val="32"/>
              </w:rPr>
              <w:t>申请时间</w:t>
            </w:r>
            <w:r>
              <w:rPr>
                <w:rFonts w:hint="eastAsia" w:ascii="宋体" w:hAnsi="宋体" w:eastAsia="方正仿宋_GB2312" w:cs="宋体"/>
                <w:b/>
                <w:bCs/>
                <w:sz w:val="36"/>
                <w:szCs w:val="36"/>
              </w:rPr>
              <w:t>：</w:t>
            </w:r>
          </w:p>
        </w:tc>
        <w:tc>
          <w:tcPr>
            <w:tcW w:w="5478" w:type="dxa"/>
            <w:vAlign w:val="bottom"/>
          </w:tcPr>
          <w:p w14:paraId="1EFCDA49">
            <w:pPr>
              <w:rPr>
                <w:u w:val="single"/>
              </w:rPr>
            </w:pPr>
            <w:r>
              <w:rPr>
                <w:rFonts w:ascii="宋体" w:hAnsi="宋体" w:eastAsia="仿宋_GB2312" w:cs="宋体"/>
                <w:sz w:val="32"/>
                <w:szCs w:val="32"/>
                <w:u w:val="single"/>
              </w:rPr>
              <w:t xml:space="preserve"> </w:t>
            </w:r>
            <w:r>
              <w:rPr>
                <w:rFonts w:hint="eastAsia" w:ascii="宋体" w:hAnsi="宋体" w:eastAsia="仿宋_GB2312" w:cs="宋体"/>
                <w:sz w:val="32"/>
                <w:szCs w:val="32"/>
                <w:u w:val="single"/>
                <w:lang w:val="en-US" w:eastAsia="zh-CN"/>
              </w:rPr>
              <w:t xml:space="preserve">    </w:t>
            </w:r>
            <w:r>
              <w:rPr>
                <w:rFonts w:ascii="宋体" w:hAnsi="宋体" w:eastAsia="仿宋_GB2312" w:cs="宋体"/>
                <w:sz w:val="32"/>
                <w:szCs w:val="32"/>
                <w:u w:val="single"/>
              </w:rPr>
              <w:t xml:space="preserve"> </w:t>
            </w:r>
            <w:r>
              <w:rPr>
                <w:rFonts w:ascii="宋体" w:hAnsi="宋体" w:eastAsia="仿宋_GB2312" w:cs="宋体"/>
                <w:w w:val="95"/>
                <w:sz w:val="32"/>
                <w:szCs w:val="32"/>
              </w:rPr>
              <w:t>年</w:t>
            </w:r>
            <w:r>
              <w:rPr>
                <w:rFonts w:ascii="宋体" w:hAnsi="宋体" w:eastAsia="仿宋_GB2312" w:cs="宋体"/>
                <w:w w:val="95"/>
                <w:sz w:val="32"/>
                <w:szCs w:val="32"/>
                <w:u w:val="single"/>
              </w:rPr>
              <w:t xml:space="preserve">        </w:t>
            </w:r>
            <w:r>
              <w:rPr>
                <w:rFonts w:ascii="宋体" w:hAnsi="宋体" w:eastAsia="仿宋_GB2312" w:cs="宋体"/>
                <w:sz w:val="32"/>
                <w:szCs w:val="32"/>
              </w:rPr>
              <w:t>月</w:t>
            </w:r>
            <w:r>
              <w:rPr>
                <w:rFonts w:ascii="宋体" w:hAnsi="宋体" w:eastAsia="仿宋_GB2312" w:cs="宋体"/>
                <w:sz w:val="32"/>
                <w:szCs w:val="32"/>
                <w:u w:val="single"/>
              </w:rPr>
              <w:t xml:space="preserve">       </w:t>
            </w:r>
            <w:r>
              <w:rPr>
                <w:rFonts w:ascii="宋体" w:hAnsi="宋体" w:eastAsia="仿宋_GB2312" w:cs="宋体"/>
                <w:sz w:val="32"/>
                <w:szCs w:val="32"/>
              </w:rPr>
              <w:t>日</w:t>
            </w:r>
          </w:p>
        </w:tc>
      </w:tr>
    </w:tbl>
    <w:p w14:paraId="503BFAAD">
      <w:pPr>
        <w:widowControl w:val="0"/>
        <w:spacing w:before="12"/>
      </w:pPr>
    </w:p>
    <w:p w14:paraId="18F74A49">
      <w:pPr>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14:paraId="4B541C88">
      <w:pPr>
        <w:pStyle w:val="10"/>
        <w:widowControl/>
        <w:shd w:val="clear" w:color="auto" w:fill="FFFFFF"/>
        <w:wordWrap w:val="0"/>
        <w:spacing w:beforeAutospacing="0" w:afterAutospacing="0"/>
        <w:jc w:val="center"/>
        <w:rPr>
          <w:rFonts w:ascii="Helvetica" w:hAnsi="Helvetica" w:eastAsia="Helvetica" w:cs="Helvetica"/>
          <w:color w:val="auto"/>
          <w:sz w:val="36"/>
          <w:szCs w:val="36"/>
          <w:highlight w:val="none"/>
        </w:rPr>
      </w:pPr>
      <w:r>
        <w:rPr>
          <w:rStyle w:val="14"/>
          <w:rFonts w:ascii="Helvetica" w:hAnsi="Helvetica" w:eastAsia="Helvetica" w:cs="Helvetica"/>
          <w:color w:val="auto"/>
          <w:sz w:val="36"/>
          <w:szCs w:val="36"/>
          <w:highlight w:val="none"/>
          <w:shd w:val="clear" w:color="auto" w:fill="FFFFFF"/>
        </w:rPr>
        <w:t>子基金申请表</w:t>
      </w:r>
    </w:p>
    <w:tbl>
      <w:tblPr>
        <w:tblStyle w:val="11"/>
        <w:tblpPr w:leftFromText="180" w:rightFromText="180" w:vertAnchor="text" w:horzAnchor="page" w:tblpX="1087" w:tblpY="540"/>
        <w:tblOverlap w:val="never"/>
        <w:tblW w:w="9320" w:type="dxa"/>
        <w:tblInd w:w="0" w:type="dxa"/>
        <w:shd w:val="clear" w:color="auto" w:fill="FFFFFF"/>
        <w:tblLayout w:type="fixed"/>
        <w:tblCellMar>
          <w:top w:w="15" w:type="dxa"/>
          <w:left w:w="15" w:type="dxa"/>
          <w:bottom w:w="15" w:type="dxa"/>
          <w:right w:w="15" w:type="dxa"/>
        </w:tblCellMar>
      </w:tblPr>
      <w:tblGrid>
        <w:gridCol w:w="632"/>
        <w:gridCol w:w="1597"/>
        <w:gridCol w:w="1418"/>
        <w:gridCol w:w="3427"/>
        <w:gridCol w:w="2246"/>
      </w:tblGrid>
      <w:tr w14:paraId="0F4F0D02">
        <w:tblPrEx>
          <w:shd w:val="clear" w:color="auto" w:fill="FFFFFF"/>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28BD104">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一、申请机构</w:t>
            </w:r>
          </w:p>
        </w:tc>
      </w:tr>
      <w:tr w14:paraId="73058A49">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9BAADA4">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机构名称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C7D418">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98EAE0">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法定代表人/执行事务合伙人</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1655761">
            <w:pPr>
              <w:widowControl/>
              <w:wordWrap w:val="0"/>
              <w:jc w:val="left"/>
              <w:rPr>
                <w:rFonts w:ascii="Helvetica" w:hAnsi="Helvetica" w:eastAsia="Helvetica" w:cs="Helvetica"/>
                <w:color w:val="auto"/>
                <w:sz w:val="24"/>
                <w:highlight w:val="none"/>
              </w:rPr>
            </w:pPr>
          </w:p>
        </w:tc>
      </w:tr>
      <w:tr w14:paraId="2AC76AB3">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308D4A9">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C73F7D0">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5859A13">
            <w:pPr>
              <w:pStyle w:val="10"/>
              <w:widowControl/>
              <w:wordWrap w:val="0"/>
              <w:spacing w:beforeAutospacing="0" w:afterAutospacing="0"/>
              <w:jc w:val="center"/>
              <w:rPr>
                <w:color w:val="auto"/>
                <w:highlight w:val="none"/>
              </w:rPr>
            </w:pPr>
            <w:r>
              <w:rPr>
                <w:rFonts w:hint="eastAsia" w:cs="Helvetica" w:asciiTheme="minorEastAsia" w:hAnsiTheme="minorEastAsia"/>
                <w:color w:val="auto"/>
                <w:highlight w:val="none"/>
              </w:rPr>
              <w:t>统一社会信用</w:t>
            </w:r>
            <w:r>
              <w:rPr>
                <w:rFonts w:ascii="Helvetica" w:hAnsi="Helvetica" w:eastAsia="Helvetica" w:cs="Helvetica"/>
                <w:color w:val="auto"/>
                <w:highlight w:val="none"/>
              </w:rPr>
              <w:t>代码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CB67CCC">
            <w:pPr>
              <w:widowControl/>
              <w:wordWrap w:val="0"/>
              <w:jc w:val="left"/>
              <w:rPr>
                <w:rFonts w:ascii="Helvetica" w:hAnsi="Helvetica" w:eastAsia="Helvetica" w:cs="Helvetica"/>
                <w:color w:val="auto"/>
                <w:sz w:val="24"/>
                <w:highlight w:val="none"/>
              </w:rPr>
            </w:pPr>
          </w:p>
        </w:tc>
      </w:tr>
      <w:tr w14:paraId="3C9068CE">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876E8A5">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注册资本/认缴出资总额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7D5D91E">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EDA8163">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实缴资本</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F3D23E">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14:paraId="39C2753A">
        <w:tblPrEx>
          <w:tblCellMar>
            <w:top w:w="15" w:type="dxa"/>
            <w:left w:w="15" w:type="dxa"/>
            <w:bottom w:w="15" w:type="dxa"/>
            <w:right w:w="15" w:type="dxa"/>
          </w:tblCellMar>
        </w:tblPrEx>
        <w:trPr>
          <w:trHeight w:val="147" w:hRule="atLeast"/>
        </w:trPr>
        <w:tc>
          <w:tcPr>
            <w:tcW w:w="632"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0AB02E2">
            <w:pPr>
              <w:widowControl/>
              <w:wordWrap w:val="0"/>
              <w:jc w:val="center"/>
              <w:rPr>
                <w:rFonts w:ascii="Helvetica" w:hAnsi="Helvetica" w:eastAsia="Helvetica" w:cs="Helvetica"/>
                <w:color w:val="auto"/>
                <w:sz w:val="24"/>
                <w:highlight w:val="none"/>
              </w:rPr>
            </w:pPr>
            <w:r>
              <w:rPr>
                <w:rFonts w:ascii="Helvetica" w:hAnsi="Helvetica" w:eastAsia="Helvetica" w:cs="Helvetica"/>
                <w:color w:val="auto"/>
                <w:kern w:val="0"/>
                <w:sz w:val="24"/>
                <w:highlight w:val="none"/>
                <w:lang w:bidi="ar"/>
              </w:rPr>
              <w:t>联系人</w:t>
            </w: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4652F72">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姓名</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6D4EE10">
            <w:pPr>
              <w:pStyle w:val="10"/>
              <w:widowControl/>
              <w:wordWrap w:val="0"/>
              <w:spacing w:beforeAutospacing="0" w:afterAutospacing="0"/>
              <w:jc w:val="center"/>
              <w:rPr>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822C2B4">
            <w:pPr>
              <w:widowControl/>
              <w:wordWrap w:val="0"/>
              <w:jc w:val="center"/>
              <w:rPr>
                <w:rFonts w:ascii="Helvetica" w:hAnsi="Helvetica" w:eastAsia="Helvetica" w:cs="Helvetica"/>
                <w:color w:val="auto"/>
                <w:sz w:val="24"/>
                <w:highlight w:val="none"/>
              </w:rPr>
            </w:pPr>
            <w:r>
              <w:rPr>
                <w:rFonts w:ascii="Helvetica" w:hAnsi="Helvetica" w:eastAsia="Helvetica" w:cs="Helvetica"/>
                <w:color w:val="auto"/>
                <w:kern w:val="0"/>
                <w:sz w:val="24"/>
                <w:highlight w:val="none"/>
                <w:lang w:bidi="ar"/>
              </w:rPr>
              <w:t>职务</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C56F584">
            <w:pPr>
              <w:pStyle w:val="10"/>
              <w:widowControl/>
              <w:wordWrap w:val="0"/>
              <w:spacing w:beforeAutospacing="0" w:afterAutospacing="0"/>
              <w:jc w:val="center"/>
              <w:rPr>
                <w:color w:val="auto"/>
                <w:highlight w:val="none"/>
              </w:rPr>
            </w:pPr>
          </w:p>
        </w:tc>
      </w:tr>
      <w:tr w14:paraId="676771B1">
        <w:tblPrEx>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E86ABAA">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C5DA9BB">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办公电话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955E8E2">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E0E440">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手机</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A2E386">
            <w:pPr>
              <w:widowControl/>
              <w:wordWrap w:val="0"/>
              <w:jc w:val="left"/>
              <w:rPr>
                <w:rFonts w:ascii="Helvetica" w:hAnsi="Helvetica" w:eastAsia="Helvetica" w:cs="Helvetica"/>
                <w:color w:val="auto"/>
                <w:sz w:val="24"/>
                <w:highlight w:val="none"/>
              </w:rPr>
            </w:pPr>
          </w:p>
        </w:tc>
      </w:tr>
      <w:tr w14:paraId="4D5D15BE">
        <w:tblPrEx>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18B9A4">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4022631">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传真</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4820AA">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7D1967D">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电子邮箱</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C19FC3C">
            <w:pPr>
              <w:widowControl/>
              <w:wordWrap w:val="0"/>
              <w:jc w:val="left"/>
              <w:rPr>
                <w:rFonts w:ascii="Helvetica" w:hAnsi="Helvetica" w:eastAsia="Helvetica" w:cs="Helvetica"/>
                <w:color w:val="auto"/>
                <w:sz w:val="24"/>
                <w:highlight w:val="none"/>
              </w:rPr>
            </w:pPr>
          </w:p>
        </w:tc>
      </w:tr>
      <w:tr w14:paraId="1361FFC1">
        <w:tblPrEx>
          <w:tblCellMar>
            <w:top w:w="15" w:type="dxa"/>
            <w:left w:w="15" w:type="dxa"/>
            <w:bottom w:w="15" w:type="dxa"/>
            <w:right w:w="15" w:type="dxa"/>
          </w:tblCellMar>
        </w:tblPrEx>
        <w:trPr>
          <w:trHeight w:val="147" w:hRule="atLeast"/>
        </w:trPr>
        <w:tc>
          <w:tcPr>
            <w:tcW w:w="632"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0CDB3C8">
            <w:pPr>
              <w:jc w:val="center"/>
              <w:rPr>
                <w:rFonts w:ascii="Helvetica" w:hAnsi="Helvetica" w:eastAsia="Helvetica" w:cs="Helvetica"/>
                <w:color w:val="auto"/>
                <w:sz w:val="24"/>
                <w:highlight w:val="none"/>
              </w:rPr>
            </w:pPr>
          </w:p>
        </w:tc>
        <w:tc>
          <w:tcPr>
            <w:tcW w:w="159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AC062C2">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通信地址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71E2A87">
            <w:pPr>
              <w:widowControl/>
              <w:wordWrap w:val="0"/>
              <w:jc w:val="righ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E531D0F">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邮政编码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BBA771">
            <w:pPr>
              <w:widowControl/>
              <w:wordWrap w:val="0"/>
              <w:jc w:val="left"/>
              <w:rPr>
                <w:rFonts w:ascii="Helvetica" w:hAnsi="Helvetica" w:eastAsia="Helvetica" w:cs="Helvetica"/>
                <w:color w:val="auto"/>
                <w:sz w:val="24"/>
                <w:highlight w:val="none"/>
              </w:rPr>
            </w:pPr>
          </w:p>
        </w:tc>
      </w:tr>
      <w:tr w14:paraId="6147ED82">
        <w:tblPrEx>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E32BE66">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二、子基金</w:t>
            </w:r>
          </w:p>
        </w:tc>
      </w:tr>
      <w:tr w14:paraId="7D94F5B2">
        <w:tblPrEx>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45F6E5D">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F7143D8">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D92EBCF">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组织形式</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102C77B">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□公司制</w:t>
            </w:r>
          </w:p>
          <w:p w14:paraId="5BFCE6FE">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□有限合伙制</w:t>
            </w:r>
          </w:p>
        </w:tc>
      </w:tr>
      <w:tr w14:paraId="03FE7301">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9164256">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CEDDC7A">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21A94CE">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存续期限</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217CDFB">
            <w:pPr>
              <w:widowControl/>
              <w:wordWrap w:val="0"/>
              <w:jc w:val="left"/>
              <w:rPr>
                <w:rFonts w:ascii="Helvetica" w:hAnsi="Helvetica" w:eastAsia="Helvetica" w:cs="Helvetica"/>
                <w:color w:val="auto"/>
                <w:sz w:val="24"/>
                <w:highlight w:val="none"/>
              </w:rPr>
            </w:pPr>
          </w:p>
        </w:tc>
      </w:tr>
      <w:tr w14:paraId="78F5C586">
        <w:tblPrEx>
          <w:tblCellMar>
            <w:top w:w="15" w:type="dxa"/>
            <w:left w:w="15" w:type="dxa"/>
            <w:bottom w:w="15" w:type="dxa"/>
            <w:right w:w="15" w:type="dxa"/>
          </w:tblCellMar>
        </w:tblPrEx>
        <w:trPr>
          <w:trHeight w:val="147" w:hRule="atLeast"/>
        </w:trPr>
        <w:tc>
          <w:tcPr>
            <w:tcW w:w="3647"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D0FB86C">
            <w:pPr>
              <w:widowControl/>
              <w:wordWrap w:val="0"/>
              <w:jc w:val="center"/>
              <w:rPr>
                <w:rFonts w:ascii="Helvetica" w:hAnsi="Helvetica" w:eastAsia="Helvetica" w:cs="Helvetica"/>
                <w:color w:val="auto"/>
                <w:kern w:val="0"/>
                <w:sz w:val="24"/>
                <w:highlight w:val="none"/>
              </w:rPr>
            </w:pPr>
            <w:r>
              <w:rPr>
                <w:rFonts w:hint="default" w:ascii="Helvetica" w:hAnsi="Helvetica" w:eastAsia="Helvetica" w:cs="Helvetica"/>
                <w:color w:val="auto"/>
                <w:kern w:val="0"/>
                <w:sz w:val="24"/>
                <w:highlight w:val="none"/>
                <w:lang w:val="en-US" w:eastAsia="zh-CN"/>
              </w:rPr>
              <w:t>申请类型</w:t>
            </w:r>
            <w:r>
              <w:rPr>
                <w:rStyle w:val="16"/>
                <w:rFonts w:hint="default" w:ascii="Helvetica" w:hAnsi="Helvetica" w:eastAsia="Helvetica" w:cs="Helvetica"/>
                <w:color w:val="auto"/>
                <w:kern w:val="0"/>
                <w:sz w:val="24"/>
                <w:highlight w:val="none"/>
                <w:lang w:val="en-US" w:eastAsia="zh-CN"/>
              </w:rPr>
              <w:footnoteReference w:id="0"/>
            </w:r>
          </w:p>
        </w:tc>
        <w:tc>
          <w:tcPr>
            <w:tcW w:w="5673"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7926FF3">
            <w:pPr>
              <w:pStyle w:val="10"/>
              <w:widowControl/>
              <w:wordWrap w:val="0"/>
              <w:spacing w:beforeAutospacing="0" w:afterAutospacing="0" w:line="360" w:lineRule="exact"/>
              <w:jc w:val="center"/>
              <w:rPr>
                <w:rFonts w:hint="default" w:ascii="Helvetica" w:hAnsi="Helvetica" w:eastAsia="Helvetica" w:cs="Helvetica"/>
                <w:color w:val="auto"/>
                <w:highlight w:val="none"/>
              </w:rPr>
            </w:pPr>
            <w:r>
              <w:rPr>
                <w:rFonts w:ascii="Helvetica" w:hAnsi="Helvetica" w:eastAsia="Helvetica" w:cs="Helvetica"/>
                <w:color w:val="auto"/>
                <w:highlight w:val="none"/>
              </w:rPr>
              <w:t>□</w:t>
            </w:r>
            <w:r>
              <w:rPr>
                <w:rFonts w:hint="default" w:ascii="Helvetica" w:hAnsi="Helvetica" w:eastAsia="Helvetica" w:cs="Helvetica"/>
                <w:color w:val="auto"/>
                <w:highlight w:val="none"/>
                <w:lang w:val="en-US" w:eastAsia="zh-CN"/>
              </w:rPr>
              <w:t>产业主力子基金</w:t>
            </w:r>
          </w:p>
          <w:p w14:paraId="5E683F56">
            <w:pPr>
              <w:pStyle w:val="10"/>
              <w:widowControl/>
              <w:wordWrap w:val="0"/>
              <w:spacing w:beforeAutospacing="0" w:afterAutospacing="0" w:line="360" w:lineRule="exact"/>
              <w:jc w:val="center"/>
              <w:rPr>
                <w:rFonts w:ascii="Helvetica" w:hAnsi="Helvetica" w:eastAsia="Helvetica" w:cs="Helvetica"/>
                <w:color w:val="auto"/>
                <w:sz w:val="24"/>
                <w:highlight w:val="none"/>
              </w:rPr>
            </w:pPr>
            <w:r>
              <w:rPr>
                <w:rFonts w:ascii="Helvetica" w:hAnsi="Helvetica" w:eastAsia="Helvetica" w:cs="Helvetica"/>
                <w:color w:val="auto"/>
                <w:highlight w:val="none"/>
              </w:rPr>
              <w:t>□</w:t>
            </w:r>
            <w:r>
              <w:rPr>
                <w:rFonts w:hint="default" w:ascii="Helvetica" w:hAnsi="Helvetica" w:eastAsia="Helvetica" w:cs="Helvetica"/>
                <w:color w:val="auto"/>
                <w:highlight w:val="none"/>
              </w:rPr>
              <w:t>科创培育子基金</w:t>
            </w:r>
          </w:p>
        </w:tc>
      </w:tr>
      <w:tr w14:paraId="2CCE5591">
        <w:tblPrEx>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2D6399">
            <w:pPr>
              <w:pStyle w:val="10"/>
              <w:widowControl/>
              <w:wordWrap w:val="0"/>
              <w:spacing w:beforeAutospacing="0" w:afterAutospacing="0"/>
              <w:jc w:val="center"/>
              <w:rPr>
                <w:color w:val="auto"/>
                <w:highlight w:val="none"/>
              </w:rPr>
            </w:pPr>
            <w:r>
              <w:rPr>
                <w:rFonts w:hint="eastAsia" w:ascii="Helvetica" w:hAnsi="Helvetica" w:eastAsia="宋体" w:cs="Helvetica"/>
                <w:color w:val="auto"/>
                <w:highlight w:val="none"/>
                <w:lang w:val="en-US" w:eastAsia="zh-CN"/>
              </w:rPr>
              <w:t>主投</w:t>
            </w:r>
            <w:r>
              <w:rPr>
                <w:rFonts w:ascii="Helvetica" w:hAnsi="Helvetica" w:eastAsia="Helvetica" w:cs="Helvetica"/>
                <w:color w:val="auto"/>
                <w:highlight w:val="none"/>
              </w:rPr>
              <w:t>领域</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3F9448">
            <w:pPr>
              <w:widowControl/>
              <w:wordWrap w:val="0"/>
              <w:jc w:val="left"/>
              <w:rPr>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213ED1">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子基金</w:t>
            </w:r>
            <w:r>
              <w:rPr>
                <w:rFonts w:hint="eastAsia" w:ascii="Helvetica" w:hAnsi="Helvetica" w:eastAsia="宋体" w:cs="Helvetica"/>
                <w:color w:val="auto"/>
                <w:highlight w:val="none"/>
                <w:lang w:val="en-US" w:eastAsia="zh-CN"/>
              </w:rPr>
              <w:t>设立</w:t>
            </w:r>
            <w:r>
              <w:rPr>
                <w:rFonts w:ascii="Helvetica" w:hAnsi="Helvetica" w:eastAsia="Helvetica" w:cs="Helvetica"/>
                <w:color w:val="auto"/>
                <w:highlight w:val="none"/>
              </w:rPr>
              <w:t>规模</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4CFAFB3">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14:paraId="3067B4EE">
        <w:tblPrEx>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4A688A">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已募集资金</w:t>
            </w:r>
            <w:r>
              <w:rPr>
                <w:rFonts w:hint="eastAsia" w:ascii="Helvetica" w:hAnsi="Helvetica" w:eastAsia="宋体" w:cs="Helvetica"/>
                <w:color w:val="auto"/>
                <w:highlight w:val="none"/>
                <w:lang w:val="en-US" w:eastAsia="zh-CN"/>
              </w:rPr>
              <w:t>出资金额及占比</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BF74446">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p w14:paraId="24FCF845">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占比：   %</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630840">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子基金管理机构</w:t>
            </w:r>
            <w:r>
              <w:rPr>
                <w:rFonts w:hint="eastAsia" w:ascii="Helvetica" w:hAnsi="Helvetica" w:eastAsia="宋体" w:cs="Helvetica"/>
                <w:color w:val="auto"/>
                <w:highlight w:val="none"/>
                <w:lang w:eastAsia="zh-CN"/>
              </w:rPr>
              <w:t>及</w:t>
            </w:r>
            <w:r>
              <w:rPr>
                <w:rFonts w:ascii="Helvetica" w:hAnsi="Helvetica" w:eastAsia="Helvetica" w:cs="Helvetica"/>
                <w:color w:val="auto"/>
                <w:highlight w:val="none"/>
              </w:rPr>
              <w:t>其关联方承诺出资及占比</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A1814E0">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p w14:paraId="00D5BE53">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占比：   %</w:t>
            </w:r>
          </w:p>
        </w:tc>
      </w:tr>
      <w:tr w14:paraId="29C91FE3">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CB3C19">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申请母基金</w:t>
            </w:r>
            <w:r>
              <w:rPr>
                <w:rFonts w:hint="eastAsia" w:ascii="Helvetica" w:hAnsi="Helvetica" w:eastAsia="宋体" w:cs="Helvetica"/>
                <w:color w:val="auto"/>
                <w:highlight w:val="none"/>
              </w:rPr>
              <w:t>出资</w:t>
            </w:r>
            <w:r>
              <w:rPr>
                <w:rFonts w:ascii="Helvetica" w:hAnsi="Helvetica" w:eastAsia="Helvetica" w:cs="Helvetica"/>
                <w:color w:val="auto"/>
                <w:highlight w:val="none"/>
              </w:rPr>
              <w:t>金额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FB9BD5F">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A2B6B49">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母基金出资比例</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7F3B646">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w:t>
            </w:r>
          </w:p>
        </w:tc>
      </w:tr>
      <w:tr w14:paraId="470E1B13">
        <w:tblPrEx>
          <w:tblCellMar>
            <w:top w:w="15" w:type="dxa"/>
            <w:left w:w="15" w:type="dxa"/>
            <w:bottom w:w="15" w:type="dxa"/>
            <w:right w:w="15" w:type="dxa"/>
          </w:tblCellMar>
        </w:tblPrEx>
        <w:trPr>
          <w:trHeight w:val="147" w:hRule="atLeast"/>
        </w:trPr>
        <w:tc>
          <w:tcPr>
            <w:tcW w:w="9320" w:type="dxa"/>
            <w:gridSpan w:val="5"/>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44758F4">
            <w:pPr>
              <w:pStyle w:val="10"/>
              <w:widowControl/>
              <w:wordWrap w:val="0"/>
              <w:spacing w:beforeAutospacing="0" w:afterAutospacing="0"/>
              <w:jc w:val="center"/>
              <w:rPr>
                <w:color w:val="auto"/>
                <w:highlight w:val="none"/>
              </w:rPr>
            </w:pPr>
            <w:r>
              <w:rPr>
                <w:rStyle w:val="14"/>
                <w:rFonts w:ascii="Helvetica" w:hAnsi="Helvetica" w:eastAsia="Helvetica" w:cs="Helvetica"/>
                <w:color w:val="auto"/>
                <w:highlight w:val="none"/>
              </w:rPr>
              <w:t>三、子基金管理机构</w:t>
            </w:r>
          </w:p>
        </w:tc>
      </w:tr>
      <w:tr w14:paraId="3C79E282">
        <w:tblPrEx>
          <w:tblCellMar>
            <w:top w:w="15" w:type="dxa"/>
            <w:left w:w="15" w:type="dxa"/>
            <w:bottom w:w="15" w:type="dxa"/>
            <w:right w:w="15" w:type="dxa"/>
          </w:tblCellMar>
        </w:tblPrEx>
        <w:trPr>
          <w:trHeight w:val="28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12278D2">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机构名称</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08D0171">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23C2C10">
            <w:pPr>
              <w:pStyle w:val="10"/>
              <w:widowControl/>
              <w:wordWrap w:val="0"/>
              <w:spacing w:beforeAutospacing="0" w:afterAutospacing="0"/>
              <w:jc w:val="center"/>
              <w:rPr>
                <w:color w:val="auto"/>
                <w:highlight w:val="none"/>
              </w:rPr>
            </w:pPr>
            <w:r>
              <w:rPr>
                <w:rFonts w:hint="eastAsia" w:cs="Helvetica" w:asciiTheme="minorEastAsia" w:hAnsiTheme="minorEastAsia"/>
                <w:color w:val="auto"/>
                <w:highlight w:val="none"/>
              </w:rPr>
              <w:t>统一社会信用</w:t>
            </w:r>
            <w:r>
              <w:rPr>
                <w:rFonts w:ascii="Helvetica" w:hAnsi="Helvetica" w:eastAsia="Helvetica" w:cs="Helvetica"/>
                <w:color w:val="auto"/>
                <w:highlight w:val="none"/>
              </w:rPr>
              <w:t>代码</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87A7F46">
            <w:pPr>
              <w:pStyle w:val="10"/>
              <w:widowControl/>
              <w:wordWrap w:val="0"/>
              <w:spacing w:beforeAutospacing="0" w:afterAutospacing="0"/>
              <w:jc w:val="center"/>
              <w:rPr>
                <w:color w:val="auto"/>
                <w:highlight w:val="none"/>
              </w:rPr>
            </w:pPr>
          </w:p>
        </w:tc>
      </w:tr>
      <w:tr w14:paraId="3F202544">
        <w:tblPrEx>
          <w:tblCellMar>
            <w:top w:w="15" w:type="dxa"/>
            <w:left w:w="15" w:type="dxa"/>
            <w:bottom w:w="15" w:type="dxa"/>
            <w:right w:w="15" w:type="dxa"/>
          </w:tblCellMar>
        </w:tblPrEx>
        <w:trPr>
          <w:trHeight w:val="147"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84FA177">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注册地址</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64CE22F">
            <w:pPr>
              <w:widowControl/>
              <w:wordWrap w:val="0"/>
              <w:jc w:val="left"/>
              <w:rPr>
                <w:rFonts w:ascii="Helvetica" w:hAnsi="Helvetica" w:eastAsia="Helvetica" w:cs="Helvetica"/>
                <w:color w:val="auto"/>
                <w:sz w:val="24"/>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95B2EE">
            <w:pPr>
              <w:pStyle w:val="10"/>
              <w:widowControl/>
              <w:wordWrap w:val="0"/>
              <w:spacing w:beforeAutospacing="0" w:afterAutospacing="0"/>
              <w:jc w:val="center"/>
              <w:rPr>
                <w:color w:val="auto"/>
                <w:highlight w:val="none"/>
              </w:rPr>
            </w:pPr>
            <w:r>
              <w:rPr>
                <w:rFonts w:hint="eastAsia" w:ascii="Helvetica" w:hAnsi="Helvetica" w:eastAsia="宋体" w:cs="Helvetica"/>
                <w:color w:val="auto"/>
                <w:highlight w:val="none"/>
              </w:rPr>
              <w:t>实际办公地址</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BC743ED">
            <w:pPr>
              <w:widowControl/>
              <w:wordWrap w:val="0"/>
              <w:jc w:val="left"/>
              <w:rPr>
                <w:rFonts w:ascii="Helvetica" w:hAnsi="Helvetica" w:eastAsia="Helvetica" w:cs="Helvetica"/>
                <w:color w:val="auto"/>
                <w:sz w:val="24"/>
                <w:highlight w:val="none"/>
              </w:rPr>
            </w:pPr>
          </w:p>
        </w:tc>
      </w:tr>
      <w:tr w14:paraId="0A389599">
        <w:tblPrEx>
          <w:tblCellMar>
            <w:top w:w="15" w:type="dxa"/>
            <w:left w:w="15" w:type="dxa"/>
            <w:bottom w:w="15" w:type="dxa"/>
            <w:right w:w="15" w:type="dxa"/>
          </w:tblCellMar>
        </w:tblPrEx>
        <w:trPr>
          <w:trHeight w:val="154"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52C65D">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注册资本/认缴出资总额</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55B904B">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8D6B00B">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实缴资本</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331C640">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           万元</w:t>
            </w:r>
          </w:p>
        </w:tc>
      </w:tr>
      <w:tr w14:paraId="2418C43F">
        <w:tblPrEx>
          <w:tblCellMar>
            <w:top w:w="15" w:type="dxa"/>
            <w:left w:w="15" w:type="dxa"/>
            <w:bottom w:w="15" w:type="dxa"/>
            <w:right w:w="15" w:type="dxa"/>
          </w:tblCellMar>
        </w:tblPrEx>
        <w:trPr>
          <w:trHeight w:val="154" w:hRule="atLeast"/>
        </w:trPr>
        <w:tc>
          <w:tcPr>
            <w:tcW w:w="222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55738DD">
            <w:pPr>
              <w:pStyle w:val="10"/>
              <w:widowControl/>
              <w:wordWrap w:val="0"/>
              <w:spacing w:beforeAutospacing="0" w:afterAutospacing="0"/>
              <w:jc w:val="center"/>
              <w:rPr>
                <w:rFonts w:ascii="Helvetica" w:hAnsi="Helvetica" w:eastAsia="宋体" w:cs="Helvetica"/>
                <w:color w:val="auto"/>
                <w:highlight w:val="none"/>
              </w:rPr>
            </w:pPr>
            <w:r>
              <w:rPr>
                <w:rFonts w:ascii="Helvetica" w:hAnsi="Helvetica" w:eastAsia="Helvetica" w:cs="Helvetica"/>
                <w:color w:val="auto"/>
                <w:highlight w:val="none"/>
              </w:rPr>
              <w:t>法定代表人/执行事务合伙人</w:t>
            </w:r>
          </w:p>
        </w:tc>
        <w:tc>
          <w:tcPr>
            <w:tcW w:w="141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E2E8EC">
            <w:pPr>
              <w:pStyle w:val="10"/>
              <w:widowControl/>
              <w:wordWrap w:val="0"/>
              <w:spacing w:beforeAutospacing="0" w:afterAutospacing="0"/>
              <w:jc w:val="center"/>
              <w:rPr>
                <w:rFonts w:ascii="Helvetica" w:hAnsi="Helvetica" w:eastAsia="Helvetica" w:cs="Helvetica"/>
                <w:color w:val="auto"/>
                <w:highlight w:val="none"/>
              </w:rPr>
            </w:pPr>
          </w:p>
        </w:tc>
        <w:tc>
          <w:tcPr>
            <w:tcW w:w="3427"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EE46006">
            <w:pPr>
              <w:pStyle w:val="10"/>
              <w:widowControl/>
              <w:wordWrap w:val="0"/>
              <w:spacing w:beforeAutospacing="0" w:afterAutospacing="0"/>
              <w:jc w:val="center"/>
              <w:rPr>
                <w:rFonts w:ascii="Helvetica" w:hAnsi="Helvetica" w:eastAsia="宋体" w:cs="Helvetica"/>
                <w:color w:val="auto"/>
                <w:highlight w:val="none"/>
              </w:rPr>
            </w:pPr>
            <w:r>
              <w:rPr>
                <w:rFonts w:hint="eastAsia" w:ascii="Helvetica" w:hAnsi="Helvetica" w:eastAsia="宋体" w:cs="Helvetica"/>
                <w:color w:val="auto"/>
                <w:highlight w:val="none"/>
              </w:rPr>
              <w:t>组织形式</w:t>
            </w:r>
          </w:p>
        </w:tc>
        <w:tc>
          <w:tcPr>
            <w:tcW w:w="22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4DC08FA">
            <w:pPr>
              <w:pStyle w:val="10"/>
              <w:widowControl/>
              <w:wordWrap w:val="0"/>
              <w:spacing w:beforeAutospacing="0" w:afterAutospacing="0"/>
              <w:jc w:val="center"/>
              <w:rPr>
                <w:color w:val="auto"/>
                <w:highlight w:val="none"/>
              </w:rPr>
            </w:pPr>
            <w:r>
              <w:rPr>
                <w:rFonts w:ascii="Helvetica" w:hAnsi="Helvetica" w:eastAsia="Helvetica" w:cs="Helvetica"/>
                <w:color w:val="auto"/>
                <w:highlight w:val="none"/>
              </w:rPr>
              <w:t>□公司制</w:t>
            </w:r>
          </w:p>
          <w:p w14:paraId="3572E772">
            <w:pPr>
              <w:pStyle w:val="10"/>
              <w:widowControl/>
              <w:wordWrap w:val="0"/>
              <w:spacing w:beforeAutospacing="0" w:afterAutospacing="0"/>
              <w:jc w:val="center"/>
              <w:rPr>
                <w:rFonts w:ascii="Helvetica" w:hAnsi="Helvetica" w:eastAsia="Helvetica" w:cs="Helvetica"/>
                <w:color w:val="auto"/>
                <w:highlight w:val="none"/>
              </w:rPr>
            </w:pPr>
            <w:r>
              <w:rPr>
                <w:rFonts w:ascii="Helvetica" w:hAnsi="Helvetica" w:eastAsia="Helvetica" w:cs="Helvetica"/>
                <w:color w:val="auto"/>
                <w:highlight w:val="none"/>
              </w:rPr>
              <w:t>□有限合伙制</w:t>
            </w:r>
          </w:p>
        </w:tc>
      </w:tr>
    </w:tbl>
    <w:p w14:paraId="1BF71143">
      <w:pPr>
        <w:pStyle w:val="10"/>
        <w:widowControl/>
        <w:shd w:val="clear" w:color="auto" w:fill="FFFFFF"/>
        <w:wordWrap w:val="0"/>
        <w:spacing w:beforeAutospacing="0" w:afterAutospacing="0"/>
        <w:jc w:val="right"/>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（公章）</w:t>
      </w:r>
    </w:p>
    <w:p w14:paraId="47563E62">
      <w:pPr>
        <w:pStyle w:val="10"/>
        <w:widowControl/>
        <w:shd w:val="clear" w:color="auto" w:fill="FFFFFF"/>
        <w:wordWrap w:val="0"/>
        <w:spacing w:beforeAutospacing="0" w:afterAutospacing="0"/>
        <w:jc w:val="center"/>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350D3929">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2AC15FD4">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23B77A29">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5B7682A3">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15A0272D">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15B5FB1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52809CA7">
      <w:pPr>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14:paraId="60273C25">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1D7DCCC7">
      <w:pPr>
        <w:pStyle w:val="10"/>
        <w:widowControl/>
        <w:shd w:val="clear" w:color="auto" w:fill="FFFFFF"/>
        <w:wordWrap w:val="0"/>
        <w:spacing w:beforeAutospacing="0" w:afterAutospacing="0"/>
        <w:jc w:val="center"/>
        <w:rPr>
          <w:rStyle w:val="14"/>
          <w:rFonts w:hint="eastAsia" w:ascii="方正小标宋简体" w:hAnsi="方正小标宋简体" w:eastAsia="方正小标宋简体" w:cs="方正小标宋简体"/>
          <w:color w:val="auto"/>
          <w:sz w:val="36"/>
          <w:szCs w:val="36"/>
          <w:highlight w:val="none"/>
          <w:shd w:val="clear" w:color="auto" w:fill="FFFFFF"/>
        </w:rPr>
      </w:pPr>
      <w:r>
        <w:rPr>
          <w:rStyle w:val="14"/>
          <w:rFonts w:hint="eastAsia" w:ascii="方正小标宋简体" w:hAnsi="方正小标宋简体" w:eastAsia="方正小标宋简体" w:cs="方正小标宋简体"/>
          <w:color w:val="auto"/>
          <w:sz w:val="36"/>
          <w:szCs w:val="36"/>
          <w:highlight w:val="none"/>
          <w:shd w:val="clear" w:color="auto" w:fill="FFFFFF"/>
          <w:lang w:val="en-US" w:eastAsia="zh-CN"/>
        </w:rPr>
        <w:t>子基金</w:t>
      </w:r>
      <w:r>
        <w:rPr>
          <w:rStyle w:val="14"/>
          <w:rFonts w:hint="eastAsia" w:ascii="方正小标宋简体" w:hAnsi="方正小标宋简体" w:eastAsia="方正小标宋简体" w:cs="方正小标宋简体"/>
          <w:color w:val="auto"/>
          <w:sz w:val="36"/>
          <w:szCs w:val="36"/>
          <w:highlight w:val="none"/>
          <w:shd w:val="clear" w:color="auto" w:fill="FFFFFF"/>
        </w:rPr>
        <w:t>申请方案</w:t>
      </w:r>
    </w:p>
    <w:p w14:paraId="4C8D5B81">
      <w:pPr>
        <w:pStyle w:val="10"/>
        <w:widowControl/>
        <w:shd w:val="clear" w:color="auto" w:fill="FFFFFF"/>
        <w:wordWrap w:val="0"/>
        <w:spacing w:beforeAutospacing="0" w:afterAutospacing="0"/>
        <w:jc w:val="center"/>
        <w:rPr>
          <w:rFonts w:hint="eastAsia" w:ascii="方正小标宋简体" w:hAnsi="方正小标宋简体" w:eastAsia="方正小标宋简体" w:cs="方正小标宋简体"/>
          <w:color w:val="auto"/>
          <w:sz w:val="32"/>
          <w:szCs w:val="32"/>
          <w:highlight w:val="none"/>
        </w:rPr>
      </w:pPr>
      <w:r>
        <w:rPr>
          <w:rStyle w:val="14"/>
          <w:rFonts w:hint="eastAsia" w:ascii="方正小标宋简体" w:hAnsi="方正小标宋简体" w:eastAsia="方正小标宋简体" w:cs="方正小标宋简体"/>
          <w:color w:val="auto"/>
          <w:sz w:val="32"/>
          <w:szCs w:val="32"/>
          <w:highlight w:val="none"/>
          <w:shd w:val="clear" w:color="auto" w:fill="FFFFFF"/>
          <w:lang w:eastAsia="zh-CN"/>
        </w:rPr>
        <w:t>（</w:t>
      </w:r>
      <w:r>
        <w:rPr>
          <w:rStyle w:val="14"/>
          <w:rFonts w:hint="eastAsia" w:ascii="方正小标宋简体" w:hAnsi="方正小标宋简体" w:eastAsia="方正小标宋简体" w:cs="方正小标宋简体"/>
          <w:color w:val="auto"/>
          <w:sz w:val="32"/>
          <w:szCs w:val="32"/>
          <w:highlight w:val="none"/>
          <w:shd w:val="clear" w:color="auto" w:fill="FFFFFF"/>
          <w:lang w:val="en-US" w:eastAsia="zh-CN"/>
        </w:rPr>
        <w:t>参考模板</w:t>
      </w:r>
      <w:r>
        <w:rPr>
          <w:rStyle w:val="14"/>
          <w:rFonts w:hint="eastAsia" w:ascii="方正小标宋简体" w:hAnsi="方正小标宋简体" w:eastAsia="方正小标宋简体" w:cs="方正小标宋简体"/>
          <w:color w:val="auto"/>
          <w:sz w:val="32"/>
          <w:szCs w:val="32"/>
          <w:highlight w:val="none"/>
          <w:shd w:val="clear" w:color="auto" w:fill="FFFFFF"/>
          <w:lang w:eastAsia="zh-CN"/>
        </w:rPr>
        <w:t>）</w:t>
      </w:r>
    </w:p>
    <w:p w14:paraId="248C6B01">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22AD21CE">
      <w:pPr>
        <w:pStyle w:val="10"/>
        <w:widowControl/>
        <w:shd w:val="clear" w:color="auto" w:fill="FFFFFF"/>
        <w:wordWrap w:val="0"/>
        <w:spacing w:beforeAutospacing="0" w:afterAutospacing="0" w:line="520" w:lineRule="exact"/>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097EE054">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0" w:name="_Toc25688"/>
      <w:bookmarkStart w:id="1" w:name="_Toc28956"/>
      <w:bookmarkStart w:id="2" w:name="_Toc11646"/>
      <w:r>
        <w:rPr>
          <w:rFonts w:hint="eastAsia" w:ascii="黑体" w:hAnsi="黑体" w:cs="黑体"/>
          <w:color w:val="auto"/>
          <w:lang w:val="en-US" w:eastAsia="zh-CN"/>
        </w:rPr>
        <w:t>一、</w:t>
      </w:r>
      <w:r>
        <w:rPr>
          <w:rFonts w:hint="eastAsia" w:ascii="黑体" w:hAnsi="黑体" w:eastAsia="黑体" w:cs="黑体"/>
          <w:color w:val="auto"/>
        </w:rPr>
        <w:t>子基金基本信息</w:t>
      </w:r>
      <w:bookmarkEnd w:id="0"/>
      <w:bookmarkEnd w:id="1"/>
      <w:bookmarkEnd w:id="2"/>
    </w:p>
    <w:p w14:paraId="03E817A2">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3" w:name="_Toc25800"/>
      <w:bookmarkStart w:id="4" w:name="_Toc17079"/>
      <w:bookmarkStart w:id="5" w:name="_Toc23615"/>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子基金简介</w:t>
      </w:r>
      <w:bookmarkEnd w:id="3"/>
      <w:bookmarkEnd w:id="4"/>
      <w:bookmarkEnd w:id="5"/>
    </w:p>
    <w:p w14:paraId="28F05113">
      <w:pPr>
        <w:pStyle w:val="21"/>
        <w:spacing w:line="520" w:lineRule="exact"/>
        <w:ind w:firstLine="640"/>
        <w:jc w:val="both"/>
        <w:rPr>
          <w:rFonts w:ascii="宋体" w:hAnsi="宋体" w:eastAsia="仿宋_GB2312" w:cs="宋体"/>
          <w:b w:val="0"/>
          <w:bCs w:val="0"/>
          <w:i w:val="0"/>
          <w:iCs w:val="0"/>
          <w:color w:val="auto"/>
          <w:sz w:val="32"/>
          <w:szCs w:val="32"/>
        </w:rPr>
      </w:pPr>
      <w:r>
        <w:rPr>
          <w:rFonts w:hint="eastAsia" w:ascii="宋体" w:hAnsi="宋体" w:eastAsia="仿宋_GB2312" w:cs="宋体"/>
          <w:b w:val="0"/>
          <w:bCs w:val="0"/>
          <w:i w:val="0"/>
          <w:iCs w:val="0"/>
          <w:color w:val="auto"/>
          <w:sz w:val="32"/>
          <w:szCs w:val="32"/>
        </w:rPr>
        <w:t>本期基金简介（说明设立背景、目标</w:t>
      </w:r>
      <w:r>
        <w:rPr>
          <w:rFonts w:ascii="宋体" w:hAnsi="宋体" w:eastAsia="仿宋_GB2312" w:cs="宋体"/>
          <w:b w:val="0"/>
          <w:bCs w:val="0"/>
          <w:i w:val="0"/>
          <w:iCs w:val="0"/>
          <w:color w:val="auto"/>
          <w:sz w:val="32"/>
          <w:szCs w:val="32"/>
        </w:rPr>
        <w:t>等）</w:t>
      </w:r>
    </w:p>
    <w:p w14:paraId="1264911B">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6" w:name="_Toc8506"/>
      <w:bookmarkStart w:id="7" w:name="_Toc525"/>
      <w:bookmarkStart w:id="8" w:name="_Toc28487"/>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子基金基本</w:t>
      </w:r>
      <w:bookmarkEnd w:id="6"/>
      <w:bookmarkEnd w:id="7"/>
      <w:bookmarkEnd w:id="8"/>
      <w:r>
        <w:rPr>
          <w:rFonts w:hint="eastAsia" w:ascii="楷体" w:hAnsi="楷体" w:eastAsia="楷体" w:cs="楷体"/>
          <w:b w:val="0"/>
          <w:color w:val="auto"/>
          <w:sz w:val="32"/>
          <w:szCs w:val="28"/>
          <w:lang w:val="en-US" w:eastAsia="zh-CN"/>
        </w:rPr>
        <w:t>要素</w:t>
      </w:r>
    </w:p>
    <w:p w14:paraId="54AA49C8">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基金名称</w:t>
      </w:r>
    </w:p>
    <w:p w14:paraId="5BCC0016">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基金管理机构</w:t>
      </w:r>
    </w:p>
    <w:p w14:paraId="1C0CACFC">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基金注册地址</w:t>
      </w:r>
    </w:p>
    <w:p w14:paraId="035BBC3E">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基金规模</w:t>
      </w:r>
    </w:p>
    <w:p w14:paraId="386E75E9">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存续期限（须注明投资期和退出期）</w:t>
      </w:r>
    </w:p>
    <w:p w14:paraId="02441FFE">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基金组织形式及类型</w:t>
      </w:r>
    </w:p>
    <w:p w14:paraId="1938F506">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申请</w:t>
      </w:r>
      <w:r>
        <w:rPr>
          <w:rFonts w:hint="eastAsia" w:ascii="宋体" w:hAnsi="宋体" w:eastAsia="仿宋_GB2312" w:cs="宋体"/>
          <w:b w:val="0"/>
          <w:bCs/>
          <w:iCs/>
          <w:color w:val="auto"/>
          <w:kern w:val="0"/>
          <w:sz w:val="32"/>
          <w:szCs w:val="32"/>
          <w:lang w:val="en-US" w:eastAsia="zh-CN" w:bidi="ar"/>
        </w:rPr>
        <w:t>南控</w:t>
      </w:r>
      <w:r>
        <w:rPr>
          <w:rFonts w:hint="eastAsia" w:ascii="宋体" w:hAnsi="宋体" w:eastAsia="仿宋_GB2312" w:cs="宋体"/>
          <w:b w:val="0"/>
          <w:bCs/>
          <w:iCs/>
          <w:color w:val="auto"/>
          <w:kern w:val="0"/>
          <w:sz w:val="32"/>
          <w:szCs w:val="32"/>
          <w:lang w:bidi="ar"/>
        </w:rPr>
        <w:t>母基金出资额及比例</w:t>
      </w:r>
    </w:p>
    <w:p w14:paraId="4B32BB66">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基金出资人情况及出资结构图</w:t>
      </w:r>
    </w:p>
    <w:p w14:paraId="2E8EDD2B">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基金组织架构（治理结构）</w:t>
      </w:r>
    </w:p>
    <w:p w14:paraId="1F1EEEB7">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基金投资领域（须注明具体行业）</w:t>
      </w:r>
    </w:p>
    <w:p w14:paraId="451752E2">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bidi="ar"/>
        </w:rPr>
        <w:t>基金投资</w:t>
      </w:r>
      <w:r>
        <w:rPr>
          <w:rFonts w:hint="eastAsia" w:ascii="宋体" w:hAnsi="宋体" w:eastAsia="仿宋_GB2312" w:cs="宋体"/>
          <w:b w:val="0"/>
          <w:bCs/>
          <w:iCs/>
          <w:color w:val="auto"/>
          <w:kern w:val="0"/>
          <w:sz w:val="32"/>
          <w:szCs w:val="32"/>
          <w:lang w:val="en-US" w:eastAsia="zh-CN" w:bidi="ar"/>
        </w:rPr>
        <w:t>阶段</w:t>
      </w:r>
    </w:p>
    <w:p w14:paraId="1212A497">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费用</w:t>
      </w:r>
      <w:r>
        <w:rPr>
          <w:rFonts w:hint="eastAsia" w:ascii="宋体" w:hAnsi="宋体" w:eastAsia="仿宋_GB2312" w:cs="宋体"/>
          <w:b w:val="0"/>
          <w:bCs/>
          <w:iCs/>
          <w:color w:val="auto"/>
          <w:kern w:val="0"/>
          <w:sz w:val="32"/>
          <w:szCs w:val="32"/>
          <w:lang w:val="en-US" w:eastAsia="zh-CN" w:bidi="ar"/>
        </w:rPr>
        <w:t>条款</w:t>
      </w:r>
      <w:r>
        <w:rPr>
          <w:rFonts w:hint="eastAsia" w:ascii="宋体" w:hAnsi="宋体" w:eastAsia="仿宋_GB2312" w:cs="宋体"/>
          <w:b w:val="0"/>
          <w:bCs/>
          <w:iCs/>
          <w:color w:val="auto"/>
          <w:kern w:val="0"/>
          <w:sz w:val="32"/>
          <w:szCs w:val="32"/>
          <w:lang w:bidi="ar"/>
        </w:rPr>
        <w:t>（须注明计算基数和费率）</w:t>
      </w:r>
    </w:p>
    <w:p w14:paraId="7D5FADBB">
      <w:pPr>
        <w:pStyle w:val="21"/>
        <w:widowControl w:val="0"/>
        <w:numPr>
          <w:ilvl w:val="0"/>
          <w:numId w:val="2"/>
        </w:numPr>
        <w:tabs>
          <w:tab w:val="left" w:pos="397"/>
        </w:tabs>
        <w:autoSpaceDN w:val="0"/>
        <w:snapToGrid w:val="0"/>
        <w:spacing w:line="520" w:lineRule="exact"/>
        <w:ind w:left="0" w:firstLine="640" w:firstLineChars="200"/>
        <w:jc w:val="both"/>
        <w:rPr>
          <w:rFonts w:hint="eastAsia" w:ascii="宋体" w:hAnsi="宋体" w:eastAsia="仿宋_GB2312" w:cs="宋体"/>
          <w:b w:val="0"/>
          <w:bCs/>
          <w:iCs/>
          <w:color w:val="auto"/>
          <w:kern w:val="0"/>
          <w:sz w:val="32"/>
          <w:szCs w:val="32"/>
          <w:lang w:bidi="ar"/>
        </w:rPr>
      </w:pPr>
      <w:r>
        <w:rPr>
          <w:rFonts w:hint="eastAsia" w:ascii="宋体" w:hAnsi="宋体" w:eastAsia="仿宋_GB2312" w:cs="宋体"/>
          <w:b w:val="0"/>
          <w:bCs/>
          <w:iCs/>
          <w:color w:val="auto"/>
          <w:kern w:val="0"/>
          <w:sz w:val="32"/>
          <w:szCs w:val="32"/>
          <w:lang w:val="en-US" w:eastAsia="zh-CN" w:bidi="ar"/>
        </w:rPr>
        <w:t>基金</w:t>
      </w:r>
      <w:r>
        <w:rPr>
          <w:rFonts w:hint="eastAsia" w:ascii="宋体" w:hAnsi="宋体" w:eastAsia="仿宋_GB2312" w:cs="宋体"/>
          <w:b w:val="0"/>
          <w:bCs/>
          <w:iCs/>
          <w:color w:val="auto"/>
          <w:kern w:val="0"/>
          <w:sz w:val="32"/>
          <w:szCs w:val="32"/>
          <w:lang w:bidi="ar"/>
        </w:rPr>
        <w:t>分配</w:t>
      </w:r>
      <w:r>
        <w:rPr>
          <w:rFonts w:hint="eastAsia" w:ascii="宋体" w:hAnsi="宋体" w:eastAsia="仿宋_GB2312" w:cs="宋体"/>
          <w:b w:val="0"/>
          <w:bCs/>
          <w:iCs/>
          <w:color w:val="auto"/>
          <w:kern w:val="0"/>
          <w:sz w:val="32"/>
          <w:szCs w:val="32"/>
          <w:lang w:val="en-US" w:eastAsia="zh-CN" w:bidi="ar"/>
        </w:rPr>
        <w:t>条款</w:t>
      </w:r>
    </w:p>
    <w:p w14:paraId="2F5DF7B3">
      <w:pPr>
        <w:pStyle w:val="10"/>
        <w:widowControl/>
        <w:shd w:val="clear" w:color="auto" w:fill="FFFFFF"/>
        <w:wordWrap w:val="0"/>
        <w:spacing w:beforeAutospacing="0" w:afterAutospacing="0" w:line="520" w:lineRule="exact"/>
        <w:ind w:firstLine="420"/>
        <w:rPr>
          <w:rStyle w:val="14"/>
          <w:rFonts w:ascii="Helvetica" w:hAnsi="Helvetica" w:eastAsia="宋体" w:cs="Helvetica"/>
          <w:color w:val="auto"/>
          <w:highlight w:val="none"/>
          <w:shd w:val="clear" w:color="auto" w:fill="FFFFFF"/>
        </w:rPr>
      </w:pPr>
    </w:p>
    <w:p w14:paraId="344B641E">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lang w:eastAsia="zh-CN"/>
        </w:rPr>
      </w:pPr>
      <w:bookmarkStart w:id="9" w:name="_Toc3940"/>
      <w:bookmarkStart w:id="10" w:name="_Toc12173"/>
      <w:bookmarkStart w:id="11" w:name="_Toc23744"/>
      <w:r>
        <w:rPr>
          <w:rFonts w:hint="eastAsia" w:ascii="黑体" w:hAnsi="黑体" w:cs="黑体"/>
          <w:color w:val="auto"/>
          <w:lang w:val="en-US" w:eastAsia="zh-CN"/>
        </w:rPr>
        <w:t>二、</w:t>
      </w:r>
      <w:r>
        <w:rPr>
          <w:rFonts w:hint="eastAsia" w:ascii="黑体" w:hAnsi="黑体" w:eastAsia="黑体" w:cs="黑体"/>
          <w:color w:val="auto"/>
        </w:rPr>
        <w:t>申请机构信息</w:t>
      </w:r>
      <w:bookmarkEnd w:id="9"/>
      <w:bookmarkEnd w:id="10"/>
      <w:bookmarkEnd w:id="11"/>
      <w:r>
        <w:rPr>
          <w:rFonts w:hint="eastAsia" w:ascii="黑体" w:hAnsi="黑体" w:cs="黑体"/>
          <w:color w:val="auto"/>
          <w:lang w:eastAsia="zh-CN"/>
        </w:rPr>
        <w:t>（</w:t>
      </w:r>
      <w:r>
        <w:rPr>
          <w:rFonts w:hint="eastAsia" w:ascii="黑体" w:hAnsi="黑体" w:cs="黑体"/>
          <w:color w:val="auto"/>
          <w:lang w:val="en-US" w:eastAsia="zh-CN"/>
        </w:rPr>
        <w:t>申请机构、管理机构为同一主体，本节不填</w:t>
      </w:r>
      <w:r>
        <w:rPr>
          <w:rFonts w:hint="eastAsia" w:ascii="黑体" w:hAnsi="黑体" w:cs="黑体"/>
          <w:color w:val="auto"/>
          <w:lang w:eastAsia="zh-CN"/>
        </w:rPr>
        <w:t>）</w:t>
      </w:r>
    </w:p>
    <w:p w14:paraId="0D2039AF">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rPr>
      </w:pPr>
      <w:bookmarkStart w:id="12" w:name="_Toc29902"/>
      <w:bookmarkStart w:id="13" w:name="_Toc15917"/>
      <w:bookmarkStart w:id="14" w:name="_Toc6447"/>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申请机构简介</w:t>
      </w:r>
      <w:bookmarkEnd w:id="12"/>
      <w:bookmarkEnd w:id="13"/>
      <w:bookmarkEnd w:id="14"/>
    </w:p>
    <w:p w14:paraId="4E221F5E">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包括但不限于公司背景、创设时间及创设方式、注册资本、实缴资本、业务发展历史、投资活动概述、所获得荣誉等情况</w:t>
      </w:r>
      <w:r>
        <w:rPr>
          <w:rFonts w:hint="eastAsia" w:ascii="宋体" w:hAnsi="宋体" w:eastAsia="仿宋_GB2312" w:cs="宋体"/>
          <w:b w:val="0"/>
          <w:bCs/>
          <w:i w:val="0"/>
          <w:iCs/>
          <w:color w:val="auto"/>
          <w:sz w:val="32"/>
          <w:szCs w:val="32"/>
          <w:lang w:eastAsia="zh-CN"/>
        </w:rPr>
        <w:t>。</w:t>
      </w:r>
    </w:p>
    <w:p w14:paraId="15C8B8D9">
      <w:pPr>
        <w:pStyle w:val="4"/>
        <w:numPr>
          <w:ilvl w:val="0"/>
          <w:numId w:val="3"/>
        </w:numPr>
        <w:adjustRightInd w:val="0"/>
        <w:snapToGrid w:val="0"/>
        <w:spacing w:before="0" w:after="0" w:line="520" w:lineRule="exact"/>
        <w:ind w:left="420" w:leftChars="200" w:firstLine="320" w:firstLineChars="100"/>
        <w:rPr>
          <w:rFonts w:hint="eastAsia" w:ascii="楷体" w:hAnsi="楷体" w:eastAsia="楷体" w:cs="楷体"/>
          <w:b w:val="0"/>
          <w:color w:val="auto"/>
          <w:sz w:val="32"/>
          <w:szCs w:val="28"/>
          <w:lang w:val="en-US" w:eastAsia="zh-CN"/>
        </w:rPr>
      </w:pPr>
      <w:bookmarkStart w:id="15" w:name="_Toc31307"/>
      <w:bookmarkStart w:id="16" w:name="_Toc30969"/>
      <w:bookmarkStart w:id="17" w:name="_Toc23202"/>
      <w:r>
        <w:rPr>
          <w:rFonts w:hint="eastAsia" w:ascii="楷体" w:hAnsi="楷体" w:eastAsia="楷体" w:cs="楷体"/>
          <w:b w:val="0"/>
          <w:color w:val="auto"/>
          <w:sz w:val="32"/>
          <w:szCs w:val="28"/>
        </w:rPr>
        <w:t>申请机构</w:t>
      </w:r>
      <w:bookmarkEnd w:id="15"/>
      <w:bookmarkEnd w:id="16"/>
      <w:bookmarkEnd w:id="17"/>
      <w:r>
        <w:rPr>
          <w:rFonts w:hint="eastAsia" w:ascii="楷体" w:hAnsi="楷体" w:eastAsia="楷体" w:cs="楷体"/>
          <w:b w:val="0"/>
          <w:color w:val="auto"/>
          <w:sz w:val="32"/>
          <w:szCs w:val="28"/>
          <w:lang w:val="en-US" w:eastAsia="zh-CN"/>
        </w:rPr>
        <w:t>管理业绩</w:t>
      </w:r>
    </w:p>
    <w:p w14:paraId="273B4162">
      <w:pPr>
        <w:pStyle w:val="4"/>
        <w:numPr>
          <w:ilvl w:val="-1"/>
          <w:numId w:val="0"/>
        </w:numPr>
        <w:adjustRightInd w:val="0"/>
        <w:snapToGrid w:val="0"/>
        <w:spacing w:before="0" w:after="0" w:line="520" w:lineRule="exact"/>
        <w:ind w:left="630" w:leftChars="300" w:firstLine="0" w:firstLineChars="0"/>
        <w:rPr>
          <w:rFonts w:hint="default" w:ascii="宋体" w:hAnsi="宋体" w:eastAsia="仿宋_GB2312" w:cs="宋体"/>
          <w:b w:val="0"/>
          <w:color w:val="auto"/>
          <w:sz w:val="32"/>
          <w:szCs w:val="32"/>
          <w:lang w:val="en-US" w:eastAsia="zh-CN"/>
        </w:rPr>
      </w:pPr>
      <w:r>
        <w:rPr>
          <w:rFonts w:hint="eastAsia" w:ascii="宋体" w:hAnsi="宋体" w:eastAsia="仿宋_GB2312" w:cs="宋体"/>
          <w:b w:val="0"/>
          <w:color w:val="auto"/>
          <w:sz w:val="32"/>
          <w:szCs w:val="32"/>
          <w:lang w:val="en-US" w:eastAsia="zh-CN"/>
        </w:rPr>
        <w:t>包括累计管理基金实缴规模、在管基金实缴规模等。</w:t>
      </w:r>
    </w:p>
    <w:p w14:paraId="67400CB2">
      <w:pPr>
        <w:pStyle w:val="2"/>
        <w:numPr>
          <w:ilvl w:val="-1"/>
          <w:numId w:val="0"/>
        </w:numPr>
        <w:adjustRightInd w:val="0"/>
        <w:snapToGrid w:val="0"/>
        <w:spacing w:before="0" w:after="0" w:line="520" w:lineRule="exact"/>
        <w:ind w:left="420" w:leftChars="200" w:firstLine="320" w:firstLineChars="100"/>
        <w:rPr>
          <w:rFonts w:hint="eastAsia" w:ascii="黑体" w:hAnsi="黑体" w:cs="黑体"/>
          <w:color w:val="auto"/>
          <w:lang w:val="en-US" w:eastAsia="zh-CN"/>
        </w:rPr>
      </w:pPr>
      <w:bookmarkStart w:id="18" w:name="_Toc18499"/>
      <w:bookmarkStart w:id="19" w:name="_Toc10603"/>
      <w:bookmarkStart w:id="20" w:name="_Toc20447"/>
    </w:p>
    <w:p w14:paraId="4761C48A">
      <w:pPr>
        <w:pStyle w:val="2"/>
        <w:numPr>
          <w:ilvl w:val="-1"/>
          <w:numId w:val="0"/>
        </w:numPr>
        <w:adjustRightInd w:val="0"/>
        <w:snapToGrid w:val="0"/>
        <w:spacing w:before="0" w:after="0" w:line="520" w:lineRule="exact"/>
        <w:ind w:left="420" w:leftChars="200" w:firstLine="320" w:firstLineChars="100"/>
        <w:rPr>
          <w:rFonts w:hint="eastAsia" w:ascii="黑体" w:hAnsi="黑体" w:eastAsia="黑体" w:cs="黑体"/>
          <w:color w:val="auto"/>
        </w:rPr>
      </w:pPr>
      <w:r>
        <w:rPr>
          <w:rFonts w:hint="eastAsia" w:ascii="黑体" w:hAnsi="黑体" w:cs="黑体"/>
          <w:color w:val="auto"/>
          <w:lang w:val="en-US" w:eastAsia="zh-CN"/>
        </w:rPr>
        <w:t>三、</w:t>
      </w:r>
      <w:r>
        <w:rPr>
          <w:rFonts w:hint="eastAsia" w:ascii="黑体" w:hAnsi="黑体" w:eastAsia="黑体" w:cs="黑体"/>
          <w:color w:val="auto"/>
        </w:rPr>
        <w:t>管理</w:t>
      </w:r>
      <w:r>
        <w:rPr>
          <w:rFonts w:hint="eastAsia" w:ascii="黑体" w:hAnsi="黑体" w:cs="黑体"/>
          <w:color w:val="auto"/>
          <w:lang w:val="en-US" w:eastAsia="zh-CN"/>
        </w:rPr>
        <w:t>机构</w:t>
      </w:r>
      <w:r>
        <w:rPr>
          <w:rFonts w:hint="eastAsia" w:ascii="黑体" w:hAnsi="黑体" w:eastAsia="黑体" w:cs="黑体"/>
          <w:color w:val="auto"/>
        </w:rPr>
        <w:t>信息</w:t>
      </w:r>
      <w:bookmarkEnd w:id="18"/>
      <w:bookmarkEnd w:id="19"/>
      <w:bookmarkEnd w:id="20"/>
    </w:p>
    <w:p w14:paraId="12EE9FF4">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21" w:name="_Toc9122"/>
      <w:bookmarkStart w:id="22" w:name="_Toc17259"/>
      <w:bookmarkStart w:id="23" w:name="_Toc15894"/>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管理</w:t>
      </w:r>
      <w:r>
        <w:rPr>
          <w:rFonts w:hint="eastAsia" w:ascii="楷体" w:hAnsi="楷体" w:eastAsia="楷体" w:cs="楷体"/>
          <w:b w:val="0"/>
          <w:color w:val="auto"/>
          <w:sz w:val="32"/>
          <w:szCs w:val="28"/>
          <w:lang w:val="en-US" w:eastAsia="zh-CN"/>
        </w:rPr>
        <w:t>机构</w:t>
      </w:r>
      <w:r>
        <w:rPr>
          <w:rFonts w:hint="eastAsia" w:ascii="楷体" w:hAnsi="楷体" w:eastAsia="楷体" w:cs="楷体"/>
          <w:b w:val="0"/>
          <w:color w:val="auto"/>
          <w:sz w:val="32"/>
          <w:szCs w:val="28"/>
        </w:rPr>
        <w:t>简介</w:t>
      </w:r>
      <w:bookmarkEnd w:id="21"/>
      <w:bookmarkEnd w:id="22"/>
      <w:bookmarkEnd w:id="23"/>
    </w:p>
    <w:p w14:paraId="7C44433B">
      <w:pPr>
        <w:pStyle w:val="21"/>
        <w:spacing w:line="520" w:lineRule="exact"/>
        <w:ind w:firstLine="64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包括但不限于</w:t>
      </w:r>
      <w:r>
        <w:rPr>
          <w:rFonts w:hint="eastAsia" w:ascii="仿宋_GB2312" w:hAnsi="仿宋_GB2312" w:eastAsia="仿宋_GB2312" w:cs="仿宋_GB2312"/>
          <w:color w:val="auto"/>
          <w:sz w:val="32"/>
          <w:szCs w:val="32"/>
          <w:highlight w:val="none"/>
          <w:shd w:val="clear" w:color="auto" w:fill="FFFFFF"/>
        </w:rPr>
        <w:t>注册资本与实收资本</w:t>
      </w:r>
      <w:r>
        <w:rPr>
          <w:rFonts w:hint="eastAsia" w:ascii="仿宋_GB2312" w:hAnsi="仿宋_GB2312" w:eastAsia="仿宋_GB2312" w:cs="仿宋_GB2312"/>
          <w:b w:val="0"/>
          <w:bCs/>
          <w:i w:val="0"/>
          <w:iCs/>
          <w:color w:val="auto"/>
          <w:sz w:val="32"/>
          <w:szCs w:val="32"/>
        </w:rPr>
        <w:t>、人员规模、组织架构等</w:t>
      </w:r>
      <w:r>
        <w:rPr>
          <w:rFonts w:hint="eastAsia" w:ascii="仿宋_GB2312" w:hAnsi="仿宋_GB2312" w:eastAsia="仿宋_GB2312" w:cs="仿宋_GB2312"/>
          <w:b w:val="0"/>
          <w:bCs/>
          <w:i w:val="0"/>
          <w:iCs/>
          <w:color w:val="auto"/>
          <w:sz w:val="32"/>
          <w:szCs w:val="32"/>
          <w:lang w:eastAsia="zh-CN"/>
        </w:rPr>
        <w:t>。</w:t>
      </w:r>
    </w:p>
    <w:p w14:paraId="274078BE">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24" w:name="_Toc22717"/>
      <w:bookmarkStart w:id="25" w:name="_Toc18796"/>
      <w:bookmarkStart w:id="26" w:name="_Toc24936"/>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管理公司基本情况</w:t>
      </w:r>
      <w:bookmarkEnd w:id="24"/>
      <w:bookmarkEnd w:id="25"/>
      <w:bookmarkEnd w:id="26"/>
    </w:p>
    <w:p w14:paraId="57397972">
      <w:pPr>
        <w:pStyle w:val="21"/>
        <w:widowControl w:val="0"/>
        <w:numPr>
          <w:ilvl w:val="0"/>
          <w:numId w:val="4"/>
        </w:numPr>
        <w:shd w:val="clear" w:color="auto" w:fill="FFFFFF"/>
        <w:tabs>
          <w:tab w:val="left" w:pos="397"/>
        </w:tabs>
        <w:wordWrap w:val="0"/>
        <w:autoSpaceDN w:val="0"/>
        <w:snapToGrid w:val="0"/>
        <w:spacing w:beforeAutospacing="0" w:afterAutospacing="0" w:line="520" w:lineRule="exact"/>
        <w:ind w:firstLine="640" w:firstLineChars="200"/>
        <w:jc w:val="both"/>
        <w:rPr>
          <w:rFonts w:hint="eastAsia" w:ascii="仿宋_GB2312" w:hAnsi="仿宋_GB2312" w:eastAsia="仿宋_GB2312" w:cs="仿宋_GB2312"/>
          <w:bCs/>
          <w:iCs/>
          <w:color w:val="auto"/>
          <w:kern w:val="0"/>
          <w:sz w:val="32"/>
          <w:szCs w:val="32"/>
          <w:highlight w:val="none"/>
          <w:shd w:val="clear" w:color="auto" w:fill="FFFFFF"/>
          <w:lang w:bidi="ar"/>
        </w:rPr>
      </w:pPr>
      <w:r>
        <w:rPr>
          <w:rFonts w:hint="eastAsia" w:ascii="仿宋_GB2312" w:hAnsi="仿宋_GB2312" w:eastAsia="仿宋_GB2312" w:cs="仿宋_GB2312"/>
          <w:bCs/>
          <w:iCs/>
          <w:color w:val="auto"/>
          <w:kern w:val="0"/>
          <w:sz w:val="32"/>
          <w:szCs w:val="32"/>
          <w:highlight w:val="none"/>
          <w:shd w:val="clear" w:color="auto" w:fill="FFFFFF"/>
          <w:lang w:bidi="ar"/>
        </w:rPr>
        <w:t>股权结构、实际控制人</w:t>
      </w:r>
      <w:r>
        <w:rPr>
          <w:rFonts w:hint="eastAsia" w:ascii="仿宋_GB2312" w:hAnsi="仿宋_GB2312" w:eastAsia="仿宋_GB2312" w:cs="仿宋_GB2312"/>
          <w:bCs/>
          <w:iCs/>
          <w:color w:val="auto"/>
          <w:kern w:val="0"/>
          <w:sz w:val="32"/>
          <w:szCs w:val="32"/>
          <w:highlight w:val="none"/>
          <w:shd w:val="clear" w:color="auto" w:fill="FFFFFF"/>
          <w:lang w:eastAsia="zh-CN" w:bidi="ar"/>
        </w:rPr>
        <w:t>；</w:t>
      </w:r>
    </w:p>
    <w:p w14:paraId="5B521A7E">
      <w:pPr>
        <w:pStyle w:val="21"/>
        <w:widowControl w:val="0"/>
        <w:numPr>
          <w:ilvl w:val="0"/>
          <w:numId w:val="4"/>
        </w:numPr>
        <w:shd w:val="clear" w:color="auto" w:fill="FFFFFF"/>
        <w:tabs>
          <w:tab w:val="left" w:pos="397"/>
        </w:tabs>
        <w:wordWrap w:val="0"/>
        <w:autoSpaceDN w:val="0"/>
        <w:snapToGrid w:val="0"/>
        <w:spacing w:beforeAutospacing="0" w:afterAutospacing="0" w:line="520" w:lineRule="exact"/>
        <w:ind w:firstLine="640" w:firstLineChars="200"/>
        <w:jc w:val="both"/>
        <w:rPr>
          <w:rFonts w:hint="eastAsia" w:ascii="仿宋_GB2312" w:hAnsi="仿宋_GB2312" w:eastAsia="仿宋_GB2312" w:cs="仿宋_GB2312"/>
          <w:bCs/>
          <w:iCs/>
          <w:color w:val="auto"/>
          <w:kern w:val="0"/>
          <w:sz w:val="32"/>
          <w:szCs w:val="32"/>
          <w:highlight w:val="none"/>
          <w:lang w:bidi="ar"/>
        </w:rPr>
      </w:pPr>
      <w:r>
        <w:rPr>
          <w:rFonts w:hint="eastAsia" w:ascii="仿宋_GB2312" w:hAnsi="仿宋_GB2312" w:eastAsia="仿宋_GB2312" w:cs="仿宋_GB2312"/>
          <w:bCs/>
          <w:iCs/>
          <w:color w:val="auto"/>
          <w:kern w:val="0"/>
          <w:sz w:val="32"/>
          <w:szCs w:val="32"/>
          <w:highlight w:val="none"/>
          <w:shd w:val="clear" w:color="auto" w:fill="FFFFFF"/>
          <w:lang w:bidi="ar"/>
        </w:rPr>
        <w:t>内部治理架构；</w:t>
      </w:r>
    </w:p>
    <w:p w14:paraId="48C84034">
      <w:pPr>
        <w:pStyle w:val="4"/>
        <w:numPr>
          <w:ilvl w:val="0"/>
          <w:numId w:val="4"/>
        </w:numPr>
        <w:adjustRightInd w:val="0"/>
        <w:snapToGrid w:val="0"/>
        <w:spacing w:before="0" w:after="0" w:line="520" w:lineRule="exact"/>
        <w:ind w:left="0" w:leftChars="0" w:firstLine="640" w:firstLineChars="200"/>
        <w:rPr>
          <w:rFonts w:hint="eastAsia" w:ascii="仿宋_GB2312" w:hAnsi="仿宋_GB2312" w:eastAsia="仿宋_GB2312" w:cs="仿宋_GB2312"/>
          <w:b w:val="0"/>
          <w:color w:val="auto"/>
          <w:sz w:val="32"/>
          <w:szCs w:val="32"/>
          <w:lang w:eastAsia="zh-CN"/>
        </w:rPr>
      </w:pPr>
      <w:bookmarkStart w:id="27" w:name="_Toc30847"/>
      <w:bookmarkStart w:id="28" w:name="_Toc1054"/>
      <w:bookmarkStart w:id="29" w:name="_Toc31438"/>
      <w:bookmarkStart w:id="30" w:name="OLE_LINK2"/>
      <w:r>
        <w:rPr>
          <w:rFonts w:hint="eastAsia" w:ascii="仿宋_GB2312" w:hAnsi="仿宋_GB2312" w:eastAsia="仿宋_GB2312" w:cs="仿宋_GB2312"/>
          <w:b w:val="0"/>
          <w:color w:val="auto"/>
          <w:sz w:val="32"/>
          <w:szCs w:val="32"/>
        </w:rPr>
        <w:t>公司</w:t>
      </w:r>
      <w:bookmarkEnd w:id="27"/>
      <w:r>
        <w:rPr>
          <w:rFonts w:hint="eastAsia" w:ascii="仿宋_GB2312" w:hAnsi="仿宋_GB2312" w:eastAsia="仿宋_GB2312" w:cs="仿宋_GB2312"/>
          <w:b w:val="0"/>
          <w:color w:val="auto"/>
          <w:sz w:val="32"/>
          <w:szCs w:val="32"/>
        </w:rPr>
        <w:t>制度体系</w:t>
      </w:r>
      <w:bookmarkEnd w:id="28"/>
      <w:bookmarkEnd w:id="29"/>
      <w:r>
        <w:rPr>
          <w:rFonts w:hint="eastAsia" w:ascii="仿宋_GB2312" w:hAnsi="仿宋_GB2312" w:eastAsia="仿宋_GB2312" w:cs="仿宋_GB2312"/>
          <w:b w:val="0"/>
          <w:color w:val="auto"/>
          <w:sz w:val="32"/>
          <w:szCs w:val="32"/>
          <w:lang w:eastAsia="zh-CN"/>
        </w:rPr>
        <w:t>；</w:t>
      </w:r>
    </w:p>
    <w:bookmarkEnd w:id="30"/>
    <w:p w14:paraId="2E0FE3EC">
      <w:pPr>
        <w:pStyle w:val="10"/>
        <w:widowControl/>
        <w:numPr>
          <w:ilvl w:val="0"/>
          <w:numId w:val="4"/>
        </w:numPr>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管理团队情况；</w:t>
      </w:r>
    </w:p>
    <w:p w14:paraId="24B4C27D">
      <w:pPr>
        <w:pStyle w:val="10"/>
        <w:widowControl/>
        <w:numPr>
          <w:ilvl w:val="-1"/>
          <w:numId w:val="0"/>
        </w:numPr>
        <w:shd w:val="clear" w:color="auto" w:fill="FFFFFF"/>
        <w:wordWrap w:val="0"/>
        <w:spacing w:beforeAutospacing="0" w:afterAutospacing="0" w:line="520" w:lineRule="exact"/>
        <w:ind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应包括但不限于姓名、职务、年龄、教育背景、职业经历、加入团队时间、职责分工情况、所获荣誉、代表案例等内容；</w:t>
      </w:r>
    </w:p>
    <w:p w14:paraId="49A5E487">
      <w:pPr>
        <w:pStyle w:val="10"/>
        <w:widowControl/>
        <w:numPr>
          <w:ilvl w:val="0"/>
          <w:numId w:val="4"/>
        </w:numPr>
        <w:shd w:val="clear" w:color="auto" w:fill="FFFFFF"/>
        <w:wordWrap w:val="0"/>
        <w:spacing w:beforeAutospacing="0" w:afterAutospacing="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i w:val="0"/>
          <w:iCs/>
          <w:color w:val="auto"/>
          <w:sz w:val="32"/>
          <w:szCs w:val="32"/>
        </w:rPr>
        <w:t>普通合伙人/管理人所获得</w:t>
      </w:r>
      <w:r>
        <w:rPr>
          <w:rFonts w:hint="eastAsia" w:ascii="仿宋_GB2312" w:hAnsi="仿宋_GB2312" w:eastAsia="仿宋_GB2312" w:cs="仿宋_GB2312"/>
          <w:b w:val="0"/>
          <w:bCs/>
          <w:i w:val="0"/>
          <w:iCs/>
          <w:color w:val="auto"/>
          <w:sz w:val="32"/>
          <w:szCs w:val="32"/>
          <w:lang w:val="en-US" w:eastAsia="zh-CN"/>
        </w:rPr>
        <w:t>的</w:t>
      </w:r>
      <w:r>
        <w:rPr>
          <w:rFonts w:hint="eastAsia" w:ascii="仿宋_GB2312" w:hAnsi="仿宋_GB2312" w:eastAsia="仿宋_GB2312" w:cs="仿宋_GB2312"/>
          <w:b w:val="0"/>
          <w:bCs/>
          <w:i w:val="0"/>
          <w:iCs/>
          <w:color w:val="auto"/>
          <w:sz w:val="32"/>
          <w:szCs w:val="32"/>
        </w:rPr>
        <w:t>荣誉</w:t>
      </w:r>
      <w:r>
        <w:rPr>
          <w:rFonts w:hint="eastAsia" w:ascii="仿宋_GB2312" w:hAnsi="仿宋_GB2312" w:eastAsia="仿宋_GB2312" w:cs="仿宋_GB2312"/>
          <w:b w:val="0"/>
          <w:bCs/>
          <w:i w:val="0"/>
          <w:iCs/>
          <w:color w:val="auto"/>
          <w:sz w:val="32"/>
          <w:szCs w:val="32"/>
          <w:lang w:eastAsia="zh-CN"/>
        </w:rPr>
        <w:t>；</w:t>
      </w:r>
    </w:p>
    <w:p w14:paraId="19EBADE7">
      <w:pPr>
        <w:pStyle w:val="21"/>
        <w:numPr>
          <w:ilvl w:val="0"/>
          <w:numId w:val="4"/>
        </w:numPr>
        <w:spacing w:line="520" w:lineRule="exact"/>
        <w:ind w:firstLine="60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主要管理人员之间的合作经历</w:t>
      </w:r>
      <w:r>
        <w:rPr>
          <w:rFonts w:hint="eastAsia" w:ascii="仿宋_GB2312" w:hAnsi="仿宋_GB2312" w:eastAsia="仿宋_GB2312" w:cs="仿宋_GB2312"/>
          <w:b w:val="0"/>
          <w:bCs/>
          <w:i w:val="0"/>
          <w:iCs/>
          <w:color w:val="auto"/>
          <w:sz w:val="32"/>
          <w:szCs w:val="32"/>
          <w:lang w:eastAsia="zh-CN"/>
        </w:rPr>
        <w:t>、</w:t>
      </w:r>
      <w:r>
        <w:rPr>
          <w:rFonts w:hint="eastAsia" w:ascii="仿宋_GB2312" w:hAnsi="仿宋_GB2312" w:eastAsia="仿宋_GB2312" w:cs="仿宋_GB2312"/>
          <w:b w:val="0"/>
          <w:bCs/>
          <w:i w:val="0"/>
          <w:iCs/>
          <w:color w:val="auto"/>
          <w:sz w:val="32"/>
          <w:szCs w:val="32"/>
        </w:rPr>
        <w:t>团队成员在普通合伙人/管理人中持股情况</w:t>
      </w:r>
      <w:r>
        <w:rPr>
          <w:rFonts w:hint="eastAsia" w:ascii="仿宋_GB2312" w:hAnsi="仿宋_GB2312" w:eastAsia="仿宋_GB2312" w:cs="仿宋_GB2312"/>
          <w:b w:val="0"/>
          <w:bCs/>
          <w:i w:val="0"/>
          <w:iCs/>
          <w:color w:val="auto"/>
          <w:sz w:val="32"/>
          <w:szCs w:val="32"/>
          <w:lang w:val="en-US" w:eastAsia="zh-CN"/>
        </w:rPr>
        <w:t>等</w:t>
      </w:r>
      <w:r>
        <w:rPr>
          <w:rFonts w:hint="eastAsia" w:ascii="仿宋_GB2312" w:hAnsi="仿宋_GB2312" w:eastAsia="仿宋_GB2312" w:cs="仿宋_GB2312"/>
          <w:b w:val="0"/>
          <w:bCs/>
          <w:i w:val="0"/>
          <w:iCs/>
          <w:color w:val="auto"/>
          <w:sz w:val="32"/>
          <w:szCs w:val="32"/>
          <w:lang w:eastAsia="zh-CN"/>
        </w:rPr>
        <w:t>。</w:t>
      </w:r>
    </w:p>
    <w:p w14:paraId="61CE234E">
      <w:pPr>
        <w:pStyle w:val="2"/>
        <w:numPr>
          <w:ilvl w:val="-1"/>
          <w:numId w:val="0"/>
        </w:numPr>
        <w:adjustRightInd w:val="0"/>
        <w:snapToGrid w:val="0"/>
        <w:spacing w:before="0" w:after="0" w:line="520" w:lineRule="exact"/>
        <w:ind w:left="0" w:leftChars="0" w:firstLine="640" w:firstLineChars="200"/>
        <w:rPr>
          <w:rFonts w:hint="eastAsia" w:ascii="楷体" w:hAnsi="楷体" w:eastAsia="楷体" w:cs="楷体"/>
          <w:color w:val="auto"/>
        </w:rPr>
      </w:pPr>
      <w:bookmarkStart w:id="31" w:name="_Toc11533"/>
      <w:bookmarkStart w:id="32" w:name="_Toc31854"/>
      <w:bookmarkStart w:id="33" w:name="_Toc25793"/>
      <w:r>
        <w:rPr>
          <w:rFonts w:hint="eastAsia" w:ascii="楷体" w:hAnsi="楷体" w:eastAsia="楷体" w:cs="楷体"/>
          <w:color w:val="auto"/>
          <w:lang w:eastAsia="zh-CN"/>
        </w:rPr>
        <w:t>（</w:t>
      </w:r>
      <w:r>
        <w:rPr>
          <w:rFonts w:hint="eastAsia" w:ascii="楷体" w:hAnsi="楷体" w:eastAsia="楷体" w:cs="楷体"/>
          <w:color w:val="auto"/>
          <w:lang w:val="en-US" w:eastAsia="zh-CN"/>
        </w:rPr>
        <w:t>三</w:t>
      </w:r>
      <w:r>
        <w:rPr>
          <w:rFonts w:hint="eastAsia" w:ascii="楷体" w:hAnsi="楷体" w:eastAsia="楷体" w:cs="楷体"/>
          <w:color w:val="auto"/>
          <w:lang w:eastAsia="zh-CN"/>
        </w:rPr>
        <w:t>）</w:t>
      </w:r>
      <w:r>
        <w:rPr>
          <w:rFonts w:hint="eastAsia" w:ascii="楷体" w:hAnsi="楷体" w:eastAsia="楷体" w:cs="楷体"/>
          <w:color w:val="auto"/>
        </w:rPr>
        <w:t>管理公司历史业绩</w:t>
      </w:r>
      <w:bookmarkEnd w:id="31"/>
      <w:bookmarkEnd w:id="32"/>
      <w:bookmarkEnd w:id="33"/>
    </w:p>
    <w:p w14:paraId="10907A80">
      <w:pPr>
        <w:pStyle w:val="4"/>
        <w:numPr>
          <w:ilvl w:val="0"/>
          <w:numId w:val="5"/>
        </w:numPr>
        <w:adjustRightInd w:val="0"/>
        <w:snapToGrid w:val="0"/>
        <w:spacing w:before="0" w:after="0" w:line="520" w:lineRule="exact"/>
        <w:ind w:left="0" w:leftChars="0" w:firstLine="640" w:firstLineChars="200"/>
        <w:rPr>
          <w:rFonts w:ascii="宋体" w:hAnsi="宋体" w:eastAsia="仿宋_GB2312" w:cs="宋体"/>
          <w:b w:val="0"/>
          <w:color w:val="auto"/>
          <w:sz w:val="32"/>
          <w:szCs w:val="32"/>
        </w:rPr>
      </w:pPr>
      <w:bookmarkStart w:id="34" w:name="_Toc14995"/>
      <w:bookmarkStart w:id="35" w:name="_Toc20711"/>
      <w:bookmarkStart w:id="36" w:name="_Toc15734"/>
      <w:r>
        <w:rPr>
          <w:rFonts w:hint="eastAsia" w:ascii="宋体" w:hAnsi="宋体" w:eastAsia="仿宋_GB2312" w:cs="宋体"/>
          <w:b w:val="0"/>
          <w:color w:val="auto"/>
          <w:sz w:val="32"/>
          <w:szCs w:val="32"/>
          <w:lang w:val="en-US" w:eastAsia="zh-CN"/>
        </w:rPr>
        <w:t>管理规模</w:t>
      </w:r>
    </w:p>
    <w:p w14:paraId="259EAC11">
      <w:pPr>
        <w:spacing w:line="520" w:lineRule="exact"/>
        <w:ind w:firstLine="640" w:firstLineChars="200"/>
        <w:rPr>
          <w:color w:val="auto"/>
          <w:sz w:val="32"/>
          <w:szCs w:val="32"/>
        </w:rPr>
      </w:pPr>
      <w:r>
        <w:rPr>
          <w:rFonts w:hint="eastAsia" w:ascii="宋体" w:hAnsi="宋体" w:eastAsia="仿宋_GB2312" w:cs="宋体"/>
          <w:b w:val="0"/>
          <w:color w:val="auto"/>
          <w:sz w:val="32"/>
          <w:szCs w:val="32"/>
          <w:lang w:val="en-US" w:eastAsia="zh-CN"/>
        </w:rPr>
        <w:t>包括累计管理基金实缴规模、在管基金实缴规模等。</w:t>
      </w:r>
    </w:p>
    <w:p w14:paraId="03FC6D3A">
      <w:pPr>
        <w:pStyle w:val="4"/>
        <w:numPr>
          <w:ilvl w:val="0"/>
          <w:numId w:val="5"/>
        </w:numPr>
        <w:adjustRightInd w:val="0"/>
        <w:snapToGrid w:val="0"/>
        <w:spacing w:before="0" w:after="0" w:line="520" w:lineRule="exact"/>
        <w:ind w:left="0" w:firstLine="640" w:firstLineChars="200"/>
        <w:rPr>
          <w:rFonts w:ascii="宋体" w:hAnsi="宋体" w:eastAsia="仿宋_GB2312" w:cs="宋体"/>
          <w:b w:val="0"/>
          <w:color w:val="auto"/>
          <w:sz w:val="32"/>
          <w:szCs w:val="32"/>
        </w:rPr>
      </w:pPr>
      <w:r>
        <w:rPr>
          <w:rFonts w:hint="eastAsia" w:ascii="宋体" w:hAnsi="宋体" w:eastAsia="仿宋_GB2312" w:cs="宋体"/>
          <w:b w:val="0"/>
          <w:color w:val="auto"/>
          <w:sz w:val="32"/>
          <w:szCs w:val="32"/>
        </w:rPr>
        <w:t>过往基金业绩情况</w:t>
      </w:r>
      <w:bookmarkEnd w:id="34"/>
      <w:bookmarkEnd w:id="35"/>
      <w:bookmarkEnd w:id="36"/>
    </w:p>
    <w:p w14:paraId="3D4C3216">
      <w:pPr>
        <w:pStyle w:val="21"/>
        <w:spacing w:line="520" w:lineRule="exact"/>
        <w:ind w:firstLine="640"/>
        <w:jc w:val="both"/>
        <w:rPr>
          <w:rFonts w:hint="default"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lang w:val="en-US" w:eastAsia="zh-CN"/>
        </w:rPr>
        <w:t>列表过往基金DPI等业绩指标。</w:t>
      </w:r>
    </w:p>
    <w:p w14:paraId="7F2CEEEB">
      <w:pPr>
        <w:pStyle w:val="10"/>
        <w:widowControl/>
        <w:shd w:val="clear" w:color="auto" w:fill="FFFFFF"/>
        <w:wordWrap w:val="0"/>
        <w:spacing w:beforeAutospacing="0" w:afterAutospacing="0" w:line="520" w:lineRule="exact"/>
        <w:ind w:firstLine="420"/>
        <w:rPr>
          <w:rFonts w:hint="eastAsia" w:ascii="Helvetica" w:hAnsi="Helvetica" w:cs="Helvetica"/>
          <w:color w:val="auto"/>
          <w:highlight w:val="none"/>
          <w:shd w:val="clear" w:color="auto" w:fill="FFFFFF"/>
        </w:rPr>
      </w:pPr>
      <w:bookmarkStart w:id="37" w:name="_Toc24368"/>
      <w:bookmarkStart w:id="38" w:name="_Toc23586"/>
      <w:bookmarkStart w:id="39" w:name="_Toc16900"/>
    </w:p>
    <w:p w14:paraId="187E3111">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r>
        <w:rPr>
          <w:rFonts w:hint="eastAsia" w:ascii="黑体" w:hAnsi="黑体" w:cs="黑体"/>
          <w:color w:val="auto"/>
          <w:lang w:val="en-US" w:eastAsia="zh-CN"/>
        </w:rPr>
        <w:t>四、子</w:t>
      </w:r>
      <w:r>
        <w:rPr>
          <w:rFonts w:hint="eastAsia" w:ascii="黑体" w:hAnsi="黑体" w:eastAsia="黑体" w:cs="黑体"/>
          <w:color w:val="auto"/>
        </w:rPr>
        <w:t>基金募集情况</w:t>
      </w:r>
      <w:bookmarkEnd w:id="37"/>
      <w:bookmarkEnd w:id="38"/>
      <w:bookmarkEnd w:id="39"/>
    </w:p>
    <w:p w14:paraId="2BADA551">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40" w:name="_Toc8556"/>
      <w:bookmarkStart w:id="41" w:name="OLE_LINK3"/>
      <w:bookmarkStart w:id="42" w:name="_Toc16042"/>
      <w:r>
        <w:rPr>
          <w:rFonts w:hint="eastAsia" w:ascii="楷体" w:hAnsi="楷体" w:eastAsia="楷体" w:cs="楷体"/>
          <w:b w:val="0"/>
          <w:color w:val="auto"/>
          <w:szCs w:val="28"/>
          <w:lang w:eastAsia="zh-CN"/>
        </w:rPr>
        <w:t>（</w:t>
      </w:r>
      <w:r>
        <w:rPr>
          <w:rFonts w:hint="eastAsia" w:ascii="楷体" w:hAnsi="楷体" w:eastAsia="楷体" w:cs="楷体"/>
          <w:b w:val="0"/>
          <w:color w:val="auto"/>
          <w:szCs w:val="28"/>
          <w:lang w:val="en-US" w:eastAsia="zh-CN"/>
        </w:rPr>
        <w:t>一</w:t>
      </w:r>
      <w:r>
        <w:rPr>
          <w:rFonts w:hint="eastAsia" w:ascii="楷体" w:hAnsi="楷体" w:eastAsia="楷体" w:cs="楷体"/>
          <w:b w:val="0"/>
          <w:color w:val="auto"/>
          <w:szCs w:val="28"/>
          <w:lang w:eastAsia="zh-CN"/>
        </w:rPr>
        <w:t>）</w:t>
      </w:r>
      <w:r>
        <w:rPr>
          <w:rFonts w:hint="eastAsia" w:ascii="楷体" w:hAnsi="楷体" w:eastAsia="楷体" w:cs="楷体"/>
          <w:b w:val="0"/>
          <w:color w:val="auto"/>
          <w:szCs w:val="28"/>
        </w:rPr>
        <w:t>基金募集计划及当前进度情况</w:t>
      </w:r>
      <w:bookmarkEnd w:id="40"/>
      <w:bookmarkEnd w:id="41"/>
      <w:bookmarkEnd w:id="42"/>
    </w:p>
    <w:p w14:paraId="3071252F">
      <w:pPr>
        <w:pStyle w:val="21"/>
        <w:spacing w:line="520" w:lineRule="exact"/>
        <w:ind w:firstLine="640"/>
        <w:jc w:val="both"/>
        <w:rPr>
          <w:rFonts w:hint="default"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lang w:val="en-US" w:eastAsia="zh-CN"/>
        </w:rPr>
        <w:t>包括</w:t>
      </w:r>
      <w:r>
        <w:rPr>
          <w:rFonts w:hint="eastAsia" w:ascii="宋体" w:hAnsi="宋体" w:eastAsia="仿宋_GB2312" w:cs="宋体"/>
          <w:bCs/>
          <w:iCs/>
          <w:color w:val="auto"/>
          <w:sz w:val="32"/>
          <w:szCs w:val="32"/>
        </w:rPr>
        <w:t>出资人类型（关联方需注明关联关系）、出资人名称、认缴出资金额、出资比例等情况，以及剩余资金的募集计划及时间安排</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lang w:val="en-US" w:eastAsia="zh-CN"/>
        </w:rPr>
        <w:t>预计募集完成及设立时间</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rPr>
        <w:t>。</w:t>
      </w:r>
    </w:p>
    <w:p w14:paraId="2C6EF308">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lang w:val="en-US" w:eastAsia="zh-CN"/>
        </w:rPr>
      </w:pPr>
      <w:bookmarkStart w:id="43" w:name="_Toc30815"/>
      <w:bookmarkStart w:id="44" w:name="_Toc27425"/>
      <w:r>
        <w:rPr>
          <w:rFonts w:hint="eastAsia" w:ascii="楷体" w:hAnsi="楷体" w:eastAsia="楷体" w:cs="楷体"/>
          <w:b w:val="0"/>
          <w:color w:val="auto"/>
          <w:lang w:eastAsia="zh-CN"/>
        </w:rPr>
        <w:t>（</w:t>
      </w:r>
      <w:r>
        <w:rPr>
          <w:rFonts w:hint="eastAsia" w:ascii="楷体" w:hAnsi="楷体" w:eastAsia="楷体" w:cs="楷体"/>
          <w:b w:val="0"/>
          <w:color w:val="auto"/>
          <w:lang w:val="en-US" w:eastAsia="zh-CN"/>
        </w:rPr>
        <w:t>二</w:t>
      </w:r>
      <w:r>
        <w:rPr>
          <w:rFonts w:hint="eastAsia" w:ascii="楷体" w:hAnsi="楷体" w:eastAsia="楷体" w:cs="楷体"/>
          <w:b w:val="0"/>
          <w:color w:val="auto"/>
          <w:lang w:eastAsia="zh-CN"/>
        </w:rPr>
        <w:t>）</w:t>
      </w:r>
      <w:r>
        <w:rPr>
          <w:rFonts w:hint="eastAsia" w:ascii="楷体" w:hAnsi="楷体" w:eastAsia="楷体" w:cs="楷体"/>
          <w:b w:val="0"/>
          <w:color w:val="auto"/>
        </w:rPr>
        <w:t>出资人</w:t>
      </w:r>
      <w:bookmarkEnd w:id="43"/>
      <w:bookmarkEnd w:id="44"/>
      <w:r>
        <w:rPr>
          <w:rFonts w:hint="eastAsia" w:ascii="楷体" w:hAnsi="楷体" w:eastAsia="楷体" w:cs="楷体"/>
          <w:b w:val="0"/>
          <w:color w:val="auto"/>
          <w:lang w:val="en-US" w:eastAsia="zh-CN"/>
        </w:rPr>
        <w:t>简介</w:t>
      </w:r>
    </w:p>
    <w:p w14:paraId="6FAF60B2">
      <w:pPr>
        <w:pStyle w:val="2"/>
        <w:numPr>
          <w:ilvl w:val="-1"/>
          <w:numId w:val="0"/>
        </w:numPr>
        <w:adjustRightInd w:val="0"/>
        <w:snapToGrid w:val="0"/>
        <w:spacing w:before="0" w:after="0" w:line="520" w:lineRule="exact"/>
        <w:ind w:left="0" w:leftChars="0" w:firstLine="640" w:firstLineChars="200"/>
        <w:rPr>
          <w:rFonts w:hint="eastAsia" w:ascii="楷体" w:hAnsi="楷体" w:eastAsia="楷体" w:cs="楷体"/>
          <w:color w:val="auto"/>
          <w:lang w:val="en-US" w:eastAsia="zh-CN"/>
        </w:rPr>
      </w:pPr>
      <w:bookmarkStart w:id="45" w:name="_Toc14595"/>
      <w:bookmarkStart w:id="46" w:name="_Toc15073"/>
      <w:bookmarkStart w:id="47" w:name="_Toc26656"/>
      <w:r>
        <w:rPr>
          <w:rFonts w:hint="eastAsia" w:ascii="楷体" w:hAnsi="楷体" w:eastAsia="楷体" w:cs="楷体"/>
          <w:color w:val="auto"/>
          <w:lang w:val="en-US" w:eastAsia="zh-CN"/>
        </w:rPr>
        <w:t>（三）管理机构及其关联方对子基金的出资情况</w:t>
      </w:r>
    </w:p>
    <w:p w14:paraId="0160E70F">
      <w:pPr>
        <w:pStyle w:val="2"/>
        <w:numPr>
          <w:ilvl w:val="-1"/>
          <w:numId w:val="0"/>
        </w:numPr>
        <w:adjustRightInd w:val="0"/>
        <w:snapToGrid w:val="0"/>
        <w:spacing w:before="0" w:after="0" w:line="520" w:lineRule="exact"/>
        <w:ind w:left="0" w:leftChars="0" w:firstLine="640" w:firstLineChars="200"/>
        <w:rPr>
          <w:rFonts w:hint="eastAsia" w:ascii="黑体" w:hAnsi="黑体" w:cs="黑体"/>
          <w:color w:val="auto"/>
          <w:lang w:val="en-US" w:eastAsia="zh-CN"/>
        </w:rPr>
      </w:pPr>
    </w:p>
    <w:p w14:paraId="614C602D">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r>
        <w:rPr>
          <w:rFonts w:hint="eastAsia" w:ascii="黑体" w:hAnsi="黑体" w:cs="黑体"/>
          <w:color w:val="auto"/>
          <w:lang w:val="en-US" w:eastAsia="zh-CN"/>
        </w:rPr>
        <w:t>五、子</w:t>
      </w:r>
      <w:r>
        <w:rPr>
          <w:rFonts w:hint="eastAsia" w:ascii="黑体" w:hAnsi="黑体" w:eastAsia="黑体" w:cs="黑体"/>
          <w:color w:val="auto"/>
        </w:rPr>
        <w:t>基金投资策略</w:t>
      </w:r>
      <w:bookmarkEnd w:id="45"/>
      <w:bookmarkEnd w:id="46"/>
      <w:bookmarkEnd w:id="47"/>
    </w:p>
    <w:p w14:paraId="61A8613D">
      <w:pPr>
        <w:pStyle w:val="4"/>
        <w:numPr>
          <w:ilvl w:val="-1"/>
          <w:numId w:val="0"/>
        </w:numPr>
        <w:adjustRightInd w:val="0"/>
        <w:snapToGrid w:val="0"/>
        <w:spacing w:before="0" w:after="0" w:line="520" w:lineRule="exact"/>
        <w:ind w:left="420" w:leftChars="200" w:firstLine="320" w:firstLineChars="100"/>
        <w:rPr>
          <w:rFonts w:hint="eastAsia" w:ascii="楷体" w:hAnsi="楷体" w:eastAsia="楷体" w:cs="楷体"/>
          <w:b w:val="0"/>
          <w:color w:val="auto"/>
          <w:sz w:val="32"/>
          <w:szCs w:val="28"/>
        </w:rPr>
      </w:pPr>
      <w:bookmarkStart w:id="48" w:name="_Toc10145"/>
      <w:bookmarkStart w:id="49" w:name="_Toc5379"/>
      <w:bookmarkStart w:id="50" w:name="_Toc32552"/>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投资策略</w:t>
      </w:r>
      <w:bookmarkEnd w:id="48"/>
      <w:bookmarkEnd w:id="49"/>
      <w:bookmarkEnd w:id="50"/>
    </w:p>
    <w:p w14:paraId="1085626B">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说明本基金</w:t>
      </w:r>
      <w:r>
        <w:rPr>
          <w:rFonts w:hint="eastAsia" w:ascii="仿宋_GB2312" w:hAnsi="仿宋_GB2312" w:eastAsia="仿宋_GB2312" w:cs="仿宋_GB2312"/>
          <w:b w:val="0"/>
          <w:bCs/>
          <w:i w:val="0"/>
          <w:iCs/>
          <w:color w:val="auto"/>
          <w:sz w:val="32"/>
          <w:szCs w:val="32"/>
          <w:lang w:val="en-US" w:eastAsia="zh-CN"/>
        </w:rPr>
        <w:t>投资策略，</w:t>
      </w:r>
      <w:r>
        <w:rPr>
          <w:rFonts w:hint="eastAsia" w:ascii="仿宋_GB2312" w:hAnsi="仿宋_GB2312" w:eastAsia="仿宋_GB2312" w:cs="仿宋_GB2312"/>
          <w:b w:val="0"/>
          <w:bCs/>
          <w:i w:val="0"/>
          <w:iCs/>
          <w:color w:val="auto"/>
          <w:sz w:val="32"/>
          <w:szCs w:val="32"/>
        </w:rPr>
        <w:t>与管理公司之前管理的基金在策略上的异同，管理公司对本期基金的资金分配计划（如单笔投资规模、计划持股比例、预计投资项目总数等）</w:t>
      </w:r>
      <w:r>
        <w:rPr>
          <w:rFonts w:hint="eastAsia" w:ascii="仿宋_GB2312" w:hAnsi="仿宋_GB2312" w:eastAsia="仿宋_GB2312" w:cs="仿宋_GB2312"/>
          <w:b w:val="0"/>
          <w:bCs/>
          <w:i w:val="0"/>
          <w:iCs/>
          <w:color w:val="auto"/>
          <w:sz w:val="32"/>
          <w:szCs w:val="32"/>
          <w:lang w:eastAsia="zh-CN"/>
        </w:rPr>
        <w:t>。</w:t>
      </w:r>
    </w:p>
    <w:p w14:paraId="1784DDE8">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说明基金拟投资细分行业及配比情况</w:t>
      </w:r>
      <w:r>
        <w:rPr>
          <w:rFonts w:hint="eastAsia" w:ascii="仿宋_GB2312" w:hAnsi="仿宋_GB2312" w:eastAsia="仿宋_GB2312" w:cs="仿宋_GB2312"/>
          <w:b w:val="0"/>
          <w:bCs/>
          <w:i w:val="0"/>
          <w:iCs/>
          <w:color w:val="auto"/>
          <w:sz w:val="32"/>
          <w:szCs w:val="32"/>
          <w:lang w:eastAsia="zh-CN"/>
        </w:rPr>
        <w:t>。</w:t>
      </w:r>
    </w:p>
    <w:p w14:paraId="4286A5E9">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说明基金拟投资地域</w:t>
      </w:r>
      <w:r>
        <w:rPr>
          <w:rFonts w:hint="eastAsia" w:ascii="仿宋_GB2312" w:hAnsi="仿宋_GB2312" w:eastAsia="仿宋_GB2312" w:cs="仿宋_GB2312"/>
          <w:b w:val="0"/>
          <w:bCs/>
          <w:i w:val="0"/>
          <w:iCs/>
          <w:color w:val="auto"/>
          <w:sz w:val="32"/>
          <w:szCs w:val="32"/>
          <w:lang w:eastAsia="zh-CN"/>
        </w:rPr>
        <w:t>。</w:t>
      </w:r>
    </w:p>
    <w:p w14:paraId="1F4F4054">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说明基金拟投资阶段及配比情况</w:t>
      </w:r>
      <w:r>
        <w:rPr>
          <w:rFonts w:hint="eastAsia" w:ascii="仿宋_GB2312" w:hAnsi="仿宋_GB2312" w:eastAsia="仿宋_GB2312" w:cs="仿宋_GB2312"/>
          <w:b w:val="0"/>
          <w:bCs/>
          <w:i w:val="0"/>
          <w:iCs/>
          <w:color w:val="auto"/>
          <w:sz w:val="32"/>
          <w:szCs w:val="32"/>
          <w:lang w:eastAsia="zh-CN"/>
        </w:rPr>
        <w:t>。</w:t>
      </w:r>
    </w:p>
    <w:p w14:paraId="5CB67986">
      <w:pPr>
        <w:pStyle w:val="21"/>
        <w:numPr>
          <w:ilvl w:val="0"/>
          <w:numId w:val="6"/>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请简述本基金项目预期投资规模、预期投资节奏、预期投资项目数量等</w:t>
      </w:r>
      <w:r>
        <w:rPr>
          <w:rFonts w:hint="eastAsia" w:ascii="仿宋_GB2312" w:hAnsi="仿宋_GB2312" w:eastAsia="仿宋_GB2312" w:cs="仿宋_GB2312"/>
          <w:b w:val="0"/>
          <w:bCs/>
          <w:i w:val="0"/>
          <w:iCs/>
          <w:color w:val="auto"/>
          <w:sz w:val="32"/>
          <w:szCs w:val="32"/>
          <w:lang w:eastAsia="zh-CN"/>
        </w:rPr>
        <w:t>。</w:t>
      </w:r>
    </w:p>
    <w:p w14:paraId="6FE53183">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51" w:name="_Toc19771"/>
      <w:bookmarkStart w:id="52" w:name="_Toc28205"/>
      <w:bookmarkStart w:id="53" w:name="_Toc30645"/>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项目来源与筛选标准</w:t>
      </w:r>
      <w:bookmarkEnd w:id="51"/>
      <w:bookmarkEnd w:id="52"/>
      <w:bookmarkEnd w:id="53"/>
    </w:p>
    <w:p w14:paraId="4C5FD627">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54" w:name="_Toc15869"/>
      <w:bookmarkStart w:id="55" w:name="_Toc32318"/>
      <w:bookmarkStart w:id="56" w:name="_Toc26564"/>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三</w:t>
      </w:r>
      <w:r>
        <w:rPr>
          <w:rFonts w:hint="eastAsia" w:ascii="楷体" w:hAnsi="楷体" w:eastAsia="楷体" w:cs="楷体"/>
          <w:b w:val="0"/>
          <w:color w:val="auto"/>
          <w:sz w:val="32"/>
          <w:szCs w:val="28"/>
          <w:lang w:eastAsia="zh-CN"/>
        </w:rPr>
        <w:t>）</w:t>
      </w:r>
      <w:bookmarkEnd w:id="54"/>
      <w:bookmarkEnd w:id="55"/>
      <w:bookmarkEnd w:id="56"/>
      <w:bookmarkStart w:id="57" w:name="_Toc6531"/>
      <w:bookmarkStart w:id="58" w:name="_Toc8517"/>
      <w:bookmarkStart w:id="59" w:name="_Toc26769"/>
      <w:r>
        <w:rPr>
          <w:rFonts w:hint="eastAsia" w:ascii="楷体" w:hAnsi="楷体" w:eastAsia="楷体" w:cs="楷体"/>
          <w:b w:val="0"/>
          <w:color w:val="auto"/>
          <w:szCs w:val="28"/>
        </w:rPr>
        <w:t>治理体系及</w:t>
      </w:r>
      <w:r>
        <w:rPr>
          <w:rFonts w:hint="eastAsia" w:ascii="楷体" w:hAnsi="楷体" w:eastAsia="楷体" w:cs="楷体"/>
          <w:b w:val="0"/>
          <w:color w:val="auto"/>
          <w:sz w:val="32"/>
          <w:szCs w:val="28"/>
        </w:rPr>
        <w:t>投资决策流程</w:t>
      </w:r>
      <w:bookmarkEnd w:id="57"/>
      <w:bookmarkEnd w:id="58"/>
      <w:bookmarkEnd w:id="59"/>
    </w:p>
    <w:p w14:paraId="70C7E68A">
      <w:pPr>
        <w:pStyle w:val="21"/>
        <w:numPr>
          <w:ilvl w:val="0"/>
          <w:numId w:val="7"/>
        </w:numPr>
        <w:spacing w:line="520" w:lineRule="exact"/>
        <w:ind w:firstLine="400" w:firstLineChars="0"/>
        <w:jc w:val="both"/>
        <w:rPr>
          <w:rFonts w:hint="eastAsia" w:ascii="仿宋_GB2312" w:hAnsi="仿宋_GB2312" w:eastAsia="仿宋_GB2312" w:cs="仿宋_GB2312"/>
          <w:b w:val="0"/>
          <w:bCs/>
          <w:i w:val="0"/>
          <w:iCs/>
          <w:color w:val="auto"/>
          <w:sz w:val="32"/>
          <w:szCs w:val="32"/>
          <w:lang w:val="en-US" w:eastAsia="zh-CN"/>
        </w:rPr>
      </w:pPr>
      <w:r>
        <w:rPr>
          <w:rFonts w:hint="eastAsia" w:ascii="仿宋_GB2312" w:hAnsi="仿宋_GB2312" w:eastAsia="仿宋_GB2312" w:cs="仿宋_GB2312"/>
          <w:b w:val="0"/>
          <w:bCs/>
          <w:i w:val="0"/>
          <w:iCs/>
          <w:color w:val="auto"/>
          <w:sz w:val="32"/>
          <w:szCs w:val="32"/>
          <w:lang w:val="en-US" w:eastAsia="zh-CN"/>
        </w:rPr>
        <w:t>本基金治理体系</w:t>
      </w:r>
      <w:r>
        <w:rPr>
          <w:rFonts w:hint="eastAsia" w:ascii="仿宋_GB2312" w:hAnsi="仿宋_GB2312" w:eastAsia="仿宋_GB2312" w:cs="仿宋_GB2312"/>
          <w:b w:val="0"/>
          <w:bCs/>
          <w:iCs/>
          <w:color w:val="auto"/>
          <w:sz w:val="32"/>
          <w:szCs w:val="32"/>
        </w:rPr>
        <w:t>（GP、</w:t>
      </w:r>
      <w:r>
        <w:rPr>
          <w:rFonts w:hint="eastAsia" w:ascii="仿宋_GB2312" w:hAnsi="仿宋_GB2312" w:eastAsia="仿宋_GB2312" w:cs="仿宋_GB2312"/>
          <w:b w:val="0"/>
          <w:bCs/>
          <w:iCs/>
          <w:color w:val="auto"/>
          <w:sz w:val="32"/>
          <w:szCs w:val="32"/>
          <w:lang w:val="en-US" w:eastAsia="zh-CN"/>
        </w:rPr>
        <w:t>管理人、</w:t>
      </w:r>
      <w:r>
        <w:rPr>
          <w:rFonts w:hint="eastAsia" w:ascii="仿宋_GB2312" w:hAnsi="仿宋_GB2312" w:eastAsia="仿宋_GB2312" w:cs="仿宋_GB2312"/>
          <w:b w:val="0"/>
          <w:bCs/>
          <w:iCs/>
          <w:color w:val="auto"/>
          <w:sz w:val="32"/>
          <w:szCs w:val="32"/>
        </w:rPr>
        <w:t>投决会、合伙人大会</w:t>
      </w:r>
      <w:r>
        <w:rPr>
          <w:rFonts w:hint="eastAsia" w:ascii="仿宋_GB2312" w:hAnsi="仿宋_GB2312" w:eastAsia="仿宋_GB2312" w:cs="仿宋_GB2312"/>
          <w:b w:val="0"/>
          <w:bCs/>
          <w:iCs/>
          <w:color w:val="auto"/>
          <w:sz w:val="32"/>
          <w:szCs w:val="32"/>
          <w:lang w:val="en-US" w:eastAsia="zh-CN"/>
        </w:rPr>
        <w:t>等职责划分</w:t>
      </w:r>
      <w:r>
        <w:rPr>
          <w:rFonts w:hint="eastAsia" w:ascii="仿宋_GB2312" w:hAnsi="仿宋_GB2312" w:eastAsia="仿宋_GB2312" w:cs="仿宋_GB2312"/>
          <w:b w:val="0"/>
          <w:bCs/>
          <w:iCs/>
          <w:color w:val="auto"/>
          <w:sz w:val="32"/>
          <w:szCs w:val="32"/>
        </w:rPr>
        <w:t>）</w:t>
      </w:r>
      <w:r>
        <w:rPr>
          <w:rFonts w:hint="eastAsia" w:ascii="仿宋_GB2312" w:hAnsi="仿宋_GB2312" w:eastAsia="仿宋_GB2312" w:cs="仿宋_GB2312"/>
          <w:b w:val="0"/>
          <w:bCs/>
          <w:iCs/>
          <w:color w:val="auto"/>
          <w:sz w:val="32"/>
          <w:szCs w:val="32"/>
          <w:lang w:eastAsia="zh-CN"/>
        </w:rPr>
        <w:t>。</w:t>
      </w:r>
    </w:p>
    <w:p w14:paraId="2580D082">
      <w:pPr>
        <w:pStyle w:val="21"/>
        <w:numPr>
          <w:ilvl w:val="0"/>
          <w:numId w:val="7"/>
        </w:numPr>
        <w:spacing w:line="520" w:lineRule="exact"/>
        <w:ind w:firstLine="400" w:firstLineChars="0"/>
        <w:jc w:val="both"/>
        <w:rPr>
          <w:rFonts w:hint="eastAsia" w:ascii="仿宋_GB2312" w:hAnsi="仿宋_GB2312" w:eastAsia="仿宋_GB2312" w:cs="仿宋_GB2312"/>
          <w:b w:val="0"/>
          <w:bCs/>
          <w:i w:val="0"/>
          <w:iCs/>
          <w:color w:val="auto"/>
          <w:sz w:val="32"/>
          <w:szCs w:val="32"/>
          <w:lang w:eastAsia="zh-CN"/>
        </w:rPr>
      </w:pPr>
      <w:r>
        <w:rPr>
          <w:rFonts w:hint="eastAsia" w:ascii="仿宋_GB2312" w:hAnsi="仿宋_GB2312" w:eastAsia="仿宋_GB2312" w:cs="仿宋_GB2312"/>
          <w:b w:val="0"/>
          <w:bCs/>
          <w:i w:val="0"/>
          <w:iCs/>
          <w:color w:val="auto"/>
          <w:sz w:val="32"/>
          <w:szCs w:val="32"/>
        </w:rPr>
        <w:t>本基金的投资决策流程（请用流程图辅以文字进行说明，并指明关键节点（如立项、尽调、投委会等）</w:t>
      </w:r>
      <w:r>
        <w:rPr>
          <w:rFonts w:hint="eastAsia" w:ascii="仿宋_GB2312" w:hAnsi="仿宋_GB2312" w:eastAsia="仿宋_GB2312" w:cs="仿宋_GB2312"/>
          <w:b w:val="0"/>
          <w:bCs/>
          <w:i w:val="0"/>
          <w:iCs/>
          <w:color w:val="auto"/>
          <w:sz w:val="32"/>
          <w:szCs w:val="32"/>
          <w:lang w:eastAsia="zh-CN"/>
        </w:rPr>
        <w:t>涉及的</w:t>
      </w:r>
      <w:r>
        <w:rPr>
          <w:rFonts w:hint="eastAsia" w:ascii="仿宋_GB2312" w:hAnsi="仿宋_GB2312" w:eastAsia="仿宋_GB2312" w:cs="仿宋_GB2312"/>
          <w:b w:val="0"/>
          <w:bCs/>
          <w:i w:val="0"/>
          <w:iCs/>
          <w:color w:val="auto"/>
          <w:sz w:val="32"/>
          <w:szCs w:val="32"/>
        </w:rPr>
        <w:t>负责人、团队和部门）和决策制度</w:t>
      </w:r>
      <w:r>
        <w:rPr>
          <w:rFonts w:hint="eastAsia" w:ascii="仿宋_GB2312" w:hAnsi="仿宋_GB2312" w:eastAsia="仿宋_GB2312" w:cs="仿宋_GB2312"/>
          <w:b w:val="0"/>
          <w:bCs/>
          <w:i w:val="0"/>
          <w:iCs/>
          <w:color w:val="auto"/>
          <w:sz w:val="32"/>
          <w:szCs w:val="32"/>
          <w:lang w:eastAsia="zh-CN"/>
        </w:rPr>
        <w:t>。</w:t>
      </w:r>
    </w:p>
    <w:p w14:paraId="756ED1C4">
      <w:pPr>
        <w:pStyle w:val="21"/>
        <w:numPr>
          <w:ilvl w:val="0"/>
          <w:numId w:val="7"/>
        </w:numPr>
        <w:adjustRightInd w:val="0"/>
        <w:snapToGrid w:val="0"/>
        <w:spacing w:before="0" w:after="0" w:line="520" w:lineRule="exact"/>
        <w:ind w:left="0" w:firstLine="400" w:firstLineChars="0"/>
        <w:rPr>
          <w:rFonts w:hint="eastAsia" w:ascii="仿宋_GB2312" w:hAnsi="仿宋_GB2312" w:eastAsia="仿宋_GB2312" w:cs="仿宋_GB2312"/>
          <w:b w:val="0"/>
          <w:bCs/>
          <w:iCs/>
          <w:color w:val="auto"/>
          <w:sz w:val="32"/>
          <w:szCs w:val="32"/>
        </w:rPr>
      </w:pPr>
      <w:bookmarkStart w:id="60" w:name="_Toc6604"/>
      <w:bookmarkStart w:id="61" w:name="_Toc11552"/>
      <w:bookmarkStart w:id="62" w:name="_Toc806"/>
      <w:r>
        <w:rPr>
          <w:rFonts w:hint="eastAsia" w:ascii="仿宋_GB2312" w:hAnsi="仿宋_GB2312" w:eastAsia="仿宋_GB2312" w:cs="仿宋_GB2312"/>
          <w:b w:val="0"/>
          <w:bCs/>
          <w:iCs/>
          <w:color w:val="auto"/>
          <w:sz w:val="32"/>
          <w:szCs w:val="32"/>
        </w:rPr>
        <w:t>投资决策委员会</w:t>
      </w:r>
      <w:bookmarkEnd w:id="60"/>
      <w:r>
        <w:rPr>
          <w:rFonts w:hint="eastAsia" w:ascii="仿宋_GB2312" w:hAnsi="仿宋_GB2312" w:eastAsia="仿宋_GB2312" w:cs="仿宋_GB2312"/>
          <w:b w:val="0"/>
          <w:bCs/>
          <w:iCs/>
          <w:color w:val="auto"/>
          <w:sz w:val="32"/>
          <w:szCs w:val="32"/>
          <w:lang w:val="en-US" w:eastAsia="zh-CN"/>
        </w:rPr>
        <w:t>组成</w:t>
      </w:r>
      <w:r>
        <w:rPr>
          <w:rFonts w:hint="eastAsia" w:ascii="仿宋_GB2312" w:hAnsi="仿宋_GB2312" w:eastAsia="仿宋_GB2312" w:cs="仿宋_GB2312"/>
          <w:b w:val="0"/>
          <w:bCs/>
          <w:iCs/>
          <w:color w:val="auto"/>
          <w:sz w:val="32"/>
          <w:szCs w:val="32"/>
        </w:rPr>
        <w:t>（及咨询委员会，如有）</w:t>
      </w:r>
      <w:bookmarkEnd w:id="61"/>
      <w:bookmarkEnd w:id="62"/>
    </w:p>
    <w:p w14:paraId="092509E8">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bCs/>
          <w:iCs w:val="0"/>
          <w:color w:val="auto"/>
          <w:sz w:val="32"/>
          <w:szCs w:val="28"/>
          <w:lang w:val="en-US" w:eastAsia="zh-CN"/>
        </w:rPr>
      </w:pPr>
      <w:bookmarkStart w:id="63" w:name="_Toc22088"/>
      <w:bookmarkStart w:id="64" w:name="_Toc20656"/>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四</w:t>
      </w:r>
      <w:r>
        <w:rPr>
          <w:rFonts w:hint="eastAsia" w:ascii="楷体" w:hAnsi="楷体" w:eastAsia="楷体" w:cs="楷体"/>
          <w:b w:val="0"/>
          <w:color w:val="auto"/>
          <w:sz w:val="32"/>
          <w:szCs w:val="28"/>
          <w:lang w:eastAsia="zh-CN"/>
        </w:rPr>
        <w:t>）</w:t>
      </w:r>
      <w:r>
        <w:rPr>
          <w:rFonts w:hint="eastAsia" w:ascii="楷体" w:hAnsi="楷体" w:eastAsia="楷体" w:cs="楷体"/>
          <w:b w:val="0"/>
          <w:bCs/>
          <w:iCs w:val="0"/>
          <w:color w:val="auto"/>
          <w:sz w:val="32"/>
          <w:szCs w:val="28"/>
          <w:lang w:val="en-US" w:eastAsia="zh-CN"/>
        </w:rPr>
        <w:t>其他内容</w:t>
      </w:r>
    </w:p>
    <w:p w14:paraId="283E9180">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bCs/>
          <w:iCs w:val="0"/>
          <w:color w:val="auto"/>
          <w:sz w:val="32"/>
          <w:szCs w:val="28"/>
        </w:rPr>
      </w:pPr>
      <w:r>
        <w:rPr>
          <w:rFonts w:hint="eastAsia" w:ascii="楷体" w:hAnsi="楷体" w:eastAsia="楷体" w:cs="楷体"/>
          <w:b w:val="0"/>
          <w:color w:val="auto"/>
          <w:sz w:val="32"/>
          <w:szCs w:val="28"/>
        </w:rPr>
        <w:t>估值体系</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行业研究体系</w:t>
      </w:r>
      <w:r>
        <w:rPr>
          <w:rFonts w:hint="eastAsia" w:ascii="楷体" w:hAnsi="楷体" w:eastAsia="楷体" w:cs="楷体"/>
          <w:b w:val="0"/>
          <w:color w:val="auto"/>
          <w:sz w:val="32"/>
          <w:szCs w:val="28"/>
          <w:lang w:eastAsia="zh-CN"/>
        </w:rPr>
        <w:t>、</w:t>
      </w:r>
      <w:r>
        <w:rPr>
          <w:rFonts w:hint="eastAsia" w:ascii="楷体" w:hAnsi="楷体" w:eastAsia="楷体" w:cs="楷体"/>
          <w:b w:val="0"/>
          <w:bCs/>
          <w:iCs w:val="0"/>
          <w:color w:val="auto"/>
          <w:sz w:val="32"/>
          <w:szCs w:val="28"/>
        </w:rPr>
        <w:t>投资限制说明</w:t>
      </w:r>
      <w:r>
        <w:rPr>
          <w:rFonts w:hint="eastAsia" w:ascii="楷体" w:hAnsi="楷体" w:eastAsia="楷体" w:cs="楷体"/>
          <w:b w:val="0"/>
          <w:bCs/>
          <w:iCs w:val="0"/>
          <w:color w:val="auto"/>
          <w:sz w:val="32"/>
          <w:szCs w:val="28"/>
          <w:lang w:val="en-US" w:eastAsia="zh-CN"/>
        </w:rPr>
        <w:t>等</w:t>
      </w:r>
      <w:bookmarkEnd w:id="63"/>
      <w:bookmarkEnd w:id="64"/>
    </w:p>
    <w:p w14:paraId="0E89DA7F">
      <w:pPr>
        <w:pStyle w:val="21"/>
        <w:spacing w:line="520" w:lineRule="exact"/>
        <w:ind w:firstLine="640"/>
        <w:jc w:val="both"/>
        <w:rPr>
          <w:rFonts w:hint="eastAsia" w:ascii="宋体" w:hAnsi="宋体" w:eastAsia="仿宋_GB2312" w:cs="宋体"/>
          <w:b w:val="0"/>
          <w:bCs/>
          <w:i w:val="0"/>
          <w:iCs/>
          <w:color w:val="auto"/>
          <w:sz w:val="32"/>
        </w:rPr>
      </w:pPr>
    </w:p>
    <w:p w14:paraId="14F20DD9">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65" w:name="_Toc6166"/>
      <w:bookmarkStart w:id="66" w:name="_Toc2952"/>
      <w:bookmarkStart w:id="67" w:name="_Toc367"/>
      <w:r>
        <w:rPr>
          <w:rFonts w:hint="eastAsia" w:ascii="黑体" w:hAnsi="黑体" w:cs="黑体"/>
          <w:color w:val="auto"/>
          <w:lang w:val="en-US" w:eastAsia="zh-CN"/>
        </w:rPr>
        <w:t>六、</w:t>
      </w:r>
      <w:r>
        <w:rPr>
          <w:rFonts w:hint="eastAsia" w:ascii="黑体" w:hAnsi="黑体" w:eastAsia="黑体" w:cs="黑体"/>
          <w:color w:val="auto"/>
        </w:rPr>
        <w:t>管理</w:t>
      </w:r>
      <w:r>
        <w:rPr>
          <w:rFonts w:hint="eastAsia" w:ascii="黑体" w:hAnsi="黑体" w:cs="黑体"/>
          <w:color w:val="auto"/>
          <w:lang w:eastAsia="zh-CN"/>
        </w:rPr>
        <w:t>、</w:t>
      </w:r>
      <w:r>
        <w:rPr>
          <w:rFonts w:hint="eastAsia" w:ascii="黑体" w:hAnsi="黑体" w:cs="黑体"/>
          <w:color w:val="auto"/>
          <w:lang w:val="en-US" w:eastAsia="zh-CN"/>
        </w:rPr>
        <w:t>运行及</w:t>
      </w:r>
      <w:r>
        <w:rPr>
          <w:rFonts w:hint="eastAsia" w:ascii="黑体" w:hAnsi="黑体" w:eastAsia="黑体" w:cs="黑体"/>
          <w:color w:val="auto"/>
        </w:rPr>
        <w:t>退出</w:t>
      </w:r>
      <w:bookmarkEnd w:id="65"/>
      <w:bookmarkEnd w:id="66"/>
      <w:bookmarkEnd w:id="67"/>
    </w:p>
    <w:p w14:paraId="4A63B26A">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68" w:name="_Toc25653"/>
      <w:bookmarkStart w:id="69" w:name="_Toc10953"/>
      <w:bookmarkStart w:id="70" w:name="_Toc14740"/>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投后管理</w:t>
      </w:r>
      <w:bookmarkEnd w:id="68"/>
      <w:r>
        <w:rPr>
          <w:rFonts w:hint="eastAsia" w:ascii="楷体" w:hAnsi="楷体" w:eastAsia="楷体" w:cs="楷体"/>
          <w:b w:val="0"/>
          <w:color w:val="auto"/>
          <w:szCs w:val="28"/>
        </w:rPr>
        <w:t>及增值服务</w:t>
      </w:r>
      <w:bookmarkEnd w:id="69"/>
      <w:bookmarkEnd w:id="70"/>
    </w:p>
    <w:p w14:paraId="3684C0B5">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说明项目的投后管理的内容及工作流程</w:t>
      </w:r>
      <w:r>
        <w:rPr>
          <w:rFonts w:hint="eastAsia" w:ascii="宋体" w:hAnsi="宋体" w:eastAsia="仿宋_GB2312" w:cs="宋体"/>
          <w:b w:val="0"/>
          <w:bCs/>
          <w:i w:val="0"/>
          <w:iCs/>
          <w:color w:val="auto"/>
          <w:sz w:val="32"/>
          <w:szCs w:val="32"/>
          <w:lang w:eastAsia="zh-CN"/>
        </w:rPr>
        <w:t>。</w:t>
      </w:r>
    </w:p>
    <w:p w14:paraId="4CCF3A19">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结合以往投资案例，说明公司对被投公司的介入方式（增值服务），如运营参与、财务重构、董事会席位、股权地位等</w:t>
      </w:r>
      <w:r>
        <w:rPr>
          <w:rFonts w:hint="eastAsia" w:ascii="宋体" w:hAnsi="宋体" w:eastAsia="仿宋_GB2312" w:cs="宋体"/>
          <w:b w:val="0"/>
          <w:bCs/>
          <w:i w:val="0"/>
          <w:iCs/>
          <w:color w:val="auto"/>
          <w:sz w:val="32"/>
          <w:szCs w:val="32"/>
          <w:lang w:eastAsia="zh-CN"/>
        </w:rPr>
        <w:t>。</w:t>
      </w:r>
    </w:p>
    <w:p w14:paraId="392ED3CF">
      <w:pPr>
        <w:pStyle w:val="21"/>
        <w:numPr>
          <w:ilvl w:val="0"/>
          <w:numId w:val="8"/>
        </w:numPr>
        <w:spacing w:line="520" w:lineRule="exact"/>
        <w:ind w:firstLine="600"/>
        <w:jc w:val="both"/>
        <w:rPr>
          <w:rFonts w:hint="eastAsia"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rPr>
        <w:t>说明管理团队能够为项目提供的增值服务内容，并阐述团队在此方面的优势或资源</w:t>
      </w:r>
      <w:r>
        <w:rPr>
          <w:rFonts w:hint="eastAsia" w:ascii="宋体" w:hAnsi="宋体" w:eastAsia="仿宋_GB2312" w:cs="宋体"/>
          <w:b w:val="0"/>
          <w:bCs/>
          <w:i w:val="0"/>
          <w:iCs/>
          <w:color w:val="auto"/>
          <w:sz w:val="32"/>
          <w:szCs w:val="32"/>
          <w:lang w:val="en-US" w:eastAsia="zh-CN"/>
        </w:rPr>
        <w:t>。</w:t>
      </w:r>
    </w:p>
    <w:p w14:paraId="63735494">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Cs w:val="28"/>
        </w:rPr>
      </w:pPr>
      <w:bookmarkStart w:id="71" w:name="_Toc12150"/>
      <w:bookmarkStart w:id="72" w:name="_Toc1254"/>
      <w:bookmarkStart w:id="73" w:name="_Toc67"/>
      <w:r>
        <w:rPr>
          <w:rFonts w:hint="eastAsia" w:ascii="楷体" w:hAnsi="楷体" w:eastAsia="楷体" w:cs="楷体"/>
          <w:b w:val="0"/>
          <w:color w:val="auto"/>
          <w:szCs w:val="28"/>
          <w:lang w:eastAsia="zh-CN"/>
        </w:rPr>
        <w:t>（</w:t>
      </w:r>
      <w:r>
        <w:rPr>
          <w:rFonts w:hint="eastAsia" w:ascii="楷体" w:hAnsi="楷体" w:eastAsia="楷体" w:cs="楷体"/>
          <w:b w:val="0"/>
          <w:color w:val="auto"/>
          <w:szCs w:val="28"/>
          <w:lang w:val="en-US" w:eastAsia="zh-CN"/>
        </w:rPr>
        <w:t>二</w:t>
      </w:r>
      <w:r>
        <w:rPr>
          <w:rFonts w:hint="eastAsia" w:ascii="楷体" w:hAnsi="楷体" w:eastAsia="楷体" w:cs="楷体"/>
          <w:b w:val="0"/>
          <w:color w:val="auto"/>
          <w:szCs w:val="28"/>
          <w:lang w:eastAsia="zh-CN"/>
        </w:rPr>
        <w:t>）</w:t>
      </w:r>
      <w:r>
        <w:rPr>
          <w:rFonts w:hint="eastAsia" w:ascii="楷体" w:hAnsi="楷体" w:eastAsia="楷体" w:cs="楷体"/>
          <w:b w:val="0"/>
          <w:color w:val="auto"/>
          <w:szCs w:val="28"/>
        </w:rPr>
        <w:t>风险控制及信息披露</w:t>
      </w:r>
      <w:bookmarkEnd w:id="71"/>
      <w:bookmarkEnd w:id="72"/>
      <w:bookmarkEnd w:id="73"/>
    </w:p>
    <w:p w14:paraId="5273DC70">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rPr>
      </w:pPr>
      <w:r>
        <w:rPr>
          <w:rFonts w:hint="eastAsia" w:ascii="宋体" w:hAnsi="宋体" w:eastAsia="仿宋_GB2312" w:cs="宋体"/>
          <w:b w:val="0"/>
          <w:bCs/>
          <w:i w:val="0"/>
          <w:iCs/>
          <w:color w:val="auto"/>
          <w:sz w:val="32"/>
          <w:szCs w:val="32"/>
        </w:rPr>
        <w:t>说明本基金风控团队配置情况及主要工作内容</w:t>
      </w:r>
      <w:r>
        <w:rPr>
          <w:rFonts w:hint="eastAsia" w:ascii="宋体" w:hAnsi="宋体" w:eastAsia="仿宋_GB2312" w:cs="宋体"/>
          <w:b w:val="0"/>
          <w:bCs/>
          <w:i w:val="0"/>
          <w:iCs/>
          <w:color w:val="auto"/>
          <w:sz w:val="32"/>
          <w:szCs w:val="32"/>
          <w:lang w:val="en-US" w:eastAsia="zh-CN"/>
        </w:rPr>
        <w:t>。</w:t>
      </w:r>
    </w:p>
    <w:p w14:paraId="3AC811BA">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eastAsia="zh-CN"/>
        </w:rPr>
        <w:t>介绍</w:t>
      </w:r>
      <w:r>
        <w:rPr>
          <w:rFonts w:hint="eastAsia" w:ascii="宋体" w:hAnsi="宋体" w:eastAsia="仿宋_GB2312" w:cs="宋体"/>
          <w:b w:val="0"/>
          <w:bCs/>
          <w:i w:val="0"/>
          <w:iCs/>
          <w:color w:val="auto"/>
          <w:sz w:val="32"/>
          <w:szCs w:val="32"/>
        </w:rPr>
        <w:t>风险控制流程及机制内容</w:t>
      </w:r>
      <w:r>
        <w:rPr>
          <w:rFonts w:hint="eastAsia" w:ascii="宋体" w:hAnsi="宋体" w:eastAsia="仿宋_GB2312" w:cs="宋体"/>
          <w:b w:val="0"/>
          <w:bCs/>
          <w:i w:val="0"/>
          <w:iCs/>
          <w:color w:val="auto"/>
          <w:sz w:val="32"/>
          <w:szCs w:val="32"/>
          <w:lang w:eastAsia="zh-CN"/>
        </w:rPr>
        <w:t>（</w:t>
      </w:r>
      <w:r>
        <w:rPr>
          <w:rFonts w:hint="eastAsia" w:ascii="宋体" w:hAnsi="宋体" w:eastAsia="仿宋_GB2312" w:cs="宋体"/>
          <w:b w:val="0"/>
          <w:bCs/>
          <w:i w:val="0"/>
          <w:iCs/>
          <w:color w:val="auto"/>
          <w:sz w:val="32"/>
          <w:szCs w:val="32"/>
          <w:lang w:val="en-US" w:eastAsia="zh-CN"/>
        </w:rPr>
        <w:t>含</w:t>
      </w:r>
      <w:r>
        <w:rPr>
          <w:rFonts w:ascii="宋体" w:hAnsi="宋体" w:eastAsia="仿宋_GB2312" w:cs="宋体"/>
          <w:bCs/>
          <w:iCs/>
          <w:color w:val="auto"/>
          <w:sz w:val="32"/>
          <w:szCs w:val="32"/>
        </w:rPr>
        <w:t>关联交易处理</w:t>
      </w:r>
      <w:r>
        <w:rPr>
          <w:rFonts w:hint="eastAsia" w:ascii="宋体" w:hAnsi="宋体" w:eastAsia="仿宋_GB2312" w:cs="宋体"/>
          <w:bCs/>
          <w:iCs/>
          <w:color w:val="auto"/>
          <w:sz w:val="32"/>
          <w:szCs w:val="32"/>
          <w:lang w:val="en-US" w:eastAsia="zh-CN"/>
        </w:rPr>
        <w:t>方式</w:t>
      </w:r>
      <w:r>
        <w:rPr>
          <w:rFonts w:hint="eastAsia" w:ascii="宋体" w:hAnsi="宋体" w:eastAsia="仿宋_GB2312" w:cs="宋体"/>
          <w:bCs/>
          <w:iCs/>
          <w:color w:val="auto"/>
          <w:sz w:val="32"/>
          <w:szCs w:val="32"/>
          <w:lang w:eastAsia="zh-CN"/>
        </w:rPr>
        <w:t>、</w:t>
      </w:r>
      <w:r>
        <w:rPr>
          <w:rFonts w:hint="eastAsia" w:ascii="宋体" w:hAnsi="宋体" w:eastAsia="仿宋_GB2312" w:cs="宋体"/>
          <w:bCs/>
          <w:iCs/>
          <w:color w:val="auto"/>
          <w:sz w:val="32"/>
          <w:szCs w:val="32"/>
        </w:rPr>
        <w:t>基金止损机制</w:t>
      </w:r>
      <w:r>
        <w:rPr>
          <w:rFonts w:hint="eastAsia" w:ascii="宋体" w:hAnsi="宋体" w:eastAsia="仿宋_GB2312" w:cs="宋体"/>
          <w:b w:val="0"/>
          <w:bCs/>
          <w:i w:val="0"/>
          <w:iCs/>
          <w:color w:val="auto"/>
          <w:sz w:val="32"/>
          <w:szCs w:val="32"/>
          <w:lang w:eastAsia="zh-CN"/>
        </w:rPr>
        <w:t>）。</w:t>
      </w:r>
    </w:p>
    <w:p w14:paraId="5E864B9C">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val="en-US" w:eastAsia="zh-CN"/>
        </w:rPr>
      </w:pPr>
      <w:r>
        <w:rPr>
          <w:rFonts w:hint="eastAsia" w:ascii="宋体" w:hAnsi="宋体" w:eastAsia="仿宋_GB2312" w:cs="宋体"/>
          <w:b w:val="0"/>
          <w:bCs/>
          <w:i w:val="0"/>
          <w:iCs/>
          <w:color w:val="auto"/>
          <w:sz w:val="32"/>
          <w:szCs w:val="32"/>
        </w:rPr>
        <w:t>说明</w:t>
      </w:r>
      <w:r>
        <w:rPr>
          <w:rFonts w:hint="eastAsia" w:ascii="宋体" w:hAnsi="宋体" w:eastAsia="仿宋_GB2312" w:cs="宋体"/>
          <w:b w:val="0"/>
          <w:bCs/>
          <w:i w:val="0"/>
          <w:iCs/>
          <w:color w:val="auto"/>
          <w:sz w:val="32"/>
          <w:szCs w:val="32"/>
          <w:lang w:val="en-US" w:eastAsia="zh-CN"/>
        </w:rPr>
        <w:t>本</w:t>
      </w:r>
      <w:r>
        <w:rPr>
          <w:rFonts w:hint="eastAsia" w:ascii="宋体" w:hAnsi="宋体" w:eastAsia="仿宋_GB2312" w:cs="宋体"/>
          <w:b w:val="0"/>
          <w:bCs/>
          <w:i w:val="0"/>
          <w:iCs/>
          <w:color w:val="auto"/>
          <w:sz w:val="32"/>
          <w:szCs w:val="32"/>
        </w:rPr>
        <w:t>基金可能面临的风险并阐述风险应对措施，说明在投资决策和商业条款上如何管控项目的投资风险</w:t>
      </w:r>
      <w:r>
        <w:rPr>
          <w:rFonts w:hint="eastAsia" w:ascii="宋体" w:hAnsi="宋体" w:eastAsia="仿宋_GB2312" w:cs="宋体"/>
          <w:b w:val="0"/>
          <w:bCs/>
          <w:i w:val="0"/>
          <w:iCs/>
          <w:color w:val="auto"/>
          <w:sz w:val="32"/>
          <w:szCs w:val="32"/>
          <w:lang w:val="en-US" w:eastAsia="zh-CN"/>
        </w:rPr>
        <w:t>。</w:t>
      </w:r>
    </w:p>
    <w:p w14:paraId="02A2C098">
      <w:pPr>
        <w:pStyle w:val="21"/>
        <w:numPr>
          <w:ilvl w:val="0"/>
          <w:numId w:val="9"/>
        </w:numPr>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rPr>
        <w:t>说明本基金信息披露主要内容、方式、频率</w:t>
      </w:r>
      <w:r>
        <w:rPr>
          <w:rFonts w:hint="eastAsia" w:ascii="宋体" w:hAnsi="宋体" w:eastAsia="仿宋_GB2312" w:cs="宋体"/>
          <w:b w:val="0"/>
          <w:bCs/>
          <w:i w:val="0"/>
          <w:iCs/>
          <w:color w:val="auto"/>
          <w:sz w:val="32"/>
          <w:szCs w:val="32"/>
          <w:lang w:eastAsia="zh-CN"/>
        </w:rPr>
        <w:t>。</w:t>
      </w:r>
    </w:p>
    <w:p w14:paraId="21D32A03">
      <w:pPr>
        <w:pStyle w:val="4"/>
        <w:numPr>
          <w:ilvl w:val="-1"/>
          <w:numId w:val="0"/>
        </w:numPr>
        <w:adjustRightInd w:val="0"/>
        <w:snapToGrid w:val="0"/>
        <w:spacing w:before="0" w:after="0" w:line="520" w:lineRule="exact"/>
        <w:ind w:left="0" w:firstLine="640" w:firstLineChars="200"/>
        <w:rPr>
          <w:rFonts w:hint="eastAsia" w:ascii="楷体" w:hAnsi="楷体" w:eastAsia="楷体" w:cs="楷体"/>
          <w:b w:val="0"/>
          <w:color w:val="auto"/>
          <w:sz w:val="32"/>
          <w:szCs w:val="28"/>
        </w:rPr>
      </w:pP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三</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退出</w:t>
      </w:r>
      <w:r>
        <w:rPr>
          <w:rFonts w:hint="eastAsia" w:ascii="楷体" w:hAnsi="楷体" w:eastAsia="楷体" w:cs="楷体"/>
          <w:b w:val="0"/>
          <w:color w:val="auto"/>
          <w:sz w:val="32"/>
          <w:szCs w:val="28"/>
          <w:lang w:val="en-US" w:eastAsia="zh-CN"/>
        </w:rPr>
        <w:t>策略</w:t>
      </w:r>
    </w:p>
    <w:p w14:paraId="1995013C">
      <w:pPr>
        <w:pStyle w:val="21"/>
        <w:spacing w:line="520" w:lineRule="exact"/>
        <w:ind w:firstLine="640"/>
        <w:jc w:val="both"/>
        <w:rPr>
          <w:rFonts w:ascii="宋体" w:hAnsi="宋体" w:eastAsia="仿宋_GB2312" w:cs="宋体"/>
          <w:b w:val="0"/>
          <w:bCs/>
          <w:i w:val="0"/>
          <w:iCs/>
          <w:color w:val="auto"/>
          <w:sz w:val="32"/>
          <w:szCs w:val="32"/>
        </w:rPr>
      </w:pPr>
      <w:r>
        <w:rPr>
          <w:rFonts w:hint="eastAsia" w:ascii="宋体" w:hAnsi="宋体" w:eastAsia="仿宋_GB2312" w:cs="宋体"/>
          <w:b w:val="0"/>
          <w:bCs/>
          <w:i w:val="0"/>
          <w:iCs/>
          <w:color w:val="auto"/>
          <w:sz w:val="32"/>
          <w:szCs w:val="32"/>
        </w:rPr>
        <w:t>说明基金的主要退出方式，以及投资项目退出策略设计、项目未能按照预期方式和时间退出时投资团队的应对方案及处理措施</w:t>
      </w:r>
      <w:r>
        <w:rPr>
          <w:rFonts w:ascii="宋体" w:hAnsi="宋体" w:eastAsia="仿宋_GB2312" w:cs="宋体"/>
          <w:b w:val="0"/>
          <w:bCs/>
          <w:i w:val="0"/>
          <w:iCs/>
          <w:color w:val="auto"/>
          <w:sz w:val="32"/>
          <w:szCs w:val="32"/>
        </w:rPr>
        <w:t>。</w:t>
      </w:r>
    </w:p>
    <w:p w14:paraId="5974C0F0">
      <w:pPr>
        <w:pStyle w:val="21"/>
        <w:spacing w:line="520" w:lineRule="exact"/>
        <w:ind w:firstLine="640"/>
        <w:jc w:val="both"/>
        <w:rPr>
          <w:rFonts w:hint="eastAsia" w:ascii="宋体" w:hAnsi="宋体" w:eastAsia="仿宋_GB2312" w:cs="宋体"/>
          <w:bCs/>
          <w:iCs/>
          <w:color w:val="auto"/>
          <w:sz w:val="32"/>
          <w:lang w:eastAsia="zh-CN"/>
        </w:rPr>
      </w:pPr>
    </w:p>
    <w:p w14:paraId="6372D980">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rPr>
      </w:pPr>
      <w:bookmarkStart w:id="74" w:name="_Toc13328"/>
      <w:bookmarkStart w:id="75" w:name="_Toc20719"/>
      <w:bookmarkStart w:id="76" w:name="_Toc8483"/>
      <w:r>
        <w:rPr>
          <w:rFonts w:hint="eastAsia" w:ascii="黑体" w:hAnsi="黑体" w:cs="黑体"/>
          <w:color w:val="auto"/>
          <w:lang w:val="en-US" w:eastAsia="zh-CN"/>
        </w:rPr>
        <w:t>七、</w:t>
      </w:r>
      <w:r>
        <w:rPr>
          <w:rFonts w:hint="eastAsia" w:ascii="黑体" w:hAnsi="黑体" w:eastAsia="黑体" w:cs="黑体"/>
          <w:color w:val="auto"/>
        </w:rPr>
        <w:t>已投与储备项目情况</w:t>
      </w:r>
      <w:bookmarkEnd w:id="74"/>
      <w:bookmarkEnd w:id="75"/>
      <w:bookmarkEnd w:id="76"/>
    </w:p>
    <w:p w14:paraId="5B7F8AEA">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77" w:name="_Toc11375"/>
      <w:bookmarkStart w:id="78" w:name="_Toc25961"/>
      <w:bookmarkStart w:id="79" w:name="_Toc29009"/>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一</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已投项目</w:t>
      </w:r>
      <w:bookmarkEnd w:id="77"/>
      <w:bookmarkEnd w:id="78"/>
      <w:bookmarkEnd w:id="79"/>
    </w:p>
    <w:p w14:paraId="66CE7764">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val="en-US" w:eastAsia="zh-CN"/>
        </w:rPr>
        <w:t>列表</w:t>
      </w:r>
      <w:r>
        <w:rPr>
          <w:rFonts w:ascii="宋体" w:hAnsi="宋体" w:eastAsia="仿宋_GB2312" w:cs="宋体"/>
          <w:b w:val="0"/>
          <w:bCs/>
          <w:i w:val="0"/>
          <w:iCs/>
          <w:color w:val="auto"/>
          <w:sz w:val="32"/>
          <w:szCs w:val="32"/>
        </w:rPr>
        <w:t>本基金已投项目清单</w:t>
      </w:r>
      <w:r>
        <w:rPr>
          <w:rFonts w:hint="eastAsia" w:ascii="宋体" w:hAnsi="宋体" w:eastAsia="仿宋_GB2312" w:cs="宋体"/>
          <w:b w:val="0"/>
          <w:bCs/>
          <w:iCs/>
          <w:color w:val="auto"/>
          <w:sz w:val="32"/>
          <w:szCs w:val="32"/>
          <w:lang w:eastAsia="zh-CN"/>
        </w:rPr>
        <w:t>（</w:t>
      </w:r>
      <w:r>
        <w:rPr>
          <w:rFonts w:hint="eastAsia" w:ascii="宋体" w:hAnsi="宋体" w:eastAsia="仿宋_GB2312" w:cs="宋体"/>
          <w:b w:val="0"/>
          <w:bCs/>
          <w:iCs/>
          <w:color w:val="auto"/>
          <w:sz w:val="32"/>
          <w:szCs w:val="32"/>
          <w:lang w:val="en-US" w:eastAsia="zh-CN"/>
        </w:rPr>
        <w:t>如有</w:t>
      </w:r>
      <w:r>
        <w:rPr>
          <w:rFonts w:hint="eastAsia" w:ascii="宋体" w:hAnsi="宋体" w:eastAsia="仿宋_GB2312" w:cs="宋体"/>
          <w:b w:val="0"/>
          <w:bCs/>
          <w:iCs/>
          <w:color w:val="auto"/>
          <w:sz w:val="32"/>
          <w:szCs w:val="32"/>
          <w:lang w:eastAsia="zh-CN"/>
        </w:rPr>
        <w:t>）</w:t>
      </w:r>
      <w:r>
        <w:rPr>
          <w:rFonts w:hint="eastAsia" w:ascii="宋体" w:hAnsi="宋体" w:eastAsia="仿宋_GB2312" w:cs="宋体"/>
          <w:b w:val="0"/>
          <w:bCs/>
          <w:i w:val="0"/>
          <w:iCs/>
          <w:color w:val="auto"/>
          <w:sz w:val="32"/>
          <w:szCs w:val="32"/>
          <w:lang w:eastAsia="zh-CN"/>
        </w:rPr>
        <w:t>，应包含项目简称、项目成立时间、项目注册地、项目领域、项目简介和亮点、项目团队情况、</w:t>
      </w:r>
      <w:r>
        <w:rPr>
          <w:rFonts w:hint="eastAsia" w:ascii="宋体" w:hAnsi="宋体" w:eastAsia="仿宋_GB2312" w:cs="宋体"/>
          <w:b w:val="0"/>
          <w:bCs/>
          <w:i w:val="0"/>
          <w:iCs/>
          <w:color w:val="auto"/>
          <w:sz w:val="32"/>
          <w:szCs w:val="32"/>
          <w:lang w:val="en-US" w:eastAsia="zh-CN"/>
        </w:rPr>
        <w:t>已</w:t>
      </w:r>
      <w:r>
        <w:rPr>
          <w:rFonts w:hint="eastAsia" w:ascii="宋体" w:hAnsi="宋体" w:eastAsia="仿宋_GB2312" w:cs="宋体"/>
          <w:b w:val="0"/>
          <w:bCs/>
          <w:i w:val="0"/>
          <w:iCs/>
          <w:color w:val="auto"/>
          <w:sz w:val="32"/>
          <w:szCs w:val="32"/>
          <w:lang w:eastAsia="zh-CN"/>
        </w:rPr>
        <w:t>投资金额、投资轮次等信息。</w:t>
      </w:r>
    </w:p>
    <w:p w14:paraId="218BB6E3">
      <w:pPr>
        <w:pStyle w:val="4"/>
        <w:numPr>
          <w:ilvl w:val="-1"/>
          <w:numId w:val="0"/>
        </w:numPr>
        <w:adjustRightInd w:val="0"/>
        <w:snapToGrid w:val="0"/>
        <w:spacing w:before="0" w:after="0" w:line="520" w:lineRule="exact"/>
        <w:ind w:left="0" w:leftChars="0" w:firstLine="640" w:firstLineChars="200"/>
        <w:rPr>
          <w:rFonts w:hint="eastAsia" w:ascii="楷体" w:hAnsi="楷体" w:eastAsia="楷体" w:cs="楷体"/>
          <w:b w:val="0"/>
          <w:color w:val="auto"/>
          <w:sz w:val="32"/>
          <w:szCs w:val="28"/>
        </w:rPr>
      </w:pPr>
      <w:bookmarkStart w:id="80" w:name="_Toc20909"/>
      <w:bookmarkStart w:id="81" w:name="_Toc10115"/>
      <w:bookmarkStart w:id="82" w:name="_Toc19188"/>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lang w:val="en-US" w:eastAsia="zh-CN"/>
        </w:rPr>
        <w:t>二</w:t>
      </w:r>
      <w:r>
        <w:rPr>
          <w:rFonts w:hint="eastAsia" w:ascii="楷体" w:hAnsi="楷体" w:eastAsia="楷体" w:cs="楷体"/>
          <w:b w:val="0"/>
          <w:color w:val="auto"/>
          <w:sz w:val="32"/>
          <w:szCs w:val="28"/>
          <w:lang w:eastAsia="zh-CN"/>
        </w:rPr>
        <w:t>）</w:t>
      </w:r>
      <w:r>
        <w:rPr>
          <w:rFonts w:hint="eastAsia" w:ascii="楷体" w:hAnsi="楷体" w:eastAsia="楷体" w:cs="楷体"/>
          <w:b w:val="0"/>
          <w:color w:val="auto"/>
          <w:sz w:val="32"/>
          <w:szCs w:val="28"/>
        </w:rPr>
        <w:t>储备项目</w:t>
      </w:r>
      <w:bookmarkEnd w:id="80"/>
      <w:r>
        <w:rPr>
          <w:rFonts w:hint="eastAsia" w:ascii="楷体" w:hAnsi="楷体" w:eastAsia="楷体" w:cs="楷体"/>
          <w:b w:val="0"/>
          <w:color w:val="auto"/>
          <w:szCs w:val="28"/>
        </w:rPr>
        <w:t>及投资价值分析</w:t>
      </w:r>
      <w:bookmarkEnd w:id="81"/>
      <w:bookmarkEnd w:id="82"/>
    </w:p>
    <w:p w14:paraId="7DEF889F">
      <w:pPr>
        <w:pStyle w:val="21"/>
        <w:spacing w:line="520" w:lineRule="exact"/>
        <w:ind w:firstLine="640"/>
        <w:jc w:val="both"/>
        <w:rPr>
          <w:rFonts w:hint="eastAsia" w:ascii="宋体" w:hAnsi="宋体" w:eastAsia="仿宋_GB2312" w:cs="宋体"/>
          <w:b w:val="0"/>
          <w:bCs/>
          <w:i w:val="0"/>
          <w:iCs/>
          <w:color w:val="auto"/>
          <w:sz w:val="32"/>
          <w:szCs w:val="32"/>
          <w:lang w:eastAsia="zh-CN"/>
        </w:rPr>
      </w:pPr>
      <w:r>
        <w:rPr>
          <w:rFonts w:hint="eastAsia" w:ascii="宋体" w:hAnsi="宋体" w:eastAsia="仿宋_GB2312" w:cs="宋体"/>
          <w:b w:val="0"/>
          <w:bCs/>
          <w:i w:val="0"/>
          <w:iCs/>
          <w:color w:val="auto"/>
          <w:sz w:val="32"/>
          <w:szCs w:val="32"/>
          <w:lang w:val="en-US" w:eastAsia="zh-CN"/>
        </w:rPr>
        <w:t>列表</w:t>
      </w:r>
      <w:r>
        <w:rPr>
          <w:rFonts w:ascii="宋体" w:hAnsi="宋体" w:eastAsia="仿宋_GB2312" w:cs="宋体"/>
          <w:b w:val="0"/>
          <w:bCs/>
          <w:i w:val="0"/>
          <w:iCs/>
          <w:color w:val="auto"/>
          <w:sz w:val="32"/>
          <w:szCs w:val="32"/>
        </w:rPr>
        <w:t>本基金</w:t>
      </w:r>
      <w:r>
        <w:rPr>
          <w:rFonts w:hint="eastAsia" w:ascii="宋体" w:hAnsi="宋体" w:eastAsia="仿宋_GB2312" w:cs="宋体"/>
          <w:b w:val="0"/>
          <w:bCs/>
          <w:i w:val="0"/>
          <w:iCs/>
          <w:color w:val="auto"/>
          <w:sz w:val="32"/>
          <w:szCs w:val="32"/>
          <w:lang w:val="en-US" w:eastAsia="zh-CN"/>
        </w:rPr>
        <w:t>储备</w:t>
      </w:r>
      <w:r>
        <w:rPr>
          <w:rFonts w:ascii="宋体" w:hAnsi="宋体" w:eastAsia="仿宋_GB2312" w:cs="宋体"/>
          <w:b w:val="0"/>
          <w:bCs/>
          <w:i w:val="0"/>
          <w:iCs/>
          <w:color w:val="auto"/>
          <w:sz w:val="32"/>
          <w:szCs w:val="32"/>
        </w:rPr>
        <w:t>项目清单</w:t>
      </w:r>
      <w:r>
        <w:rPr>
          <w:rFonts w:hint="eastAsia" w:ascii="宋体" w:hAnsi="宋体" w:eastAsia="仿宋_GB2312" w:cs="宋体"/>
          <w:b w:val="0"/>
          <w:bCs/>
          <w:i w:val="0"/>
          <w:iCs/>
          <w:color w:val="auto"/>
          <w:sz w:val="32"/>
          <w:szCs w:val="32"/>
          <w:lang w:eastAsia="zh-CN"/>
        </w:rPr>
        <w:t>，应包含项目简称、项目成立时间、项目注册地、项目领域、项目简介和亮点、项目团队情况、</w:t>
      </w:r>
      <w:r>
        <w:rPr>
          <w:rFonts w:hint="eastAsia" w:ascii="宋体" w:hAnsi="宋体" w:eastAsia="仿宋_GB2312" w:cs="宋体"/>
          <w:b w:val="0"/>
          <w:bCs/>
          <w:i w:val="0"/>
          <w:iCs/>
          <w:color w:val="auto"/>
          <w:sz w:val="32"/>
          <w:szCs w:val="32"/>
          <w:lang w:val="en-US" w:eastAsia="zh-CN"/>
        </w:rPr>
        <w:t>拟</w:t>
      </w:r>
      <w:r>
        <w:rPr>
          <w:rFonts w:hint="eastAsia" w:ascii="宋体" w:hAnsi="宋体" w:eastAsia="仿宋_GB2312" w:cs="宋体"/>
          <w:b w:val="0"/>
          <w:bCs/>
          <w:i w:val="0"/>
          <w:iCs/>
          <w:color w:val="auto"/>
          <w:sz w:val="32"/>
          <w:szCs w:val="32"/>
          <w:lang w:eastAsia="zh-CN"/>
        </w:rPr>
        <w:t>投资金额</w:t>
      </w:r>
      <w:r>
        <w:rPr>
          <w:rFonts w:hint="eastAsia" w:ascii="宋体" w:hAnsi="宋体" w:eastAsia="仿宋_GB2312" w:cs="宋体"/>
          <w:b w:val="0"/>
          <w:bCs/>
          <w:i w:val="0"/>
          <w:iCs/>
          <w:color w:val="auto"/>
          <w:sz w:val="32"/>
          <w:szCs w:val="32"/>
          <w:lang w:val="en-US" w:eastAsia="zh-CN"/>
        </w:rPr>
        <w:t>及</w:t>
      </w:r>
      <w:r>
        <w:rPr>
          <w:rFonts w:hint="eastAsia" w:ascii="宋体" w:hAnsi="宋体" w:eastAsia="仿宋_GB2312" w:cs="宋体"/>
          <w:b w:val="0"/>
          <w:bCs/>
          <w:i w:val="0"/>
          <w:iCs/>
          <w:color w:val="auto"/>
          <w:sz w:val="32"/>
          <w:szCs w:val="32"/>
          <w:lang w:eastAsia="zh-CN"/>
        </w:rPr>
        <w:t>投资轮次、</w:t>
      </w:r>
      <w:r>
        <w:rPr>
          <w:rFonts w:hint="eastAsia" w:ascii="宋体" w:hAnsi="宋体" w:eastAsia="仿宋_GB2312" w:cs="宋体"/>
          <w:b w:val="0"/>
          <w:bCs/>
          <w:i w:val="0"/>
          <w:iCs/>
          <w:color w:val="auto"/>
          <w:sz w:val="32"/>
          <w:szCs w:val="32"/>
          <w:lang w:val="en-US" w:eastAsia="zh-CN"/>
        </w:rPr>
        <w:t>目前推进进度</w:t>
      </w:r>
      <w:r>
        <w:rPr>
          <w:rFonts w:hint="eastAsia" w:ascii="宋体" w:hAnsi="宋体" w:eastAsia="仿宋_GB2312" w:cs="宋体"/>
          <w:b w:val="0"/>
          <w:bCs/>
          <w:i w:val="0"/>
          <w:iCs/>
          <w:color w:val="auto"/>
          <w:sz w:val="32"/>
          <w:szCs w:val="32"/>
          <w:lang w:eastAsia="zh-CN"/>
        </w:rPr>
        <w:t>等</w:t>
      </w:r>
      <w:r>
        <w:rPr>
          <w:rFonts w:hint="eastAsia" w:ascii="宋体" w:hAnsi="宋体" w:eastAsia="仿宋_GB2312" w:cs="宋体"/>
          <w:b w:val="0"/>
          <w:bCs/>
          <w:i w:val="0"/>
          <w:iCs/>
          <w:color w:val="auto"/>
          <w:sz w:val="32"/>
          <w:szCs w:val="32"/>
          <w:lang w:val="en-US" w:eastAsia="zh-CN"/>
        </w:rPr>
        <w:t>信息</w:t>
      </w:r>
      <w:r>
        <w:rPr>
          <w:rFonts w:hint="eastAsia" w:ascii="宋体" w:hAnsi="宋体" w:eastAsia="仿宋_GB2312" w:cs="宋体"/>
          <w:b w:val="0"/>
          <w:bCs/>
          <w:i w:val="0"/>
          <w:iCs/>
          <w:color w:val="auto"/>
          <w:sz w:val="32"/>
          <w:szCs w:val="32"/>
          <w:lang w:eastAsia="zh-CN"/>
        </w:rPr>
        <w:t>。</w:t>
      </w:r>
    </w:p>
    <w:p w14:paraId="320819F7">
      <w:pPr>
        <w:pStyle w:val="2"/>
        <w:numPr>
          <w:ilvl w:val="-1"/>
          <w:numId w:val="0"/>
        </w:numPr>
        <w:adjustRightInd w:val="0"/>
        <w:snapToGrid w:val="0"/>
        <w:spacing w:before="0" w:after="0" w:line="520" w:lineRule="exact"/>
        <w:ind w:left="420" w:leftChars="200" w:firstLine="0" w:firstLineChars="0"/>
        <w:rPr>
          <w:rFonts w:hint="eastAsia" w:ascii="黑体" w:hAnsi="黑体" w:eastAsia="黑体" w:cs="黑体"/>
          <w:color w:val="auto"/>
        </w:rPr>
      </w:pPr>
      <w:bookmarkStart w:id="83" w:name="_Toc16716"/>
      <w:bookmarkStart w:id="84" w:name="_Toc29745"/>
      <w:bookmarkStart w:id="85" w:name="_Toc12544"/>
    </w:p>
    <w:p w14:paraId="1A39170C">
      <w:pPr>
        <w:pStyle w:val="2"/>
        <w:numPr>
          <w:ilvl w:val="-1"/>
          <w:numId w:val="0"/>
        </w:numPr>
        <w:adjustRightInd w:val="0"/>
        <w:snapToGrid w:val="0"/>
        <w:spacing w:before="0" w:after="0" w:line="520" w:lineRule="exact"/>
        <w:ind w:left="0" w:leftChars="0" w:firstLine="640" w:firstLineChars="200"/>
        <w:rPr>
          <w:rFonts w:hint="eastAsia" w:ascii="黑体" w:hAnsi="黑体" w:eastAsia="黑体" w:cs="黑体"/>
          <w:color w:val="auto"/>
          <w:lang w:eastAsia="zh-CN"/>
        </w:rPr>
      </w:pPr>
      <w:r>
        <w:rPr>
          <w:rFonts w:hint="eastAsia" w:ascii="黑体" w:hAnsi="黑体" w:cs="黑体"/>
          <w:color w:val="auto"/>
          <w:lang w:val="en-US" w:eastAsia="zh-CN"/>
        </w:rPr>
        <w:t>八、</w:t>
      </w:r>
      <w:r>
        <w:rPr>
          <w:rFonts w:hint="eastAsia" w:ascii="黑体" w:hAnsi="黑体" w:eastAsia="黑体" w:cs="黑体"/>
          <w:color w:val="auto"/>
        </w:rPr>
        <w:t>其他重要事项</w:t>
      </w:r>
      <w:bookmarkEnd w:id="83"/>
      <w:bookmarkEnd w:id="84"/>
      <w:bookmarkEnd w:id="85"/>
    </w:p>
    <w:p w14:paraId="2F5D5CB9">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说明本基金的返投意向（含金额、比例、期限等，其中返投金额应不低于申请金额的1倍）、意向注册地、</w:t>
      </w:r>
      <w:r>
        <w:rPr>
          <w:rFonts w:hint="eastAsia" w:ascii="仿宋_GB2312" w:hAnsi="仿宋_GB2312" w:eastAsia="仿宋_GB2312" w:cs="仿宋_GB2312"/>
          <w:kern w:val="2"/>
          <w:sz w:val="32"/>
          <w:szCs w:val="24"/>
          <w:shd w:val="clear"/>
          <w:lang w:val="en-US" w:eastAsia="zh-CN"/>
        </w:rPr>
        <w:t>向南控母基金及其关联方分享股权项目的跟随投资机会（包括同一轮次的联合投资）、投资意向较为明确的南海区本地项目储备情况等（视情况予以加分）</w:t>
      </w:r>
      <w:r>
        <w:rPr>
          <w:rFonts w:hint="eastAsia" w:ascii="仿宋_GB2312" w:hAnsi="仿宋_GB2312" w:eastAsia="仿宋_GB2312" w:cs="仿宋_GB2312"/>
          <w:bCs/>
          <w:iCs/>
          <w:color w:val="auto"/>
          <w:sz w:val="32"/>
          <w:szCs w:val="32"/>
          <w:lang w:eastAsia="zh-CN"/>
        </w:rPr>
        <w:t>。</w:t>
      </w:r>
    </w:p>
    <w:p w14:paraId="4F275977">
      <w:pPr>
        <w:pStyle w:val="21"/>
        <w:numPr>
          <w:ilvl w:val="0"/>
          <w:numId w:val="10"/>
        </w:numPr>
        <w:spacing w:line="520" w:lineRule="exact"/>
        <w:ind w:firstLine="420" w:firstLineChars="0"/>
        <w:jc w:val="both"/>
        <w:rPr>
          <w:rFonts w:hint="eastAsia" w:ascii="仿宋_GB2312" w:hAnsi="仿宋_GB2312" w:eastAsia="仿宋_GB2312" w:cs="仿宋_GB2312"/>
          <w:b w:val="0"/>
          <w:bCs/>
          <w:i w:val="0"/>
          <w:iCs/>
          <w:color w:val="auto"/>
          <w:sz w:val="32"/>
          <w:szCs w:val="32"/>
        </w:rPr>
      </w:pPr>
      <w:r>
        <w:rPr>
          <w:rFonts w:hint="eastAsia" w:ascii="仿宋_GB2312" w:hAnsi="仿宋_GB2312" w:eastAsia="仿宋_GB2312" w:cs="仿宋_GB2312"/>
          <w:b w:val="0"/>
          <w:bCs/>
          <w:i w:val="0"/>
          <w:iCs/>
          <w:color w:val="auto"/>
          <w:sz w:val="32"/>
          <w:szCs w:val="32"/>
        </w:rPr>
        <w:t>请说明管理机构与其他地方政府引导基金或地方产业投资基金合作的案例，简述为当地导入产业资源的举措、进展及成效。</w:t>
      </w:r>
    </w:p>
    <w:p w14:paraId="659CADDD">
      <w:pPr>
        <w:pStyle w:val="21"/>
        <w:numPr>
          <w:ilvl w:val="0"/>
          <w:numId w:val="10"/>
        </w:numPr>
        <w:spacing w:line="520" w:lineRule="exact"/>
        <w:ind w:firstLine="420" w:firstLineChars="0"/>
        <w:jc w:val="both"/>
        <w:rPr>
          <w:rFonts w:hint="eastAsia" w:ascii="仿宋_GB2312" w:hAnsi="仿宋_GB2312" w:eastAsia="仿宋_GB2312" w:cs="仿宋_GB2312"/>
          <w:b w:val="0"/>
          <w:bCs/>
          <w:i w:val="0"/>
          <w:iCs/>
          <w:color w:val="auto"/>
          <w:sz w:val="32"/>
          <w:szCs w:val="32"/>
          <w:lang w:val="en-US" w:eastAsia="zh-CN"/>
        </w:rPr>
      </w:pPr>
      <w:r>
        <w:rPr>
          <w:rFonts w:hint="eastAsia" w:ascii="仿宋_GB2312" w:hAnsi="仿宋_GB2312" w:eastAsia="仿宋_GB2312" w:cs="仿宋_GB2312"/>
          <w:bCs/>
          <w:iCs/>
          <w:color w:val="auto"/>
          <w:sz w:val="32"/>
          <w:szCs w:val="32"/>
        </w:rPr>
        <w:t>说明</w:t>
      </w:r>
      <w:r>
        <w:rPr>
          <w:rFonts w:hint="eastAsia" w:ascii="仿宋_GB2312" w:hAnsi="仿宋_GB2312" w:eastAsia="仿宋_GB2312" w:cs="仿宋_GB2312"/>
          <w:bCs/>
          <w:iCs/>
          <w:color w:val="auto"/>
          <w:sz w:val="32"/>
          <w:szCs w:val="32"/>
          <w:lang w:val="en-US" w:eastAsia="zh-CN"/>
        </w:rPr>
        <w:t>本</w:t>
      </w:r>
      <w:r>
        <w:rPr>
          <w:rFonts w:hint="eastAsia" w:ascii="仿宋_GB2312" w:hAnsi="仿宋_GB2312" w:eastAsia="仿宋_GB2312" w:cs="仿宋_GB2312"/>
          <w:bCs/>
          <w:iCs/>
          <w:color w:val="auto"/>
          <w:sz w:val="32"/>
          <w:szCs w:val="32"/>
        </w:rPr>
        <w:t>基金潜在同业竞争的情况</w:t>
      </w:r>
      <w:r>
        <w:rPr>
          <w:rFonts w:hint="eastAsia" w:ascii="仿宋_GB2312" w:hAnsi="仿宋_GB2312" w:eastAsia="仿宋_GB2312" w:cs="仿宋_GB2312"/>
          <w:bCs/>
          <w:iCs/>
          <w:color w:val="auto"/>
          <w:sz w:val="32"/>
          <w:szCs w:val="32"/>
          <w:lang w:eastAsia="zh-CN"/>
        </w:rPr>
        <w:t>，</w:t>
      </w:r>
      <w:r>
        <w:rPr>
          <w:rFonts w:hint="eastAsia" w:ascii="仿宋_GB2312" w:hAnsi="仿宋_GB2312" w:eastAsia="仿宋_GB2312" w:cs="仿宋_GB2312"/>
          <w:b w:val="0"/>
          <w:bCs/>
          <w:i w:val="0"/>
          <w:iCs/>
          <w:color w:val="auto"/>
          <w:sz w:val="32"/>
          <w:szCs w:val="32"/>
        </w:rPr>
        <w:t>介绍尚处于投资期的在管基金情况（</w:t>
      </w:r>
      <w:r>
        <w:rPr>
          <w:rFonts w:hint="eastAsia" w:ascii="仿宋_GB2312" w:hAnsi="仿宋_GB2312" w:eastAsia="仿宋_GB2312" w:cs="仿宋_GB2312"/>
          <w:b w:val="0"/>
          <w:bCs/>
          <w:i w:val="0"/>
          <w:iCs/>
          <w:color w:val="auto"/>
          <w:sz w:val="32"/>
          <w:szCs w:val="32"/>
          <w:lang w:val="en-US" w:eastAsia="zh-CN"/>
        </w:rPr>
        <w:t>是否存在</w:t>
      </w:r>
      <w:r>
        <w:rPr>
          <w:rFonts w:hint="eastAsia" w:ascii="仿宋_GB2312" w:hAnsi="仿宋_GB2312" w:eastAsia="仿宋_GB2312" w:cs="仿宋_GB2312"/>
          <w:b w:val="0"/>
          <w:bCs/>
          <w:i w:val="0"/>
          <w:iCs/>
          <w:color w:val="auto"/>
          <w:sz w:val="32"/>
          <w:szCs w:val="32"/>
        </w:rPr>
        <w:t>已募资完成且投资进度未达到60%的其他同类型同行业在管基金）</w:t>
      </w:r>
      <w:r>
        <w:rPr>
          <w:rFonts w:hint="eastAsia" w:ascii="仿宋_GB2312" w:hAnsi="仿宋_GB2312" w:eastAsia="仿宋_GB2312" w:cs="仿宋_GB2312"/>
          <w:b w:val="0"/>
          <w:bCs/>
          <w:i w:val="0"/>
          <w:iCs/>
          <w:color w:val="auto"/>
          <w:sz w:val="32"/>
          <w:szCs w:val="32"/>
          <w:lang w:eastAsia="zh-CN"/>
        </w:rPr>
        <w:t>，</w:t>
      </w:r>
      <w:r>
        <w:rPr>
          <w:rFonts w:hint="eastAsia" w:ascii="仿宋_GB2312" w:hAnsi="仿宋_GB2312" w:eastAsia="仿宋_GB2312" w:cs="仿宋_GB2312"/>
          <w:b w:val="0"/>
          <w:bCs/>
          <w:i w:val="0"/>
          <w:iCs/>
          <w:color w:val="auto"/>
          <w:sz w:val="32"/>
          <w:szCs w:val="32"/>
          <w:lang w:val="en-US" w:eastAsia="zh-CN"/>
        </w:rPr>
        <w:t>以及</w:t>
      </w:r>
      <w:r>
        <w:rPr>
          <w:rFonts w:hint="eastAsia" w:ascii="仿宋_GB2312" w:hAnsi="仿宋_GB2312" w:eastAsia="仿宋_GB2312" w:cs="仿宋_GB2312"/>
          <w:b w:val="0"/>
          <w:bCs/>
          <w:i w:val="0"/>
          <w:iCs/>
          <w:color w:val="auto"/>
          <w:sz w:val="32"/>
          <w:szCs w:val="32"/>
        </w:rPr>
        <w:t>本基金相对于其他基金的独立性说明</w:t>
      </w:r>
      <w:r>
        <w:rPr>
          <w:rFonts w:hint="eastAsia" w:ascii="仿宋_GB2312" w:hAnsi="仿宋_GB2312" w:eastAsia="仿宋_GB2312" w:cs="仿宋_GB2312"/>
          <w:b w:val="0"/>
          <w:bCs/>
          <w:i w:val="0"/>
          <w:iCs/>
          <w:color w:val="auto"/>
          <w:sz w:val="32"/>
          <w:szCs w:val="32"/>
          <w:lang w:eastAsia="zh-CN"/>
        </w:rPr>
        <w:t>。</w:t>
      </w:r>
    </w:p>
    <w:p w14:paraId="22A51757">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说明</w:t>
      </w:r>
      <w:r>
        <w:rPr>
          <w:rFonts w:hint="eastAsia" w:ascii="仿宋_GB2312" w:hAnsi="仿宋_GB2312" w:eastAsia="仿宋_GB2312" w:cs="仿宋_GB2312"/>
          <w:b w:val="0"/>
          <w:bCs/>
          <w:i w:val="0"/>
          <w:iCs/>
          <w:color w:val="auto"/>
          <w:sz w:val="32"/>
          <w:szCs w:val="32"/>
          <w:lang w:eastAsia="zh-CN"/>
        </w:rPr>
        <w:t>近三年管理团队</w:t>
      </w:r>
      <w:r>
        <w:rPr>
          <w:rFonts w:hint="eastAsia" w:ascii="仿宋_GB2312" w:hAnsi="仿宋_GB2312" w:eastAsia="仿宋_GB2312" w:cs="仿宋_GB2312"/>
          <w:b w:val="0"/>
          <w:bCs/>
          <w:i w:val="0"/>
          <w:iCs/>
          <w:color w:val="auto"/>
          <w:sz w:val="32"/>
          <w:szCs w:val="32"/>
          <w:lang w:val="en-US" w:eastAsia="zh-CN"/>
        </w:rPr>
        <w:t>是否存在</w:t>
      </w:r>
      <w:r>
        <w:rPr>
          <w:rFonts w:hint="eastAsia" w:ascii="仿宋_GB2312" w:hAnsi="仿宋_GB2312" w:eastAsia="仿宋_GB2312" w:cs="仿宋_GB2312"/>
          <w:b w:val="0"/>
          <w:bCs/>
          <w:i w:val="0"/>
          <w:iCs/>
          <w:color w:val="auto"/>
          <w:sz w:val="32"/>
          <w:szCs w:val="32"/>
          <w:lang w:eastAsia="zh-CN"/>
        </w:rPr>
        <w:t>投资超过5000万元且投资本金面临重大损失的项目（如出现重大诉讼、重大违约）。</w:t>
      </w:r>
    </w:p>
    <w:p w14:paraId="6305B5E8">
      <w:pPr>
        <w:pStyle w:val="21"/>
        <w:numPr>
          <w:ilvl w:val="0"/>
          <w:numId w:val="10"/>
        </w:numPr>
        <w:spacing w:line="520" w:lineRule="exact"/>
        <w:ind w:firstLine="420" w:firstLineChars="0"/>
        <w:jc w:val="both"/>
        <w:rPr>
          <w:rFonts w:hint="eastAsia" w:ascii="仿宋_GB2312" w:hAnsi="仿宋_GB2312" w:eastAsia="仿宋_GB2312" w:cs="仿宋_GB2312"/>
          <w:bCs/>
          <w:iCs/>
          <w:color w:val="auto"/>
          <w:sz w:val="32"/>
          <w:szCs w:val="32"/>
          <w:lang w:eastAsia="zh-CN"/>
        </w:rPr>
      </w:pPr>
      <w:r>
        <w:rPr>
          <w:rFonts w:hint="eastAsia" w:ascii="仿宋_GB2312" w:hAnsi="仿宋_GB2312" w:eastAsia="仿宋_GB2312" w:cs="仿宋_GB2312"/>
          <w:b w:val="0"/>
          <w:bCs/>
          <w:i w:val="0"/>
          <w:iCs/>
          <w:color w:val="auto"/>
          <w:sz w:val="32"/>
          <w:szCs w:val="32"/>
          <w:lang w:val="en-US" w:eastAsia="zh-CN"/>
        </w:rPr>
        <w:t>申请机构认为需要说明的其他情况。</w:t>
      </w:r>
    </w:p>
    <w:p w14:paraId="1E320AF2">
      <w:pPr>
        <w:widowControl/>
        <w:shd w:val="clear" w:color="auto" w:fill="FFFFFF"/>
        <w:wordWrap w:val="0"/>
        <w:spacing w:beforeAutospacing="0" w:afterAutospacing="0"/>
        <w:ind w:firstLine="420"/>
        <w:rPr>
          <w:rStyle w:val="14"/>
          <w:rFonts w:hint="eastAsia" w:ascii="Helvetica" w:hAnsi="Helvetica" w:eastAsia="宋体" w:cs="Helvetica"/>
          <w:color w:val="auto"/>
          <w:highlight w:val="none"/>
          <w:shd w:val="clear" w:color="auto" w:fill="FFFFFF"/>
        </w:rPr>
      </w:pPr>
      <w:r>
        <w:rPr>
          <w:rStyle w:val="14"/>
          <w:rFonts w:hint="eastAsia" w:ascii="Helvetica" w:hAnsi="Helvetica" w:eastAsia="宋体" w:cs="Helvetica"/>
          <w:color w:val="auto"/>
          <w:highlight w:val="none"/>
          <w:shd w:val="clear" w:color="auto" w:fill="FFFFFF"/>
        </w:rPr>
        <w:br w:type="page"/>
      </w:r>
    </w:p>
    <w:p w14:paraId="077F4D54">
      <w:pPr>
        <w:pStyle w:val="10"/>
        <w:widowControl/>
        <w:shd w:val="clear" w:color="auto" w:fill="FFFFFF"/>
        <w:wordWrap w:val="0"/>
        <w:spacing w:beforeAutospacing="0" w:afterAutospacing="0"/>
        <w:ind w:firstLine="0" w:firstLineChars="0"/>
        <w:rPr>
          <w:rStyle w:val="14"/>
          <w:rFonts w:hint="eastAsia" w:ascii="黑体" w:hAnsi="黑体" w:eastAsia="黑体" w:cs="黑体"/>
          <w:b/>
          <w:bCs w:val="0"/>
          <w:color w:val="auto"/>
          <w:sz w:val="32"/>
          <w:szCs w:val="32"/>
          <w:highlight w:val="none"/>
          <w:shd w:val="clear" w:color="auto" w:fill="FFFFFF"/>
          <w:lang w:val="en-US" w:eastAsia="zh-CN"/>
        </w:rPr>
      </w:pPr>
      <w:r>
        <w:rPr>
          <w:rStyle w:val="14"/>
          <w:rFonts w:hint="eastAsia" w:ascii="黑体" w:hAnsi="黑体" w:eastAsia="黑体" w:cs="黑体"/>
          <w:b/>
          <w:bCs w:val="0"/>
          <w:color w:val="auto"/>
          <w:sz w:val="32"/>
          <w:szCs w:val="32"/>
          <w:highlight w:val="none"/>
          <w:shd w:val="clear" w:color="auto" w:fill="FFFFFF"/>
          <w:lang w:val="en-US" w:eastAsia="zh-CN"/>
        </w:rPr>
        <w:t>附件1:</w:t>
      </w:r>
    </w:p>
    <w:p w14:paraId="6AD0882D">
      <w:pPr>
        <w:pStyle w:val="10"/>
        <w:widowControl/>
        <w:shd w:val="clear" w:color="auto" w:fill="FFFFFF"/>
        <w:wordWrap w:val="0"/>
        <w:spacing w:beforeAutospacing="0" w:afterAutospacing="0"/>
        <w:ind w:firstLine="0" w:firstLineChars="0"/>
        <w:jc w:val="center"/>
        <w:rPr>
          <w:rStyle w:val="14"/>
          <w:rFonts w:hint="eastAsia" w:ascii="黑体" w:hAnsi="黑体" w:eastAsia="黑体" w:cs="黑体"/>
          <w:b w:val="0"/>
          <w:bCs/>
          <w:color w:val="auto"/>
          <w:sz w:val="32"/>
          <w:szCs w:val="32"/>
          <w:highlight w:val="none"/>
          <w:shd w:val="clear" w:color="auto" w:fill="FFFFFF"/>
          <w:lang w:val="en-US" w:eastAsia="zh-CN"/>
        </w:rPr>
      </w:pPr>
      <w:r>
        <w:rPr>
          <w:rStyle w:val="14"/>
          <w:rFonts w:hint="eastAsia" w:ascii="黑体" w:hAnsi="黑体" w:eastAsia="黑体" w:cs="黑体"/>
          <w:b w:val="0"/>
          <w:bCs/>
          <w:color w:val="auto"/>
          <w:sz w:val="32"/>
          <w:szCs w:val="32"/>
          <w:highlight w:val="none"/>
          <w:shd w:val="clear" w:color="auto" w:fill="FFFFFF"/>
          <w:lang w:val="en-US" w:eastAsia="zh-CN"/>
        </w:rPr>
        <w:t>证明材料清单</w:t>
      </w:r>
    </w:p>
    <w:p w14:paraId="2694F227">
      <w:pPr>
        <w:pStyle w:val="10"/>
        <w:widowControl/>
        <w:shd w:val="clear" w:color="auto" w:fill="FFFFFF"/>
        <w:wordWrap w:val="0"/>
        <w:spacing w:beforeAutospacing="0" w:afterAutospacing="0"/>
        <w:ind w:firstLine="723" w:firstLineChars="300"/>
        <w:rPr>
          <w:rStyle w:val="14"/>
          <w:rFonts w:hint="eastAsia" w:ascii="Helvetica" w:hAnsi="Helvetica" w:eastAsia="宋体" w:cs="Helvetica"/>
          <w:color w:val="auto"/>
          <w:highlight w:val="none"/>
          <w:shd w:val="clear" w:color="auto" w:fill="FFFFFF"/>
        </w:rPr>
      </w:pPr>
    </w:p>
    <w:p w14:paraId="70DEDB08">
      <w:pPr>
        <w:pStyle w:val="10"/>
        <w:widowControl/>
        <w:shd w:val="clear" w:color="auto" w:fill="FFFFFF"/>
        <w:wordWrap w:val="0"/>
        <w:spacing w:beforeAutospacing="0" w:afterAutospacing="0" w:line="440" w:lineRule="exact"/>
        <w:rPr>
          <w:rStyle w:val="14"/>
          <w:rFonts w:hint="eastAsia" w:ascii="黑体" w:hAnsi="黑体" w:eastAsia="黑体" w:cs="黑体"/>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lang w:val="en-US" w:eastAsia="zh-CN"/>
        </w:rPr>
        <w:t>一、</w:t>
      </w:r>
      <w:r>
        <w:rPr>
          <w:rStyle w:val="14"/>
          <w:rFonts w:hint="eastAsia" w:ascii="黑体" w:hAnsi="黑体" w:eastAsia="黑体" w:cs="黑体"/>
          <w:bCs/>
          <w:color w:val="auto"/>
          <w:sz w:val="28"/>
          <w:szCs w:val="28"/>
          <w:highlight w:val="none"/>
          <w:shd w:val="clear" w:color="auto" w:fill="FFFFFF"/>
        </w:rPr>
        <w:t>申请机构</w:t>
      </w:r>
      <w:r>
        <w:rPr>
          <w:rStyle w:val="14"/>
          <w:rFonts w:hint="eastAsia" w:ascii="黑体" w:hAnsi="黑体" w:eastAsia="黑体" w:cs="黑体"/>
          <w:bCs/>
          <w:color w:val="auto"/>
          <w:sz w:val="28"/>
          <w:szCs w:val="28"/>
          <w:highlight w:val="none"/>
          <w:shd w:val="clear" w:color="auto" w:fill="FFFFFF"/>
          <w:lang w:val="en-US" w:eastAsia="zh-CN"/>
        </w:rPr>
        <w:t>及管理机构</w:t>
      </w:r>
      <w:r>
        <w:rPr>
          <w:rStyle w:val="14"/>
          <w:rFonts w:hint="eastAsia" w:ascii="黑体" w:hAnsi="黑体" w:eastAsia="黑体" w:cs="黑体"/>
          <w:bCs/>
          <w:color w:val="auto"/>
          <w:sz w:val="28"/>
          <w:szCs w:val="28"/>
          <w:highlight w:val="none"/>
          <w:shd w:val="clear" w:color="auto" w:fill="FFFFFF"/>
        </w:rPr>
        <w:t>须提供以下</w:t>
      </w:r>
      <w:r>
        <w:rPr>
          <w:rStyle w:val="14"/>
          <w:rFonts w:hint="eastAsia" w:ascii="黑体" w:hAnsi="黑体" w:eastAsia="黑体" w:cs="黑体"/>
          <w:bCs/>
          <w:color w:val="auto"/>
          <w:sz w:val="28"/>
          <w:szCs w:val="28"/>
          <w:highlight w:val="none"/>
          <w:shd w:val="clear" w:color="auto" w:fill="FFFFFF"/>
          <w:lang w:val="en-US" w:eastAsia="zh-CN"/>
        </w:rPr>
        <w:t>基本</w:t>
      </w:r>
      <w:r>
        <w:rPr>
          <w:rStyle w:val="14"/>
          <w:rFonts w:hint="eastAsia" w:ascii="黑体" w:hAnsi="黑体" w:eastAsia="黑体" w:cs="黑体"/>
          <w:bCs/>
          <w:color w:val="auto"/>
          <w:sz w:val="28"/>
          <w:szCs w:val="28"/>
          <w:highlight w:val="none"/>
          <w:shd w:val="clear" w:color="auto" w:fill="FFFFFF"/>
        </w:rPr>
        <w:t>材料：</w:t>
      </w:r>
    </w:p>
    <w:p w14:paraId="0869ABD0">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1.营业执照复印件/扫描件；</w:t>
      </w:r>
    </w:p>
    <w:p w14:paraId="55A35478">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2.企业信用报告；</w:t>
      </w:r>
    </w:p>
    <w:p w14:paraId="61CF8196">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3.固定办公场所证明复印件/扫描件；</w:t>
      </w:r>
    </w:p>
    <w:p w14:paraId="51545CD5">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4.近三年经营情况报告；</w:t>
      </w:r>
    </w:p>
    <w:p w14:paraId="7983EA50">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5.近三年审计报告；</w:t>
      </w:r>
    </w:p>
    <w:p w14:paraId="65B9B92D">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6.基金业协会管理人登记信息截图。</w:t>
      </w:r>
    </w:p>
    <w:p w14:paraId="476B228A">
      <w:pPr>
        <w:pStyle w:val="10"/>
        <w:widowControl/>
        <w:shd w:val="clear" w:color="auto" w:fill="FFFFFF"/>
        <w:wordWrap w:val="0"/>
        <w:spacing w:beforeAutospacing="0" w:afterAutospacing="0" w:line="440" w:lineRule="exact"/>
        <w:rPr>
          <w:rFonts w:ascii="Helvetica" w:hAnsi="Helvetica" w:eastAsia="Helvetica" w:cs="Helvetica"/>
          <w:color w:val="auto"/>
          <w:sz w:val="28"/>
          <w:szCs w:val="28"/>
          <w:highlight w:val="none"/>
          <w:shd w:val="clear" w:color="auto" w:fill="FFFFFF"/>
        </w:rPr>
      </w:pPr>
    </w:p>
    <w:p w14:paraId="4262CDC3">
      <w:pPr>
        <w:pStyle w:val="10"/>
        <w:widowControl/>
        <w:shd w:val="clear" w:color="auto" w:fill="FFFFFF"/>
        <w:wordWrap w:val="0"/>
        <w:spacing w:beforeAutospacing="0" w:afterAutospacing="0" w:line="440" w:lineRule="exact"/>
        <w:ind w:firstLine="0" w:firstLineChars="0"/>
        <w:rPr>
          <w:rStyle w:val="14"/>
          <w:rFonts w:hint="eastAsia" w:ascii="黑体" w:hAnsi="黑体" w:eastAsia="黑体" w:cs="黑体"/>
          <w:bCs/>
          <w:color w:val="auto"/>
          <w:sz w:val="28"/>
          <w:szCs w:val="28"/>
          <w:highlight w:val="none"/>
          <w:shd w:val="clear" w:color="auto" w:fill="FFFFFF"/>
          <w:lang w:val="en-US" w:eastAsia="zh-CN"/>
        </w:rPr>
      </w:pPr>
      <w:r>
        <w:rPr>
          <w:rStyle w:val="14"/>
          <w:rFonts w:hint="eastAsia" w:ascii="黑体" w:hAnsi="黑体" w:eastAsia="黑体" w:cs="黑体"/>
          <w:b w:val="0"/>
          <w:bCs/>
          <w:color w:val="auto"/>
          <w:sz w:val="28"/>
          <w:szCs w:val="28"/>
          <w:highlight w:val="none"/>
          <w:shd w:val="clear" w:color="auto" w:fill="FFFFFF"/>
          <w:lang w:val="en-US" w:eastAsia="zh-CN"/>
        </w:rPr>
        <w:t>二、子</w:t>
      </w:r>
      <w:r>
        <w:rPr>
          <w:rStyle w:val="14"/>
          <w:rFonts w:hint="eastAsia" w:ascii="黑体" w:hAnsi="黑体" w:eastAsia="黑体" w:cs="黑体"/>
          <w:b w:val="0"/>
          <w:bCs/>
          <w:color w:val="auto"/>
          <w:sz w:val="28"/>
          <w:szCs w:val="28"/>
          <w:highlight w:val="none"/>
          <w:shd w:val="clear" w:color="auto" w:fill="FFFFFF"/>
        </w:rPr>
        <w:t>基金</w:t>
      </w:r>
      <w:r>
        <w:rPr>
          <w:rStyle w:val="14"/>
          <w:rFonts w:hint="eastAsia" w:ascii="黑体" w:hAnsi="黑体" w:eastAsia="黑体" w:cs="黑体"/>
          <w:b w:val="0"/>
          <w:bCs/>
          <w:color w:val="auto"/>
          <w:sz w:val="28"/>
          <w:szCs w:val="28"/>
          <w:highlight w:val="none"/>
          <w:shd w:val="clear" w:color="auto" w:fill="FFFFFF"/>
          <w:lang w:val="en-US" w:eastAsia="zh-CN"/>
        </w:rPr>
        <w:t>募资进度：</w:t>
      </w:r>
    </w:p>
    <w:p w14:paraId="233B5549">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已确定意向出资人的出资承诺函或其他证明文件。</w:t>
      </w:r>
    </w:p>
    <w:p w14:paraId="103485C3">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p>
    <w:p w14:paraId="0F3F71A6">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rPr>
        <w:t>三、申请机构及管理机构的管理规模</w:t>
      </w:r>
    </w:p>
    <w:p w14:paraId="02492135">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（一）</w:t>
      </w:r>
      <w:r>
        <w:rPr>
          <w:rFonts w:hint="eastAsia" w:ascii="仿宋_GB2312" w:hAnsi="仿宋_GB2312" w:eastAsia="仿宋_GB2312" w:cs="仿宋_GB2312"/>
          <w:color w:val="auto"/>
          <w:sz w:val="28"/>
          <w:szCs w:val="28"/>
          <w:highlight w:val="none"/>
          <w:shd w:val="clear" w:color="auto" w:fill="FFFFFF"/>
        </w:rPr>
        <w:t>子基金申请机构在基金业协会备案过的基金和在管基金的相关情况列表。</w:t>
      </w:r>
    </w:p>
    <w:p w14:paraId="30BD0324">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（二）若子基金管理机构与申请机构非同一主体，则还需提供：</w:t>
      </w:r>
    </w:p>
    <w:p w14:paraId="03536439">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1.</w:t>
      </w:r>
      <w:r>
        <w:rPr>
          <w:rFonts w:hint="eastAsia" w:ascii="仿宋_GB2312" w:hAnsi="仿宋_GB2312" w:eastAsia="仿宋_GB2312" w:cs="仿宋_GB2312"/>
          <w:color w:val="auto"/>
          <w:sz w:val="28"/>
          <w:szCs w:val="28"/>
          <w:highlight w:val="none"/>
          <w:shd w:val="clear" w:color="auto" w:fill="FFFFFF"/>
        </w:rPr>
        <w:t>子基金管理机构在基金业协会备案过的基金和在管基金的相关情况列表（标注退出情况），列表统计的累计管理基金实缴金额不得低于5亿元；</w:t>
      </w:r>
    </w:p>
    <w:p w14:paraId="2F1E1649">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2.子基金申请机构与子基金管理机构的关联关系书面说明及证明。</w:t>
      </w:r>
    </w:p>
    <w:p w14:paraId="358D9582">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（三）基金规模认定需附相关材料：</w:t>
      </w:r>
    </w:p>
    <w:p w14:paraId="33CC3E94">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1.可证实基金认缴规模依据真实性的合伙协议复印件/扫描件、基金业协会查询结果等相关材料；</w:t>
      </w:r>
    </w:p>
    <w:p w14:paraId="2FAC415E">
      <w:pPr>
        <w:pStyle w:val="10"/>
        <w:widowControl/>
        <w:shd w:val="clear" w:color="auto" w:fill="FFFFFF"/>
        <w:wordWrap w:val="0"/>
        <w:spacing w:beforeAutospacing="0" w:afterAutospacing="0" w:line="440" w:lineRule="exact"/>
        <w:ind w:firstLine="420"/>
        <w:rPr>
          <w:rStyle w:val="14"/>
          <w:rFonts w:hint="eastAsia" w:ascii="仿宋_GB2312" w:hAnsi="仿宋_GB2312" w:eastAsia="仿宋_GB2312" w:cs="仿宋_GB2312"/>
          <w:b w:val="0"/>
          <w:bCs/>
          <w:color w:val="auto"/>
          <w:sz w:val="28"/>
          <w:szCs w:val="28"/>
          <w:highlight w:val="none"/>
          <w:shd w:val="clear" w:color="auto" w:fill="FFFFFF"/>
        </w:rPr>
      </w:pPr>
      <w:r>
        <w:rPr>
          <w:rStyle w:val="14"/>
          <w:rFonts w:hint="eastAsia" w:ascii="仿宋_GB2312" w:hAnsi="仿宋_GB2312" w:eastAsia="仿宋_GB2312" w:cs="仿宋_GB2312"/>
          <w:b w:val="0"/>
          <w:bCs/>
          <w:color w:val="auto"/>
          <w:sz w:val="28"/>
          <w:szCs w:val="28"/>
          <w:highlight w:val="none"/>
          <w:shd w:val="clear" w:color="auto" w:fill="FFFFFF"/>
        </w:rPr>
        <w:t>2.可证实基金实缴规模依据真实性的基金审计报告、基金业协会查询结果等相关材料。</w:t>
      </w:r>
    </w:p>
    <w:p w14:paraId="55D1CE41">
      <w:pPr>
        <w:pStyle w:val="10"/>
        <w:widowControl/>
        <w:shd w:val="clear" w:color="auto" w:fill="FFFFFF"/>
        <w:wordWrap w:val="0"/>
        <w:spacing w:beforeAutospacing="0" w:afterAutospacing="0" w:line="440" w:lineRule="exact"/>
        <w:ind w:firstLine="420"/>
        <w:rPr>
          <w:rStyle w:val="14"/>
          <w:rFonts w:hint="eastAsia" w:ascii="Helvetica" w:hAnsi="Helvetica" w:eastAsia="宋体" w:cs="Helvetica"/>
          <w:b w:val="0"/>
          <w:bCs/>
          <w:color w:val="auto"/>
          <w:sz w:val="28"/>
          <w:szCs w:val="28"/>
          <w:highlight w:val="none"/>
          <w:shd w:val="clear" w:color="auto" w:fill="FFFFFF"/>
        </w:rPr>
      </w:pPr>
    </w:p>
    <w:p w14:paraId="06A059F6">
      <w:pPr>
        <w:pStyle w:val="10"/>
        <w:widowControl/>
        <w:shd w:val="clear" w:color="auto" w:fill="FFFFFF"/>
        <w:wordWrap w:val="0"/>
        <w:spacing w:beforeAutospacing="0" w:afterAutospacing="0" w:line="440" w:lineRule="exact"/>
        <w:ind w:firstLine="0"/>
        <w:rPr>
          <w:rStyle w:val="14"/>
          <w:rFonts w:hint="eastAsia" w:ascii="黑体" w:hAnsi="黑体" w:eastAsia="黑体" w:cs="黑体"/>
          <w:b w:val="0"/>
          <w:bCs/>
          <w:color w:val="auto"/>
          <w:sz w:val="28"/>
          <w:szCs w:val="28"/>
          <w:highlight w:val="none"/>
          <w:shd w:val="clear" w:color="auto" w:fill="FFFFFF"/>
        </w:rPr>
      </w:pPr>
      <w:r>
        <w:rPr>
          <w:rStyle w:val="14"/>
          <w:rFonts w:hint="eastAsia" w:ascii="黑体" w:hAnsi="黑体" w:eastAsia="黑体" w:cs="黑体"/>
          <w:b w:val="0"/>
          <w:bCs/>
          <w:color w:val="auto"/>
          <w:sz w:val="28"/>
          <w:szCs w:val="28"/>
          <w:highlight w:val="none"/>
          <w:shd w:val="clear" w:color="auto" w:fill="FFFFFF"/>
        </w:rPr>
        <w:t>四、</w:t>
      </w:r>
      <w:r>
        <w:rPr>
          <w:rStyle w:val="14"/>
          <w:rFonts w:hint="eastAsia" w:ascii="黑体" w:hAnsi="黑体" w:eastAsia="黑体" w:cs="黑体"/>
          <w:b w:val="0"/>
          <w:bCs/>
          <w:color w:val="auto"/>
          <w:sz w:val="28"/>
          <w:szCs w:val="28"/>
          <w:highlight w:val="none"/>
          <w:shd w:val="clear" w:color="auto" w:fill="FFFFFF"/>
          <w:lang w:val="en-US" w:eastAsia="zh-CN"/>
        </w:rPr>
        <w:t>管理机构及</w:t>
      </w:r>
      <w:r>
        <w:rPr>
          <w:rStyle w:val="14"/>
          <w:rFonts w:hint="eastAsia" w:ascii="黑体" w:hAnsi="黑体" w:eastAsia="黑体" w:cs="黑体"/>
          <w:b w:val="0"/>
          <w:bCs/>
          <w:color w:val="auto"/>
          <w:sz w:val="28"/>
          <w:szCs w:val="28"/>
          <w:highlight w:val="none"/>
          <w:shd w:val="clear" w:color="auto" w:fill="FFFFFF"/>
        </w:rPr>
        <w:t>管理团队过往业绩</w:t>
      </w:r>
    </w:p>
    <w:p w14:paraId="156B9195">
      <w:pPr>
        <w:pStyle w:val="10"/>
        <w:widowControl/>
        <w:numPr>
          <w:ilvl w:val="0"/>
          <w:numId w:val="0"/>
        </w:numPr>
        <w:shd w:val="clear" w:color="auto" w:fill="FFFFFF"/>
        <w:wordWrap w:val="0"/>
        <w:spacing w:beforeAutospacing="0" w:afterAutospacing="0" w:line="440" w:lineRule="exact"/>
        <w:ind w:firstLine="420" w:firstLineChars="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（一）管理机构管理的成功基金案例列表，列表应包含基金规模（入选案例</w:t>
      </w:r>
      <w:r>
        <w:rPr>
          <w:rFonts w:hint="eastAsia" w:ascii="仿宋_GB2312" w:hAnsi="仿宋_GB2312" w:eastAsia="仿宋_GB2312" w:cs="仿宋_GB2312"/>
          <w:color w:val="auto"/>
          <w:sz w:val="28"/>
          <w:szCs w:val="28"/>
          <w:highlight w:val="none"/>
          <w:shd w:val="clear" w:color="auto" w:fill="FFFFFF"/>
          <w:lang w:val="en-US" w:eastAsia="zh-CN"/>
        </w:rPr>
        <w:t>基金应在2017年1月1日之后设立，且</w:t>
      </w:r>
      <w:r>
        <w:rPr>
          <w:rFonts w:hint="eastAsia" w:ascii="仿宋_GB2312" w:hAnsi="仿宋_GB2312" w:eastAsia="仿宋_GB2312" w:cs="仿宋_GB2312"/>
          <w:color w:val="auto"/>
          <w:sz w:val="28"/>
          <w:szCs w:val="28"/>
          <w:highlight w:val="none"/>
          <w:shd w:val="clear" w:color="auto" w:fill="FFFFFF"/>
        </w:rPr>
        <w:t>实缴规模需在5000万元以上），管理人员，</w:t>
      </w:r>
      <w:r>
        <w:rPr>
          <w:rFonts w:hint="eastAsia" w:ascii="仿宋_GB2312" w:hAnsi="仿宋_GB2312" w:eastAsia="仿宋_GB2312" w:cs="仿宋_GB2312"/>
          <w:color w:val="auto"/>
          <w:sz w:val="28"/>
          <w:szCs w:val="28"/>
          <w:highlight w:val="none"/>
          <w:shd w:val="clear" w:color="auto" w:fill="FFFFFF"/>
          <w:lang w:val="en-US" w:eastAsia="zh-CN"/>
        </w:rPr>
        <w:t>成立前6</w:t>
      </w:r>
      <w:r>
        <w:rPr>
          <w:rFonts w:hint="eastAsia" w:ascii="仿宋_GB2312" w:hAnsi="仿宋_GB2312" w:eastAsia="仿宋_GB2312" w:cs="仿宋_GB2312"/>
          <w:color w:val="auto"/>
          <w:sz w:val="28"/>
          <w:szCs w:val="28"/>
          <w:highlight w:val="none"/>
          <w:shd w:val="clear" w:color="auto" w:fill="FFFFFF"/>
        </w:rPr>
        <w:t>年</w:t>
      </w:r>
      <w:r>
        <w:rPr>
          <w:rFonts w:hint="eastAsia" w:ascii="仿宋_GB2312" w:hAnsi="仿宋_GB2312" w:eastAsia="仿宋_GB2312" w:cs="仿宋_GB2312"/>
          <w:color w:val="auto"/>
          <w:sz w:val="28"/>
          <w:szCs w:val="28"/>
          <w:highlight w:val="none"/>
          <w:shd w:val="clear" w:color="auto" w:fill="FFFFFF"/>
          <w:lang w:val="en-US" w:eastAsia="zh-CN"/>
        </w:rPr>
        <w:t>的</w:t>
      </w:r>
      <w:r>
        <w:rPr>
          <w:rFonts w:hint="eastAsia" w:ascii="仿宋_GB2312" w:hAnsi="仿宋_GB2312" w:eastAsia="仿宋_GB2312" w:cs="仿宋_GB2312"/>
          <w:color w:val="auto"/>
          <w:sz w:val="28"/>
          <w:szCs w:val="28"/>
          <w:highlight w:val="none"/>
          <w:shd w:val="clear" w:color="auto" w:fill="FFFFFF"/>
        </w:rPr>
        <w:t>DPI值</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不低于0.3</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rPr>
        <w:t>及</w:t>
      </w:r>
      <w:r>
        <w:rPr>
          <w:rFonts w:hint="eastAsia" w:ascii="仿宋_GB2312" w:hAnsi="仿宋_GB2312" w:eastAsia="仿宋_GB2312" w:cs="仿宋_GB2312"/>
          <w:color w:val="auto"/>
          <w:sz w:val="28"/>
          <w:szCs w:val="28"/>
          <w:highlight w:val="none"/>
          <w:shd w:val="clear" w:color="auto" w:fill="FFFFFF"/>
          <w:lang w:val="en-US" w:eastAsia="zh-CN"/>
        </w:rPr>
        <w:t>6年期末的TVPI值（大于150%）</w:t>
      </w:r>
      <w:r>
        <w:rPr>
          <w:rFonts w:hint="eastAsia" w:ascii="仿宋_GB2312" w:hAnsi="仿宋_GB2312" w:eastAsia="仿宋_GB2312" w:cs="仿宋_GB2312"/>
          <w:color w:val="auto"/>
          <w:sz w:val="28"/>
          <w:szCs w:val="28"/>
          <w:highlight w:val="none"/>
          <w:shd w:val="clear" w:color="auto" w:fill="FFFFFF"/>
        </w:rPr>
        <w:t>。成立不足</w:t>
      </w:r>
      <w:r>
        <w:rPr>
          <w:rFonts w:hint="eastAsia" w:ascii="仿宋_GB2312" w:hAnsi="仿宋_GB2312" w:eastAsia="仿宋_GB2312" w:cs="仿宋_GB2312"/>
          <w:color w:val="auto"/>
          <w:sz w:val="28"/>
          <w:szCs w:val="28"/>
          <w:highlight w:val="none"/>
          <w:shd w:val="clear" w:color="auto" w:fill="FFFFFF"/>
          <w:lang w:val="en-US" w:eastAsia="zh-CN"/>
        </w:rPr>
        <w:t>6</w:t>
      </w:r>
      <w:r>
        <w:rPr>
          <w:rFonts w:hint="eastAsia" w:ascii="仿宋_GB2312" w:hAnsi="仿宋_GB2312" w:eastAsia="仿宋_GB2312" w:cs="仿宋_GB2312"/>
          <w:color w:val="auto"/>
          <w:sz w:val="28"/>
          <w:szCs w:val="28"/>
          <w:highlight w:val="none"/>
          <w:shd w:val="clear" w:color="auto" w:fill="FFFFFF"/>
        </w:rPr>
        <w:t>年的基金，认定时点为申请机构向母基金提出申请之日的时点。业绩认定需附相关材料：</w:t>
      </w:r>
    </w:p>
    <w:p w14:paraId="2CB6AAF4">
      <w:pPr>
        <w:pStyle w:val="10"/>
        <w:widowControl/>
        <w:numPr>
          <w:ilvl w:val="255"/>
          <w:numId w:val="0"/>
        </w:numPr>
        <w:shd w:val="clear" w:color="auto" w:fill="FFFFFF"/>
        <w:wordWrap w:val="0"/>
        <w:spacing w:beforeAutospacing="0" w:afterAutospacing="0" w:line="44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1.案例基金合伙协议或在基金业协会备案材料；</w:t>
      </w:r>
    </w:p>
    <w:p w14:paraId="6602A434">
      <w:pPr>
        <w:pStyle w:val="10"/>
        <w:widowControl/>
        <w:numPr>
          <w:ilvl w:val="255"/>
          <w:numId w:val="0"/>
        </w:numPr>
        <w:shd w:val="clear" w:color="auto" w:fill="FFFFFF"/>
        <w:wordWrap w:val="0"/>
        <w:spacing w:beforeAutospacing="0" w:afterAutospacing="0" w:line="44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2.可证实DPI计算数据真实性的基金审计报告或可证实持有价值真实性的估值依据等。</w:t>
      </w:r>
    </w:p>
    <w:p w14:paraId="1088727E">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（二）管理团队主要成员以骨干身份投资的成功项目案例</w:t>
      </w:r>
      <w:r>
        <w:rPr>
          <w:rFonts w:hint="eastAsia" w:ascii="仿宋_GB2312" w:hAnsi="仿宋_GB2312" w:eastAsia="仿宋_GB2312" w:cs="仿宋_GB2312"/>
          <w:color w:val="auto"/>
          <w:sz w:val="28"/>
          <w:szCs w:val="28"/>
          <w:highlight w:val="none"/>
          <w:shd w:val="clear" w:color="auto" w:fill="FFFFFF"/>
          <w:lang w:val="en-US" w:eastAsia="zh-CN"/>
        </w:rPr>
        <w:t>列表</w:t>
      </w:r>
      <w:r>
        <w:rPr>
          <w:rFonts w:hint="eastAsia" w:ascii="仿宋_GB2312" w:hAnsi="仿宋_GB2312" w:eastAsia="仿宋_GB2312" w:cs="仿宋_GB2312"/>
          <w:color w:val="auto"/>
          <w:sz w:val="28"/>
          <w:szCs w:val="28"/>
          <w:highlight w:val="none"/>
          <w:shd w:val="clear" w:color="auto" w:fill="FFFFFF"/>
        </w:rPr>
        <w:t>。成功项目案例的投资额应在1000万元以上</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且</w:t>
      </w:r>
      <w:r>
        <w:rPr>
          <w:rFonts w:hint="eastAsia" w:ascii="仿宋_GB2312" w:hAnsi="仿宋_GB2312" w:eastAsia="仿宋_GB2312" w:cs="仿宋_GB2312"/>
          <w:color w:val="auto"/>
          <w:sz w:val="28"/>
          <w:szCs w:val="28"/>
          <w:highlight w:val="none"/>
          <w:shd w:val="clear" w:color="auto" w:fill="FFFFFF"/>
        </w:rPr>
        <w:t>应符合以下任一条件：</w:t>
      </w:r>
    </w:p>
    <w:p w14:paraId="69ABDE5E">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1.2021年1月1日之后退出，退出时的投资回报率超过100%；</w:t>
      </w:r>
    </w:p>
    <w:p w14:paraId="30D6199F">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2.2021年1月1日之后完成A股（主板/创业板/科创板）IPO或重组上市。</w:t>
      </w:r>
    </w:p>
    <w:p w14:paraId="4AAB23DA">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管理团队多个成员参与的同一项目不累计计算。项目案例列表包括但不限于项目名称、所属在管基金、投资金额、投资/退出日期、投资阶段、退出金额/退出方式、目前持有价值、投资收益等内容。需附可证实收益率真实性的相关材料。</w:t>
      </w:r>
    </w:p>
    <w:p w14:paraId="1503E7A6">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p>
    <w:p w14:paraId="23056CCA">
      <w:pPr>
        <w:pStyle w:val="10"/>
        <w:widowControl/>
        <w:shd w:val="clear" w:color="auto" w:fill="FFFFFF"/>
        <w:wordWrap w:val="0"/>
        <w:spacing w:beforeAutospacing="0" w:afterAutospacing="0" w:line="440" w:lineRule="exact"/>
        <w:ind w:firstLine="0"/>
        <w:rPr>
          <w:rFonts w:hint="eastAsia" w:ascii="黑体" w:hAnsi="黑体" w:eastAsia="黑体" w:cs="黑体"/>
          <w:bCs/>
          <w:color w:val="auto"/>
          <w:sz w:val="28"/>
          <w:szCs w:val="28"/>
          <w:highlight w:val="none"/>
        </w:rPr>
      </w:pPr>
      <w:r>
        <w:rPr>
          <w:rStyle w:val="14"/>
          <w:rFonts w:hint="eastAsia" w:ascii="黑体" w:hAnsi="黑体" w:eastAsia="黑体" w:cs="黑体"/>
          <w:b w:val="0"/>
          <w:bCs/>
          <w:color w:val="auto"/>
          <w:sz w:val="28"/>
          <w:szCs w:val="28"/>
          <w:highlight w:val="none"/>
          <w:shd w:val="clear" w:color="auto" w:fill="FFFFFF"/>
        </w:rPr>
        <w:t>五、基金管理机构其他资质</w:t>
      </w:r>
    </w:p>
    <w:p w14:paraId="3E314394">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rPr>
        <w:t>（一）</w:t>
      </w:r>
      <w:r>
        <w:rPr>
          <w:rFonts w:hint="eastAsia" w:ascii="仿宋_GB2312" w:hAnsi="仿宋_GB2312" w:eastAsia="仿宋_GB2312" w:cs="仿宋_GB2312"/>
          <w:color w:val="auto"/>
          <w:sz w:val="28"/>
          <w:szCs w:val="28"/>
          <w:highlight w:val="none"/>
        </w:rPr>
        <w:t>基金管理机构或基金申请机构</w:t>
      </w:r>
      <w:r>
        <w:rPr>
          <w:rFonts w:hint="eastAsia" w:ascii="仿宋_GB2312" w:hAnsi="仿宋_GB2312" w:eastAsia="仿宋_GB2312" w:cs="仿宋_GB2312"/>
          <w:color w:val="auto"/>
          <w:sz w:val="28"/>
          <w:szCs w:val="28"/>
          <w:highlight w:val="none"/>
          <w:shd w:val="clear" w:color="auto" w:fill="FFFFFF"/>
          <w:lang w:val="en-US" w:eastAsia="zh-CN"/>
        </w:rPr>
        <w:t>属于以下情况的请提供相关证明材料：</w:t>
      </w:r>
    </w:p>
    <w:p w14:paraId="763F29EF">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（1）</w:t>
      </w:r>
      <w:r>
        <w:rPr>
          <w:rFonts w:hint="eastAsia" w:ascii="仿宋_GB2312" w:hAnsi="仿宋_GB2312" w:eastAsia="仿宋_GB2312" w:cs="仿宋_GB2312"/>
          <w:color w:val="auto"/>
          <w:sz w:val="28"/>
          <w:szCs w:val="28"/>
          <w:highlight w:val="none"/>
          <w:shd w:val="clear" w:color="auto" w:fill="FFFFFF"/>
        </w:rPr>
        <w:t>券商下属的私募子公司</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请提供券商上一年度净资产排名情况；</w:t>
      </w:r>
    </w:p>
    <w:p w14:paraId="2DD97859">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val="en-US" w:eastAsia="zh-CN"/>
        </w:rPr>
        <w:t>（2）</w:t>
      </w:r>
      <w:r>
        <w:rPr>
          <w:rFonts w:hint="eastAsia" w:ascii="仿宋_GB2312" w:hAnsi="仿宋_GB2312" w:eastAsia="仿宋_GB2312" w:cs="仿宋_GB2312"/>
          <w:color w:val="auto"/>
          <w:sz w:val="28"/>
          <w:szCs w:val="28"/>
          <w:highlight w:val="none"/>
          <w:shd w:val="clear" w:color="auto" w:fill="FFFFFF"/>
        </w:rPr>
        <w:t>世界500强或上市100强企业下设的私募基金管理人</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请提供该企业的相关排名情况；</w:t>
      </w:r>
    </w:p>
    <w:p w14:paraId="1176E381">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rPr>
        <w:t>央、省、市级国企下设的私募基金管理人</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请提供相应国企的上一年度净资产情况</w:t>
      </w:r>
      <w:r>
        <w:rPr>
          <w:rFonts w:hint="eastAsia" w:ascii="仿宋_GB2312" w:hAnsi="仿宋_GB2312" w:eastAsia="仿宋_GB2312" w:cs="仿宋_GB2312"/>
          <w:color w:val="auto"/>
          <w:sz w:val="28"/>
          <w:szCs w:val="28"/>
          <w:highlight w:val="none"/>
          <w:shd w:val="clear" w:color="auto" w:fill="FFFFFF"/>
        </w:rPr>
        <w:t>。</w:t>
      </w:r>
    </w:p>
    <w:p w14:paraId="2FB7CAC7">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基金管理机构或基金申请机构近三年在</w:t>
      </w:r>
      <w:r>
        <w:rPr>
          <w:rFonts w:hint="eastAsia" w:ascii="仿宋_GB2312" w:hAnsi="仿宋_GB2312" w:eastAsia="仿宋_GB2312" w:cs="仿宋_GB2312"/>
          <w:color w:val="auto"/>
          <w:sz w:val="28"/>
          <w:szCs w:val="28"/>
          <w:highlight w:val="none"/>
          <w:shd w:val="clear" w:color="auto" w:fill="FFFFFF"/>
        </w:rPr>
        <w:t>知名第三方机构（清科、投中、中国风险投资研究院等）或中国证券投资基金业协会等行业自律组织发布的榜单的排名情况或获得的荣誉等</w:t>
      </w:r>
      <w:r>
        <w:rPr>
          <w:rFonts w:hint="eastAsia" w:ascii="仿宋_GB2312" w:hAnsi="仿宋_GB2312" w:eastAsia="仿宋_GB2312" w:cs="仿宋_GB2312"/>
          <w:color w:val="auto"/>
          <w:sz w:val="28"/>
          <w:szCs w:val="28"/>
          <w:highlight w:val="none"/>
        </w:rPr>
        <w:t>；</w:t>
      </w:r>
    </w:p>
    <w:p w14:paraId="67AA05D2">
      <w:pPr>
        <w:pStyle w:val="10"/>
        <w:widowControl/>
        <w:shd w:val="clear" w:color="auto" w:fill="FFFFFF"/>
        <w:wordWrap w:val="0"/>
        <w:spacing w:beforeAutospacing="0" w:afterAutospacing="0" w:line="440" w:lineRule="exact"/>
        <w:ind w:firstLine="420"/>
        <w:rPr>
          <w:rFonts w:hint="eastAsia"/>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（三）提供</w:t>
      </w:r>
      <w:r>
        <w:rPr>
          <w:rFonts w:hint="eastAsia" w:ascii="仿宋_GB2312" w:hAnsi="仿宋_GB2312" w:eastAsia="仿宋_GB2312" w:cs="仿宋_GB2312"/>
          <w:color w:val="auto"/>
          <w:sz w:val="28"/>
          <w:szCs w:val="28"/>
          <w:highlight w:val="none"/>
        </w:rPr>
        <w:t>基金管理机构管理的与政府或国企合作设立的基金的案例</w:t>
      </w:r>
      <w:r>
        <w:rPr>
          <w:rFonts w:hint="eastAsia" w:ascii="仿宋_GB2312" w:hAnsi="仿宋_GB2312" w:eastAsia="仿宋_GB2312" w:cs="仿宋_GB2312"/>
          <w:color w:val="auto"/>
          <w:sz w:val="28"/>
          <w:szCs w:val="28"/>
          <w:highlight w:val="none"/>
          <w:lang w:val="en-US" w:eastAsia="zh-CN"/>
        </w:rPr>
        <w:t>证明材料，材料应体现</w:t>
      </w:r>
      <w:r>
        <w:rPr>
          <w:rFonts w:hint="eastAsia" w:ascii="仿宋_GB2312" w:hAnsi="仿宋_GB2312" w:eastAsia="仿宋_GB2312" w:cs="仿宋_GB2312"/>
          <w:color w:val="auto"/>
          <w:sz w:val="28"/>
          <w:szCs w:val="28"/>
          <w:highlight w:val="none"/>
        </w:rPr>
        <w:t>合作单位、基金规模、投资阶段、投资收益、对基金管理机构的考核评价等；</w:t>
      </w:r>
      <w:r>
        <w:rPr>
          <w:rFonts w:hint="eastAsia"/>
          <w:color w:val="auto"/>
          <w:sz w:val="28"/>
          <w:szCs w:val="28"/>
          <w:highlight w:val="none"/>
        </w:rPr>
        <w:tab/>
      </w:r>
    </w:p>
    <w:p w14:paraId="595968FD">
      <w:pPr>
        <w:pStyle w:val="10"/>
        <w:widowControl/>
        <w:shd w:val="clear" w:color="auto" w:fill="FFFFFF"/>
        <w:wordWrap w:val="0"/>
        <w:spacing w:beforeAutospacing="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（四）提供</w:t>
      </w:r>
      <w:r>
        <w:rPr>
          <w:rFonts w:hint="eastAsia" w:ascii="仿宋_GB2312" w:hAnsi="仿宋_GB2312" w:eastAsia="仿宋_GB2312" w:cs="仿宋_GB2312"/>
          <w:color w:val="auto"/>
          <w:sz w:val="28"/>
          <w:szCs w:val="28"/>
          <w:highlight w:val="none"/>
        </w:rPr>
        <w:t>基金管理机构与科研院所等专业机构签署的对基金投资业务有帮助的合作协议等（如有）。</w:t>
      </w:r>
    </w:p>
    <w:p w14:paraId="3A5A111F">
      <w:pPr>
        <w:pStyle w:val="10"/>
        <w:widowControl/>
        <w:shd w:val="clear" w:color="auto" w:fill="FFFFFF"/>
        <w:wordWrap w:val="0"/>
        <w:spacing w:beforeAutospacing="0" w:afterAutospacing="0" w:line="440" w:lineRule="exact"/>
        <w:ind w:firstLine="420"/>
        <w:rPr>
          <w:rFonts w:hint="eastAsia" w:ascii="Helvetica" w:hAnsi="Helvetica" w:cs="Helvetica"/>
          <w:color w:val="auto"/>
          <w:sz w:val="28"/>
          <w:szCs w:val="28"/>
          <w:highlight w:val="none"/>
          <w:shd w:val="clear" w:color="auto" w:fill="FFFFFF"/>
        </w:rPr>
      </w:pPr>
    </w:p>
    <w:p w14:paraId="21B09051">
      <w:pPr>
        <w:pStyle w:val="10"/>
        <w:widowControl/>
        <w:shd w:val="clear" w:color="auto" w:fill="FFFFFF"/>
        <w:wordWrap w:val="0"/>
        <w:spacing w:beforeAutospacing="0" w:afterAutospacing="0" w:line="440" w:lineRule="exact"/>
        <w:ind w:firstLine="0" w:firstLineChars="0"/>
        <w:rPr>
          <w:rFonts w:ascii="Helvetica" w:hAnsi="Helvetica" w:eastAsia="Helvetica" w:cs="Helvetica"/>
          <w:b/>
          <w:bCs/>
          <w:color w:val="auto"/>
          <w:sz w:val="28"/>
          <w:szCs w:val="28"/>
          <w:highlight w:val="none"/>
        </w:rPr>
      </w:pPr>
      <w:r>
        <w:rPr>
          <w:rStyle w:val="14"/>
          <w:rFonts w:hint="eastAsia" w:ascii="Helvetica" w:hAnsi="Helvetica" w:eastAsia="宋体" w:cs="Helvetica"/>
          <w:color w:val="auto"/>
          <w:sz w:val="28"/>
          <w:szCs w:val="28"/>
          <w:highlight w:val="none"/>
          <w:shd w:val="clear" w:color="auto" w:fill="FFFFFF"/>
          <w:lang w:val="en-US" w:eastAsia="zh-CN"/>
        </w:rPr>
        <w:t>六</w:t>
      </w:r>
      <w:r>
        <w:rPr>
          <w:rStyle w:val="14"/>
          <w:rFonts w:ascii="Helvetica" w:hAnsi="Helvetica" w:eastAsia="Helvetica" w:cs="Helvetica"/>
          <w:color w:val="auto"/>
          <w:sz w:val="28"/>
          <w:szCs w:val="28"/>
          <w:highlight w:val="none"/>
          <w:shd w:val="clear" w:color="auto" w:fill="FFFFFF"/>
        </w:rPr>
        <w:t>、</w:t>
      </w:r>
      <w:r>
        <w:rPr>
          <w:rFonts w:hint="eastAsia" w:ascii="宋体" w:hAnsi="宋体" w:eastAsia="宋体" w:cs="宋体"/>
          <w:b/>
          <w:bCs/>
          <w:color w:val="auto"/>
          <w:sz w:val="28"/>
          <w:szCs w:val="28"/>
          <w:highlight w:val="none"/>
        </w:rPr>
        <w:t>申请机构认为</w:t>
      </w:r>
      <w:r>
        <w:rPr>
          <w:rFonts w:hint="eastAsia" w:ascii="宋体" w:hAnsi="宋体" w:eastAsia="宋体" w:cs="宋体"/>
          <w:b/>
          <w:bCs/>
          <w:color w:val="auto"/>
          <w:sz w:val="28"/>
          <w:szCs w:val="28"/>
          <w:highlight w:val="none"/>
          <w:lang w:val="en-US" w:eastAsia="zh-CN"/>
        </w:rPr>
        <w:t>提供的</w:t>
      </w:r>
      <w:r>
        <w:rPr>
          <w:rFonts w:hint="eastAsia" w:ascii="宋体" w:hAnsi="宋体" w:eastAsia="宋体" w:cs="宋体"/>
          <w:b/>
          <w:bCs/>
          <w:color w:val="auto"/>
          <w:sz w:val="28"/>
          <w:szCs w:val="28"/>
          <w:highlight w:val="none"/>
        </w:rPr>
        <w:t>其他</w:t>
      </w:r>
      <w:r>
        <w:rPr>
          <w:rFonts w:hint="eastAsia" w:ascii="宋体" w:hAnsi="宋体" w:eastAsia="宋体" w:cs="宋体"/>
          <w:b/>
          <w:bCs/>
          <w:color w:val="auto"/>
          <w:sz w:val="28"/>
          <w:szCs w:val="28"/>
          <w:highlight w:val="none"/>
          <w:lang w:val="en-US" w:eastAsia="zh-CN"/>
        </w:rPr>
        <w:t>证明材料</w:t>
      </w:r>
    </w:p>
    <w:p w14:paraId="2E701A6A">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512AD28F">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7B3645E2">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0C047568">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080C48D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4297206C">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2F6D38AF">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46C1FC67">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14CFF1B5">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19FDA558">
      <w:pPr>
        <w:pStyle w:val="10"/>
        <w:widowControl/>
        <w:shd w:val="clear" w:color="auto" w:fill="FFFFFF"/>
        <w:wordWrap w:val="0"/>
        <w:spacing w:beforeAutospacing="0" w:afterAutospacing="0"/>
        <w:rPr>
          <w:rFonts w:ascii="Helvetica" w:hAnsi="Helvetica" w:eastAsia="Helvetica" w:cs="Helvetica"/>
          <w:color w:val="auto"/>
          <w:highlight w:val="none"/>
        </w:rPr>
      </w:pPr>
    </w:p>
    <w:p w14:paraId="5E4B121C">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t> </w:t>
      </w:r>
    </w:p>
    <w:p w14:paraId="58300512">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13341848">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4ADEE665">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5447C269">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3CC22E44">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19148769">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6FCF0287">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0374AB75">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0A4C1D16">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6189EEA8">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0AE5408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65A6D13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73F51347">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37D943D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2F3B27B1">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30387AA9">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36D919CB">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6D74620A">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p>
    <w:p w14:paraId="45F07DC2">
      <w:pPr>
        <w:pStyle w:val="10"/>
        <w:widowControl/>
        <w:shd w:val="clear" w:color="auto" w:fill="FFFFFF"/>
        <w:wordWrap w:val="0"/>
        <w:spacing w:beforeAutospacing="0" w:afterAutospacing="0"/>
        <w:rPr>
          <w:rStyle w:val="14"/>
          <w:rFonts w:ascii="Helvetica" w:hAnsi="Helvetica" w:eastAsia="Helvetica" w:cs="Helvetica"/>
          <w:color w:val="auto"/>
          <w:highlight w:val="none"/>
          <w:shd w:val="clear" w:color="auto" w:fill="FFFFFF"/>
        </w:rPr>
      </w:pPr>
      <w:r>
        <w:rPr>
          <w:rStyle w:val="14"/>
          <w:rFonts w:ascii="Helvetica" w:hAnsi="Helvetica" w:eastAsia="Helvetica" w:cs="Helvetica"/>
          <w:color w:val="auto"/>
          <w:highlight w:val="none"/>
          <w:shd w:val="clear" w:color="auto" w:fill="FFFFFF"/>
        </w:rPr>
        <w:br w:type="page"/>
      </w:r>
    </w:p>
    <w:p w14:paraId="12EF0839">
      <w:pPr>
        <w:pStyle w:val="10"/>
        <w:widowControl/>
        <w:shd w:val="clear" w:color="auto" w:fill="FFFFFF"/>
        <w:wordWrap w:val="0"/>
        <w:spacing w:beforeAutospacing="0" w:afterAutospacing="0"/>
        <w:rPr>
          <w:rFonts w:hint="eastAsia" w:ascii="黑体" w:hAnsi="黑体" w:eastAsia="黑体" w:cs="黑体"/>
          <w:b/>
          <w:bCs w:val="0"/>
          <w:color w:val="auto"/>
          <w:sz w:val="32"/>
          <w:szCs w:val="32"/>
          <w:highlight w:val="none"/>
          <w:lang w:eastAsia="zh-CN"/>
        </w:rPr>
      </w:pPr>
      <w:r>
        <w:rPr>
          <w:rStyle w:val="14"/>
          <w:rFonts w:hint="eastAsia" w:ascii="黑体" w:hAnsi="黑体" w:eastAsia="黑体" w:cs="黑体"/>
          <w:b/>
          <w:bCs w:val="0"/>
          <w:color w:val="auto"/>
          <w:sz w:val="32"/>
          <w:szCs w:val="32"/>
          <w:highlight w:val="none"/>
          <w:shd w:val="clear" w:color="auto" w:fill="FFFFFF"/>
        </w:rPr>
        <w:t>附件</w:t>
      </w:r>
      <w:r>
        <w:rPr>
          <w:rStyle w:val="14"/>
          <w:rFonts w:hint="eastAsia" w:ascii="黑体" w:hAnsi="黑体" w:eastAsia="黑体" w:cs="黑体"/>
          <w:b/>
          <w:bCs w:val="0"/>
          <w:color w:val="auto"/>
          <w:sz w:val="32"/>
          <w:szCs w:val="32"/>
          <w:highlight w:val="none"/>
          <w:shd w:val="clear" w:color="auto" w:fill="FFFFFF"/>
          <w:lang w:val="en-US" w:eastAsia="zh-CN"/>
        </w:rPr>
        <w:t>2</w:t>
      </w:r>
    </w:p>
    <w:p w14:paraId="157817F0">
      <w:pPr>
        <w:pStyle w:val="10"/>
        <w:widowControl/>
        <w:shd w:val="clear" w:color="auto" w:fill="FFFFFF"/>
        <w:wordWrap w:val="0"/>
        <w:spacing w:beforeAutospacing="0" w:afterAutospacing="0"/>
        <w:jc w:val="center"/>
        <w:rPr>
          <w:rFonts w:hint="eastAsia" w:ascii="黑体" w:hAnsi="黑体" w:eastAsia="黑体" w:cs="黑体"/>
          <w:color w:val="auto"/>
          <w:sz w:val="32"/>
          <w:szCs w:val="32"/>
          <w:highlight w:val="none"/>
        </w:rPr>
      </w:pPr>
      <w:r>
        <w:rPr>
          <w:rStyle w:val="14"/>
          <w:rFonts w:hint="eastAsia" w:ascii="黑体" w:hAnsi="黑体" w:eastAsia="黑体" w:cs="黑体"/>
          <w:b w:val="0"/>
          <w:bCs/>
          <w:color w:val="auto"/>
          <w:sz w:val="32"/>
          <w:szCs w:val="32"/>
          <w:highlight w:val="none"/>
          <w:shd w:val="clear" w:color="auto" w:fill="FFFFFF"/>
        </w:rPr>
        <w:t>子基金自查表</w:t>
      </w:r>
    </w:p>
    <w:p w14:paraId="08D2022C">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u w:val="single"/>
          <w:shd w:val="clear" w:color="auto" w:fill="FFFFFF"/>
        </w:rPr>
        <w:t>拟申报子基金名称：</w:t>
      </w:r>
    </w:p>
    <w:p w14:paraId="0CC979C9">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tbl>
      <w:tblPr>
        <w:tblStyle w:val="11"/>
        <w:tblW w:w="8440" w:type="dxa"/>
        <w:jc w:val="center"/>
        <w:shd w:val="clear" w:color="auto" w:fill="FFFFFF"/>
        <w:tblLayout w:type="fixed"/>
        <w:tblCellMar>
          <w:top w:w="15" w:type="dxa"/>
          <w:left w:w="15" w:type="dxa"/>
          <w:bottom w:w="15" w:type="dxa"/>
          <w:right w:w="15" w:type="dxa"/>
        </w:tblCellMar>
      </w:tblPr>
      <w:tblGrid>
        <w:gridCol w:w="773"/>
        <w:gridCol w:w="6946"/>
        <w:gridCol w:w="388"/>
        <w:gridCol w:w="333"/>
      </w:tblGrid>
      <w:tr w14:paraId="3227CAF9">
        <w:tblPrEx>
          <w:shd w:val="clear" w:color="auto" w:fill="FFFFFF"/>
          <w:tblCellMar>
            <w:top w:w="15" w:type="dxa"/>
            <w:left w:w="15" w:type="dxa"/>
            <w:bottom w:w="15" w:type="dxa"/>
            <w:right w:w="15" w:type="dxa"/>
          </w:tblCellMar>
        </w:tblPrEx>
        <w:trPr>
          <w:jc w:val="center"/>
        </w:trPr>
        <w:tc>
          <w:tcPr>
            <w:tcW w:w="7719"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8888A0C">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683756D">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是否符合</w:t>
            </w: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1E281C">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备注</w:t>
            </w:r>
          </w:p>
        </w:tc>
      </w:tr>
      <w:tr w14:paraId="47E6ECD0">
        <w:tblPrEx>
          <w:tblCellMar>
            <w:top w:w="15" w:type="dxa"/>
            <w:left w:w="15" w:type="dxa"/>
            <w:bottom w:w="15" w:type="dxa"/>
            <w:right w:w="15" w:type="dxa"/>
          </w:tblCellMar>
        </w:tblPrEx>
        <w:trPr>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860A632">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一、母基金参股的子基金应符合以下条件：</w:t>
            </w:r>
          </w:p>
        </w:tc>
      </w:tr>
      <w:tr w14:paraId="343ACB5E">
        <w:tblPrEx>
          <w:shd w:val="clear" w:color="auto" w:fill="FFFFFF"/>
          <w:tblCellMar>
            <w:top w:w="15" w:type="dxa"/>
            <w:left w:w="15" w:type="dxa"/>
            <w:bottom w:w="15" w:type="dxa"/>
            <w:right w:w="15" w:type="dxa"/>
          </w:tblCellMar>
        </w:tblPrEx>
        <w:trPr>
          <w:trHeight w:val="507" w:hRule="atLeast"/>
          <w:jc w:val="center"/>
        </w:trPr>
        <w:tc>
          <w:tcPr>
            <w:tcW w:w="773"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4ACFD095">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子基金规模及管理机构出资比例</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8DDA94">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子基金募集资金总额不少于1亿元人民币。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7808B88">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98674EA">
            <w:pPr>
              <w:widowControl/>
              <w:wordWrap w:val="0"/>
              <w:jc w:val="left"/>
              <w:rPr>
                <w:rFonts w:hint="eastAsia" w:ascii="仿宋_GB2312" w:hAnsi="仿宋_GB2312" w:eastAsia="仿宋_GB2312" w:cs="仿宋_GB2312"/>
                <w:color w:val="auto"/>
                <w:sz w:val="24"/>
                <w:szCs w:val="24"/>
                <w:highlight w:val="none"/>
              </w:rPr>
            </w:pPr>
          </w:p>
        </w:tc>
      </w:tr>
      <w:tr w14:paraId="4FBDDCB0">
        <w:tblPrEx>
          <w:tblCellMar>
            <w:top w:w="15" w:type="dxa"/>
            <w:left w:w="15" w:type="dxa"/>
            <w:bottom w:w="15" w:type="dxa"/>
            <w:right w:w="15" w:type="dxa"/>
          </w:tblCellMar>
        </w:tblPrEx>
        <w:trPr>
          <w:trHeight w:val="1122" w:hRule="atLeast"/>
          <w:jc w:val="center"/>
        </w:trPr>
        <w:tc>
          <w:tcPr>
            <w:tcW w:w="773"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13C019DF">
            <w:pPr>
              <w:pStyle w:val="10"/>
              <w:widowControl/>
              <w:wordWrap w:val="0"/>
              <w:spacing w:beforeAutospacing="0" w:afterAutospacing="0"/>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19B7EF1">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w:t>
            </w:r>
            <w:r>
              <w:rPr>
                <w:rFonts w:hint="eastAsia" w:ascii="仿宋_GB2312" w:hAnsi="仿宋_GB2312" w:eastAsia="仿宋_GB2312" w:cs="仿宋_GB2312"/>
                <w:color w:val="auto"/>
                <w:sz w:val="24"/>
                <w:szCs w:val="24"/>
                <w:highlight w:val="none"/>
                <w:lang w:val="en-US" w:eastAsia="zh-CN"/>
              </w:rPr>
              <w:t>及其关联方</w:t>
            </w:r>
            <w:r>
              <w:rPr>
                <w:rFonts w:hint="eastAsia" w:ascii="仿宋_GB2312" w:hAnsi="仿宋_GB2312" w:eastAsia="仿宋_GB2312" w:cs="仿宋_GB2312"/>
                <w:color w:val="auto"/>
                <w:sz w:val="24"/>
                <w:szCs w:val="24"/>
                <w:highlight w:val="none"/>
              </w:rPr>
              <w:t>外的单个机构出资人出资额不低于1000万元人民币（关联方合并计算），除子基金管理团队外的单个自然人出资人出资额不低于500万元人民币。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FFC074C">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98FD65">
            <w:pPr>
              <w:widowControl/>
              <w:wordWrap w:val="0"/>
              <w:jc w:val="left"/>
              <w:rPr>
                <w:rFonts w:hint="eastAsia" w:ascii="仿宋_GB2312" w:hAnsi="仿宋_GB2312" w:eastAsia="仿宋_GB2312" w:cs="仿宋_GB2312"/>
                <w:color w:val="auto"/>
                <w:sz w:val="24"/>
                <w:szCs w:val="24"/>
                <w:highlight w:val="none"/>
              </w:rPr>
            </w:pPr>
          </w:p>
        </w:tc>
      </w:tr>
      <w:tr w14:paraId="67D9AB6D">
        <w:tblPrEx>
          <w:tblCellMar>
            <w:top w:w="15" w:type="dxa"/>
            <w:left w:w="15" w:type="dxa"/>
            <w:bottom w:w="15" w:type="dxa"/>
            <w:right w:w="15" w:type="dxa"/>
          </w:tblCellMar>
        </w:tblPrEx>
        <w:trPr>
          <w:trHeight w:val="1176" w:hRule="atLeast"/>
          <w:jc w:val="center"/>
        </w:trPr>
        <w:tc>
          <w:tcPr>
            <w:tcW w:w="773" w:type="dxa"/>
            <w:vMerge w:val="continue"/>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2224883">
            <w:pPr>
              <w:pStyle w:val="10"/>
              <w:widowControl/>
              <w:wordWrap w:val="0"/>
              <w:spacing w:beforeAutospacing="0" w:afterAutospacing="0"/>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73F79A">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管理机构或其关联方对子基金的出资比例合计不低于10%。子基金采用有限合伙制设立的，子基金</w:t>
            </w:r>
            <w:r>
              <w:rPr>
                <w:rFonts w:hint="eastAsia" w:ascii="仿宋_GB2312" w:hAnsi="仿宋_GB2312" w:eastAsia="仿宋_GB2312" w:cs="仿宋_GB2312"/>
                <w:color w:val="auto"/>
                <w:sz w:val="24"/>
                <w:szCs w:val="24"/>
                <w:highlight w:val="none"/>
                <w:lang w:val="en-US" w:eastAsia="zh-CN"/>
              </w:rPr>
              <w:t>申请机构、</w:t>
            </w:r>
            <w:r>
              <w:rPr>
                <w:rFonts w:hint="eastAsia" w:ascii="仿宋_GB2312" w:hAnsi="仿宋_GB2312" w:eastAsia="仿宋_GB2312" w:cs="仿宋_GB2312"/>
                <w:color w:val="auto"/>
                <w:sz w:val="24"/>
                <w:szCs w:val="24"/>
                <w:highlight w:val="none"/>
              </w:rPr>
              <w:t>管理机构或其关联方作为合伙人出资比例不低于10%。</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DC34C7">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18690D5">
            <w:pPr>
              <w:widowControl/>
              <w:wordWrap w:val="0"/>
              <w:jc w:val="left"/>
              <w:rPr>
                <w:rFonts w:hint="eastAsia" w:ascii="仿宋_GB2312" w:hAnsi="仿宋_GB2312" w:eastAsia="仿宋_GB2312" w:cs="仿宋_GB2312"/>
                <w:color w:val="auto"/>
                <w:sz w:val="24"/>
                <w:szCs w:val="24"/>
                <w:highlight w:val="none"/>
              </w:rPr>
            </w:pPr>
          </w:p>
        </w:tc>
      </w:tr>
      <w:tr w14:paraId="0E387FA1">
        <w:tblPrEx>
          <w:tblCellMar>
            <w:top w:w="15" w:type="dxa"/>
            <w:left w:w="15" w:type="dxa"/>
            <w:bottom w:w="15" w:type="dxa"/>
            <w:right w:w="15" w:type="dxa"/>
          </w:tblCellMar>
        </w:tblPrEx>
        <w:trPr>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221C251">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母基金出资规模及出资比例</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1E3E0A">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子基金向母基金申请出资规模不超过5000万元，出资比例不超过子基金认缴出资总金额的20%，且母基金不成为子基金的第一大出资人。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2A30FA8">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ECB16B">
            <w:pPr>
              <w:widowControl/>
              <w:wordWrap w:val="0"/>
              <w:jc w:val="left"/>
              <w:rPr>
                <w:rFonts w:hint="eastAsia" w:ascii="仿宋_GB2312" w:hAnsi="仿宋_GB2312" w:eastAsia="仿宋_GB2312" w:cs="仿宋_GB2312"/>
                <w:color w:val="auto"/>
                <w:sz w:val="24"/>
                <w:szCs w:val="24"/>
                <w:highlight w:val="none"/>
              </w:rPr>
            </w:pPr>
          </w:p>
        </w:tc>
      </w:tr>
      <w:tr w14:paraId="27CF64FE">
        <w:tblPrEx>
          <w:tblCellMar>
            <w:top w:w="15" w:type="dxa"/>
            <w:left w:w="15" w:type="dxa"/>
            <w:bottom w:w="15" w:type="dxa"/>
            <w:right w:w="15" w:type="dxa"/>
          </w:tblCellMar>
        </w:tblPrEx>
        <w:trPr>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5229280">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存续期限</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03E268">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投资期不超过6年，</w:t>
            </w:r>
            <w:r>
              <w:rPr>
                <w:rFonts w:hint="eastAsia" w:ascii="仿宋_GB2312" w:hAnsi="仿宋_GB2312" w:eastAsia="仿宋_GB2312" w:cs="仿宋_GB2312"/>
                <w:color w:val="auto"/>
                <w:highlight w:val="none"/>
              </w:rPr>
              <w:t>存续期限不超过南控母基金存续期限。</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53604E0">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5AB4EC">
            <w:pPr>
              <w:widowControl/>
              <w:wordWrap w:val="0"/>
              <w:jc w:val="left"/>
              <w:rPr>
                <w:rFonts w:hint="eastAsia" w:ascii="仿宋_GB2312" w:hAnsi="仿宋_GB2312" w:eastAsia="仿宋_GB2312" w:cs="仿宋_GB2312"/>
                <w:color w:val="auto"/>
                <w:sz w:val="24"/>
                <w:szCs w:val="24"/>
                <w:highlight w:val="none"/>
              </w:rPr>
            </w:pPr>
          </w:p>
        </w:tc>
      </w:tr>
      <w:tr w14:paraId="0550E6CB">
        <w:tblPrEx>
          <w:tblCellMar>
            <w:top w:w="15" w:type="dxa"/>
            <w:left w:w="15" w:type="dxa"/>
            <w:bottom w:w="15" w:type="dxa"/>
            <w:right w:w="15" w:type="dxa"/>
          </w:tblCellMar>
        </w:tblPrEx>
        <w:trPr>
          <w:trHeight w:val="1236" w:hRule="atLeast"/>
          <w:jc w:val="center"/>
        </w:trPr>
        <w:tc>
          <w:tcPr>
            <w:tcW w:w="773"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56CC4942">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管理费</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C6D7E62">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子基金收取的管理费率：投资期每年最高不超过实缴金额的2%，</w:t>
            </w:r>
            <w:r>
              <w:rPr>
                <w:rFonts w:hint="eastAsia" w:ascii="仿宋_GB2312" w:hAnsi="仿宋_GB2312" w:eastAsia="仿宋_GB2312" w:cs="仿宋_GB2312"/>
                <w:color w:val="auto"/>
                <w:sz w:val="24"/>
                <w:szCs w:val="24"/>
                <w:highlight w:val="none"/>
                <w:shd w:val="clear" w:color="auto" w:fill="FFFFFF"/>
              </w:rPr>
              <w:t>退出期每年最高不超过未退出本金总额的2%，</w:t>
            </w:r>
            <w:r>
              <w:rPr>
                <w:rFonts w:hint="eastAsia" w:ascii="仿宋_GB2312" w:hAnsi="仿宋_GB2312" w:eastAsia="仿宋_GB2312" w:cs="仿宋_GB2312"/>
                <w:color w:val="auto"/>
                <w:sz w:val="24"/>
                <w:szCs w:val="24"/>
                <w:highlight w:val="none"/>
              </w:rPr>
              <w:t>且对母基金收取管理费的标准不得高于其他出资人。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ED4407">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7E67D0">
            <w:pPr>
              <w:widowControl/>
              <w:wordWrap w:val="0"/>
              <w:jc w:val="left"/>
              <w:rPr>
                <w:rFonts w:hint="eastAsia" w:ascii="仿宋_GB2312" w:hAnsi="仿宋_GB2312" w:eastAsia="仿宋_GB2312" w:cs="仿宋_GB2312"/>
                <w:color w:val="auto"/>
                <w:sz w:val="24"/>
                <w:szCs w:val="24"/>
                <w:highlight w:val="none"/>
              </w:rPr>
            </w:pPr>
          </w:p>
        </w:tc>
      </w:tr>
      <w:tr w14:paraId="1923D331">
        <w:tblPrEx>
          <w:tblCellMar>
            <w:top w:w="15" w:type="dxa"/>
            <w:left w:w="15" w:type="dxa"/>
            <w:bottom w:w="15" w:type="dxa"/>
            <w:right w:w="15" w:type="dxa"/>
          </w:tblCellMar>
        </w:tblPrEx>
        <w:trPr>
          <w:trHeight w:val="2037" w:hRule="atLeast"/>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A89EBF">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收益分配</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438464">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子基金投资项目退出后，投资回收资金不得再用于对外投资，须及时按合伙协议（或公司章程）约定向投资人进行分配。原则上，子基金的门槛收益率不低于</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%（单利）。</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D4154B9">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C6B9DA3">
            <w:pPr>
              <w:widowControl/>
              <w:wordWrap w:val="0"/>
              <w:jc w:val="left"/>
              <w:rPr>
                <w:rFonts w:hint="eastAsia" w:ascii="仿宋_GB2312" w:hAnsi="仿宋_GB2312" w:eastAsia="仿宋_GB2312" w:cs="仿宋_GB2312"/>
                <w:color w:val="auto"/>
                <w:sz w:val="24"/>
                <w:szCs w:val="24"/>
                <w:highlight w:val="none"/>
              </w:rPr>
            </w:pPr>
          </w:p>
        </w:tc>
      </w:tr>
      <w:tr w14:paraId="6C29F7E9">
        <w:tblPrEx>
          <w:tblCellMar>
            <w:top w:w="15" w:type="dxa"/>
            <w:left w:w="15" w:type="dxa"/>
            <w:bottom w:w="15" w:type="dxa"/>
            <w:right w:w="15" w:type="dxa"/>
          </w:tblCellMar>
        </w:tblPrEx>
        <w:trPr>
          <w:trHeight w:val="1830" w:hRule="atLeast"/>
          <w:jc w:val="center"/>
        </w:trPr>
        <w:tc>
          <w:tcPr>
            <w:tcW w:w="773" w:type="dxa"/>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29F8C282">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出资条件</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0A18706">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申请新设子基金的，子基金申请机构在提交基金申报方案时，须至少已经募集到拟设立子基金总规模30%的资金（不含母基金出资部分），并提供拟出资人的出资承诺函</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出资情况说明等材料。</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7FF242">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D624DFF">
            <w:pPr>
              <w:widowControl/>
              <w:wordWrap w:val="0"/>
              <w:jc w:val="left"/>
              <w:rPr>
                <w:rFonts w:hint="eastAsia" w:ascii="仿宋_GB2312" w:hAnsi="仿宋_GB2312" w:eastAsia="仿宋_GB2312" w:cs="仿宋_GB2312"/>
                <w:color w:val="auto"/>
                <w:sz w:val="24"/>
                <w:szCs w:val="24"/>
                <w:highlight w:val="none"/>
              </w:rPr>
            </w:pPr>
          </w:p>
        </w:tc>
      </w:tr>
      <w:tr w14:paraId="73A9C44A">
        <w:tblPrEx>
          <w:tblCellMar>
            <w:top w:w="15" w:type="dxa"/>
            <w:left w:w="15" w:type="dxa"/>
            <w:bottom w:w="15" w:type="dxa"/>
            <w:right w:w="15" w:type="dxa"/>
          </w:tblCellMar>
        </w:tblPrEx>
        <w:trPr>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CD8C78E">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二、子基金申请机构或子基金管理机构应符合以下条件：</w:t>
            </w:r>
          </w:p>
        </w:tc>
      </w:tr>
      <w:tr w14:paraId="21E1F294">
        <w:tblPrEx>
          <w:tblCellMar>
            <w:top w:w="15" w:type="dxa"/>
            <w:left w:w="15" w:type="dxa"/>
            <w:bottom w:w="15" w:type="dxa"/>
            <w:right w:w="15" w:type="dxa"/>
          </w:tblCellMar>
        </w:tblPrEx>
        <w:trPr>
          <w:trHeight w:val="624" w:hRule="atLeast"/>
          <w:jc w:val="center"/>
        </w:trPr>
        <w:tc>
          <w:tcPr>
            <w:tcW w:w="77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3D2A6">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运营资质</w:t>
            </w:r>
          </w:p>
        </w:tc>
        <w:tc>
          <w:tcPr>
            <w:tcW w:w="6946" w:type="dxa"/>
            <w:tcBorders>
              <w:top w:val="single" w:color="auto" w:sz="4" w:space="0"/>
              <w:left w:val="single" w:color="auto" w:sz="4" w:space="0"/>
              <w:bottom w:val="single" w:color="auto" w:sz="4" w:space="0"/>
              <w:right w:val="single" w:color="444444" w:sz="6" w:space="0"/>
            </w:tcBorders>
            <w:shd w:val="clear" w:color="auto" w:fill="FFFFFF"/>
            <w:tcMar>
              <w:top w:w="0" w:type="dxa"/>
              <w:left w:w="0" w:type="dxa"/>
              <w:bottom w:w="0" w:type="dxa"/>
              <w:right w:w="0" w:type="dxa"/>
            </w:tcMar>
            <w:vAlign w:val="center"/>
          </w:tcPr>
          <w:p w14:paraId="195E3807">
            <w:pPr>
              <w:pStyle w:val="10"/>
              <w:widowControl/>
              <w:wordWrap w:val="0"/>
              <w:spacing w:beforeAutospacing="0" w:afterAutospacing="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管理机构及申请机构均符合以下基本条件：</w:t>
            </w:r>
          </w:p>
          <w:p w14:paraId="45FB2DD7">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（一）依法在境内设立且已在相关主管部门或行业自律组织登记备案；</w:t>
            </w:r>
          </w:p>
          <w:p w14:paraId="00346873">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（二）实缴资本不低于1000万元人民币；</w:t>
            </w:r>
          </w:p>
          <w:p w14:paraId="669776CA">
            <w:pPr>
              <w:pStyle w:val="10"/>
              <w:widowControl/>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（三）未被中国证券投资基金业协会列为异常机构或不存在不良诚信记录等情形；</w:t>
            </w:r>
          </w:p>
          <w:p w14:paraId="78AFA9BB">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（四）最近三年不存在重大违法违规行为。</w:t>
            </w:r>
          </w:p>
        </w:tc>
        <w:tc>
          <w:tcPr>
            <w:tcW w:w="388"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14:paraId="68FFC1AC">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auto" w:sz="4" w:space="0"/>
              <w:left w:val="single" w:color="444444" w:sz="6" w:space="0"/>
              <w:bottom w:val="single" w:color="auto" w:sz="4" w:space="0"/>
              <w:right w:val="single" w:color="auto" w:sz="4" w:space="0"/>
            </w:tcBorders>
            <w:shd w:val="clear" w:color="auto" w:fill="FFFFFF"/>
            <w:tcMar>
              <w:top w:w="0" w:type="dxa"/>
              <w:left w:w="0" w:type="dxa"/>
              <w:bottom w:w="0" w:type="dxa"/>
              <w:right w:w="0" w:type="dxa"/>
            </w:tcMar>
            <w:vAlign w:val="center"/>
          </w:tcPr>
          <w:p w14:paraId="69B5C882">
            <w:pPr>
              <w:widowControl/>
              <w:wordWrap w:val="0"/>
              <w:jc w:val="left"/>
              <w:rPr>
                <w:rFonts w:hint="eastAsia" w:ascii="仿宋_GB2312" w:hAnsi="仿宋_GB2312" w:eastAsia="仿宋_GB2312" w:cs="仿宋_GB2312"/>
                <w:color w:val="auto"/>
                <w:sz w:val="24"/>
                <w:szCs w:val="24"/>
                <w:highlight w:val="none"/>
              </w:rPr>
            </w:pPr>
          </w:p>
        </w:tc>
      </w:tr>
      <w:tr w14:paraId="4CC0E999">
        <w:tblPrEx>
          <w:tblCellMar>
            <w:top w:w="15" w:type="dxa"/>
            <w:left w:w="15" w:type="dxa"/>
            <w:bottom w:w="15" w:type="dxa"/>
            <w:right w:w="15" w:type="dxa"/>
          </w:tblCellMar>
        </w:tblPrEx>
        <w:trPr>
          <w:trHeight w:val="710" w:hRule="atLeast"/>
          <w:jc w:val="center"/>
        </w:trPr>
        <w:tc>
          <w:tcPr>
            <w:tcW w:w="7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F1A2D">
            <w:pPr>
              <w:rPr>
                <w:rFonts w:hint="eastAsia" w:ascii="仿宋_GB2312" w:hAnsi="仿宋_GB2312" w:eastAsia="仿宋_GB2312" w:cs="仿宋_GB2312"/>
                <w:color w:val="auto"/>
                <w:sz w:val="24"/>
                <w:szCs w:val="24"/>
                <w:highlight w:val="none"/>
              </w:rPr>
            </w:pPr>
          </w:p>
        </w:tc>
        <w:tc>
          <w:tcPr>
            <w:tcW w:w="6946" w:type="dxa"/>
            <w:tcBorders>
              <w:top w:val="single" w:color="auto" w:sz="4" w:space="0"/>
              <w:left w:val="single" w:color="auto" w:sz="4" w:space="0"/>
              <w:bottom w:val="single" w:color="444444" w:sz="6" w:space="0"/>
              <w:right w:val="single" w:color="444444" w:sz="6" w:space="0"/>
            </w:tcBorders>
            <w:shd w:val="clear" w:color="auto" w:fill="FFFFFF"/>
            <w:tcMar>
              <w:top w:w="0" w:type="dxa"/>
              <w:left w:w="0" w:type="dxa"/>
              <w:bottom w:w="0" w:type="dxa"/>
              <w:right w:w="0" w:type="dxa"/>
            </w:tcMar>
            <w:vAlign w:val="center"/>
          </w:tcPr>
          <w:p w14:paraId="56E01D68">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highlight w:val="none"/>
                <w:lang w:bidi="ar"/>
              </w:rPr>
              <w:t>管理机构与申请机构为同一主体，或者为申请机构控股或实际控制的主体</w:t>
            </w:r>
            <w:r>
              <w:rPr>
                <w:rFonts w:hint="eastAsia" w:ascii="仿宋_GB2312" w:hAnsi="仿宋_GB2312" w:eastAsia="仿宋_GB2312" w:cs="仿宋_GB2312"/>
                <w:color w:val="auto"/>
                <w:kern w:val="0"/>
                <w:sz w:val="24"/>
                <w:szCs w:val="24"/>
                <w:highlight w:val="none"/>
                <w:lang w:bidi="ar"/>
              </w:rPr>
              <w:t>。</w:t>
            </w:r>
          </w:p>
        </w:tc>
        <w:tc>
          <w:tcPr>
            <w:tcW w:w="388"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533E587">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1BE494C">
            <w:pPr>
              <w:widowControl/>
              <w:wordWrap w:val="0"/>
              <w:jc w:val="left"/>
              <w:rPr>
                <w:rFonts w:hint="eastAsia" w:ascii="仿宋_GB2312" w:hAnsi="仿宋_GB2312" w:eastAsia="仿宋_GB2312" w:cs="仿宋_GB2312"/>
                <w:color w:val="auto"/>
                <w:sz w:val="24"/>
                <w:szCs w:val="24"/>
                <w:highlight w:val="none"/>
              </w:rPr>
            </w:pPr>
          </w:p>
        </w:tc>
      </w:tr>
      <w:tr w14:paraId="1B2FAD9F">
        <w:tblPrEx>
          <w:tblCellMar>
            <w:top w:w="15" w:type="dxa"/>
            <w:left w:w="15" w:type="dxa"/>
            <w:bottom w:w="15" w:type="dxa"/>
            <w:right w:w="15" w:type="dxa"/>
          </w:tblCellMar>
        </w:tblPrEx>
        <w:trPr>
          <w:trHeight w:val="1588"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E6D44">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管理规模及其他资质</w:t>
            </w:r>
          </w:p>
        </w:tc>
        <w:tc>
          <w:tcPr>
            <w:tcW w:w="6946" w:type="dxa"/>
            <w:tcBorders>
              <w:top w:val="single" w:color="444444" w:sz="6" w:space="0"/>
              <w:left w:val="single" w:color="auto" w:sz="4" w:space="0"/>
              <w:bottom w:val="single" w:color="444444" w:sz="6" w:space="0"/>
              <w:right w:val="single" w:color="444444" w:sz="6" w:space="0"/>
            </w:tcBorders>
            <w:shd w:val="clear" w:color="auto" w:fill="FFFFFF"/>
            <w:tcMar>
              <w:top w:w="0" w:type="dxa"/>
              <w:left w:w="0" w:type="dxa"/>
              <w:bottom w:w="0" w:type="dxa"/>
              <w:right w:w="0" w:type="dxa"/>
            </w:tcMar>
            <w:vAlign w:val="center"/>
          </w:tcPr>
          <w:p w14:paraId="412B7706">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子基金申请机构在基金业协会备案的累计管理规模不少于30亿元，且在管基金实缴金额不得低于</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0</w:t>
            </w:r>
            <w:r>
              <w:rPr>
                <w:rFonts w:hint="eastAsia" w:ascii="仿宋_GB2312" w:hAnsi="仿宋_GB2312" w:eastAsia="仿宋_GB2312" w:cs="仿宋_GB2312"/>
                <w:color w:val="auto"/>
                <w:sz w:val="24"/>
                <w:szCs w:val="24"/>
                <w:highlight w:val="none"/>
              </w:rPr>
              <w:t>亿元。</w:t>
            </w:r>
            <w:r>
              <w:rPr>
                <w:rStyle w:val="14"/>
                <w:rFonts w:hint="eastAsia" w:ascii="仿宋_GB2312" w:hAnsi="仿宋_GB2312" w:eastAsia="仿宋_GB2312" w:cs="仿宋_GB2312"/>
                <w:b w:val="0"/>
                <w:bCs/>
                <w:color w:val="auto"/>
                <w:sz w:val="24"/>
                <w:szCs w:val="24"/>
                <w:highlight w:val="none"/>
                <w:shd w:val="clear" w:color="auto" w:fill="FFFFFF"/>
              </w:rPr>
              <w:t>若子基金管理机构与申请机构非同一主体，子基金管理机构在基金业协会备案的累计基金实缴金额不得低于5亿元。</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0B8BB0F">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8EE6A81">
            <w:pPr>
              <w:widowControl/>
              <w:wordWrap w:val="0"/>
              <w:jc w:val="left"/>
              <w:rPr>
                <w:rFonts w:hint="eastAsia" w:ascii="仿宋_GB2312" w:hAnsi="仿宋_GB2312" w:eastAsia="仿宋_GB2312" w:cs="仿宋_GB2312"/>
                <w:color w:val="auto"/>
                <w:sz w:val="24"/>
                <w:szCs w:val="24"/>
                <w:highlight w:val="none"/>
              </w:rPr>
            </w:pPr>
          </w:p>
        </w:tc>
      </w:tr>
      <w:tr w14:paraId="0FDBA23C">
        <w:tblPrEx>
          <w:tblCellMar>
            <w:top w:w="15" w:type="dxa"/>
            <w:left w:w="15" w:type="dxa"/>
            <w:bottom w:w="15" w:type="dxa"/>
            <w:right w:w="15" w:type="dxa"/>
          </w:tblCellMar>
        </w:tblPrEx>
        <w:trPr>
          <w:trHeight w:val="3163" w:hRule="atLeast"/>
          <w:jc w:val="center"/>
        </w:trPr>
        <w:tc>
          <w:tcPr>
            <w:tcW w:w="773"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14:paraId="44341801">
            <w:pPr>
              <w:pStyle w:val="10"/>
              <w:widowControl/>
              <w:wordWrap w:val="0"/>
              <w:spacing w:beforeAutospacing="0" w:afterAutospacing="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管理能力</w:t>
            </w:r>
          </w:p>
        </w:tc>
        <w:tc>
          <w:tcPr>
            <w:tcW w:w="6946" w:type="dxa"/>
            <w:tcBorders>
              <w:top w:val="single" w:color="444444" w:sz="6"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14:paraId="5A4B28E1">
            <w:pPr>
              <w:pStyle w:val="10"/>
              <w:widowControl/>
              <w:shd w:val="clear"/>
              <w:wordWrap w:val="0"/>
              <w:spacing w:beforeAutospacing="0" w:afterAutospacing="0" w:line="240" w:lineRule="auto"/>
              <w:ind w:firstLine="0" w:firstLineChars="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管理机构需具备丰富的</w:t>
            </w:r>
            <w:r>
              <w:rPr>
                <w:rFonts w:hint="eastAsia" w:ascii="仿宋_GB2312" w:hAnsi="仿宋_GB2312" w:eastAsia="仿宋_GB2312" w:cs="仿宋_GB2312"/>
                <w:color w:val="auto"/>
                <w:sz w:val="24"/>
                <w:szCs w:val="24"/>
                <w:highlight w:val="none"/>
                <w:shd w:val="clear"/>
                <w:lang w:val="en-US" w:eastAsia="zh-CN"/>
              </w:rPr>
              <w:t>基金管理</w:t>
            </w:r>
            <w:r>
              <w:rPr>
                <w:rFonts w:hint="eastAsia" w:ascii="仿宋_GB2312" w:hAnsi="仿宋_GB2312" w:eastAsia="仿宋_GB2312" w:cs="仿宋_GB2312"/>
                <w:color w:val="auto"/>
                <w:sz w:val="24"/>
                <w:szCs w:val="24"/>
                <w:highlight w:val="none"/>
                <w:shd w:val="clear"/>
              </w:rPr>
              <w:t>经验和较好的过往</w:t>
            </w:r>
            <w:r>
              <w:rPr>
                <w:rFonts w:hint="eastAsia" w:ascii="仿宋_GB2312" w:hAnsi="仿宋_GB2312" w:eastAsia="仿宋_GB2312" w:cs="仿宋_GB2312"/>
                <w:color w:val="auto"/>
                <w:sz w:val="24"/>
                <w:szCs w:val="24"/>
                <w:highlight w:val="none"/>
                <w:shd w:val="clear"/>
                <w:lang w:val="en-US" w:eastAsia="zh-CN"/>
              </w:rPr>
              <w:t>管理</w:t>
            </w:r>
            <w:r>
              <w:rPr>
                <w:rFonts w:hint="eastAsia" w:ascii="仿宋_GB2312" w:hAnsi="仿宋_GB2312" w:eastAsia="仿宋_GB2312" w:cs="仿宋_GB2312"/>
                <w:color w:val="auto"/>
                <w:sz w:val="24"/>
                <w:szCs w:val="24"/>
                <w:highlight w:val="none"/>
                <w:shd w:val="clear"/>
              </w:rPr>
              <w:t>业绩，对于</w:t>
            </w:r>
            <w:r>
              <w:rPr>
                <w:rFonts w:hint="eastAsia" w:ascii="仿宋_GB2312" w:hAnsi="仿宋_GB2312" w:eastAsia="仿宋_GB2312" w:cs="仿宋_GB2312"/>
                <w:color w:val="auto"/>
                <w:sz w:val="24"/>
                <w:szCs w:val="24"/>
                <w:highlight w:val="none"/>
                <w:shd w:val="clear"/>
                <w:lang w:val="en-US" w:eastAsia="zh-CN"/>
              </w:rPr>
              <w:t>管理</w:t>
            </w:r>
            <w:r>
              <w:rPr>
                <w:rFonts w:hint="eastAsia" w:ascii="仿宋_GB2312" w:hAnsi="仿宋_GB2312" w:eastAsia="仿宋_GB2312" w:cs="仿宋_GB2312"/>
                <w:color w:val="auto"/>
                <w:sz w:val="24"/>
                <w:szCs w:val="24"/>
                <w:highlight w:val="none"/>
                <w:shd w:val="clear"/>
              </w:rPr>
              <w:t>能力的认定，</w:t>
            </w:r>
            <w:r>
              <w:rPr>
                <w:rFonts w:hint="eastAsia" w:ascii="仿宋_GB2312" w:hAnsi="仿宋_GB2312" w:eastAsia="仿宋_GB2312" w:cs="仿宋_GB2312"/>
                <w:color w:val="auto"/>
                <w:sz w:val="24"/>
                <w:szCs w:val="24"/>
                <w:highlight w:val="none"/>
                <w:shd w:val="clear"/>
                <w:lang w:val="en-US" w:eastAsia="zh-CN"/>
              </w:rPr>
              <w:t>管理机构</w:t>
            </w:r>
            <w:r>
              <w:rPr>
                <w:rFonts w:hint="eastAsia" w:ascii="仿宋_GB2312" w:hAnsi="仿宋_GB2312" w:eastAsia="仿宋_GB2312" w:cs="仿宋_GB2312"/>
                <w:color w:val="auto"/>
                <w:sz w:val="24"/>
                <w:szCs w:val="24"/>
                <w:highlight w:val="none"/>
                <w:shd w:val="clear"/>
              </w:rPr>
              <w:t>应</w:t>
            </w:r>
            <w:r>
              <w:rPr>
                <w:rFonts w:hint="eastAsia" w:ascii="仿宋_GB2312" w:hAnsi="仿宋_GB2312" w:eastAsia="仿宋_GB2312" w:cs="仿宋_GB2312"/>
                <w:color w:val="auto"/>
                <w:sz w:val="24"/>
                <w:szCs w:val="24"/>
                <w:highlight w:val="none"/>
                <w:shd w:val="clear"/>
                <w:lang w:val="en-US" w:eastAsia="zh-CN"/>
              </w:rPr>
              <w:t>具备同时符合以下条件的基金管理案例</w:t>
            </w:r>
            <w:r>
              <w:rPr>
                <w:rFonts w:hint="eastAsia" w:ascii="仿宋_GB2312" w:hAnsi="仿宋_GB2312" w:eastAsia="仿宋_GB2312" w:cs="仿宋_GB2312"/>
                <w:color w:val="auto"/>
                <w:sz w:val="24"/>
                <w:szCs w:val="24"/>
                <w:highlight w:val="none"/>
                <w:shd w:val="clear"/>
              </w:rPr>
              <w:t>：</w:t>
            </w:r>
          </w:p>
          <w:p w14:paraId="1D344BA8">
            <w:pPr>
              <w:pStyle w:val="10"/>
              <w:widowControl/>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lang w:val="en-US" w:eastAsia="zh-CN"/>
              </w:rPr>
            </w:pPr>
            <w:r>
              <w:rPr>
                <w:rFonts w:hint="eastAsia" w:ascii="仿宋_GB2312" w:hAnsi="仿宋_GB2312" w:eastAsia="仿宋_GB2312" w:cs="仿宋_GB2312"/>
                <w:color w:val="auto"/>
                <w:sz w:val="24"/>
                <w:szCs w:val="24"/>
                <w:highlight w:val="none"/>
                <w:shd w:val="clear"/>
              </w:rPr>
              <w:t>（一）</w:t>
            </w:r>
            <w:r>
              <w:rPr>
                <w:rFonts w:hint="eastAsia" w:ascii="仿宋_GB2312" w:hAnsi="仿宋_GB2312" w:eastAsia="仿宋_GB2312" w:cs="仿宋_GB2312"/>
                <w:color w:val="auto"/>
                <w:sz w:val="24"/>
                <w:szCs w:val="24"/>
                <w:highlight w:val="none"/>
                <w:shd w:val="clear"/>
                <w:lang w:val="en-US" w:eastAsia="zh-CN"/>
              </w:rPr>
              <w:t>基金</w:t>
            </w:r>
            <w:r>
              <w:rPr>
                <w:rFonts w:hint="eastAsia" w:ascii="仿宋_GB2312" w:hAnsi="仿宋_GB2312" w:eastAsia="仿宋_GB2312" w:cs="仿宋_GB2312"/>
                <w:color w:val="auto"/>
                <w:sz w:val="24"/>
                <w:szCs w:val="24"/>
                <w:highlight w:val="none"/>
                <w:shd w:val="clear"/>
              </w:rPr>
              <w:t>的实缴规模</w:t>
            </w:r>
            <w:r>
              <w:rPr>
                <w:rFonts w:hint="eastAsia" w:ascii="仿宋_GB2312" w:hAnsi="仿宋_GB2312" w:eastAsia="仿宋_GB2312" w:cs="仿宋_GB2312"/>
                <w:color w:val="auto"/>
                <w:sz w:val="24"/>
                <w:szCs w:val="24"/>
                <w:highlight w:val="none"/>
                <w:shd w:val="clear"/>
                <w:lang w:val="en-US" w:eastAsia="zh-CN"/>
              </w:rPr>
              <w:t>为</w:t>
            </w:r>
            <w:r>
              <w:rPr>
                <w:rFonts w:hint="eastAsia" w:ascii="仿宋_GB2312" w:hAnsi="仿宋_GB2312" w:eastAsia="仿宋_GB2312" w:cs="仿宋_GB2312"/>
                <w:color w:val="auto"/>
                <w:sz w:val="24"/>
                <w:szCs w:val="24"/>
                <w:highlight w:val="none"/>
                <w:shd w:val="clear"/>
              </w:rPr>
              <w:t>5000万元以上</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且</w:t>
            </w:r>
          </w:p>
          <w:p w14:paraId="6D2CB945">
            <w:pPr>
              <w:pStyle w:val="10"/>
              <w:widowControl/>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二</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基金过往业绩良好，</w:t>
            </w:r>
            <w:r>
              <w:rPr>
                <w:rFonts w:hint="eastAsia" w:ascii="仿宋_GB2312" w:hAnsi="仿宋_GB2312" w:eastAsia="仿宋_GB2312" w:cs="仿宋_GB2312"/>
                <w:color w:val="auto"/>
                <w:sz w:val="24"/>
                <w:szCs w:val="24"/>
                <w:highlight w:val="none"/>
                <w:shd w:val="clear"/>
              </w:rPr>
              <w:t>符合以下任一业绩条件：</w:t>
            </w:r>
          </w:p>
          <w:p w14:paraId="582CF464">
            <w:pPr>
              <w:pStyle w:val="10"/>
              <w:widowControl/>
              <w:numPr>
                <w:ilvl w:val="-1"/>
                <w:numId w:val="0"/>
              </w:numPr>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1.</w:t>
            </w:r>
            <w:r>
              <w:rPr>
                <w:rFonts w:hint="eastAsia" w:ascii="仿宋_GB2312" w:hAnsi="仿宋_GB2312" w:eastAsia="仿宋_GB2312" w:cs="仿宋_GB2312"/>
                <w:color w:val="auto"/>
                <w:sz w:val="24"/>
                <w:szCs w:val="24"/>
                <w:highlight w:val="none"/>
                <w:shd w:val="clear"/>
                <w:lang w:val="en-US" w:eastAsia="zh-CN"/>
              </w:rPr>
              <w:t>成立之日起6</w:t>
            </w:r>
            <w:r>
              <w:rPr>
                <w:rFonts w:hint="eastAsia" w:ascii="仿宋_GB2312" w:hAnsi="仿宋_GB2312" w:eastAsia="仿宋_GB2312" w:cs="仿宋_GB2312"/>
                <w:color w:val="auto"/>
                <w:sz w:val="24"/>
                <w:szCs w:val="24"/>
                <w:highlight w:val="none"/>
                <w:shd w:val="clear"/>
              </w:rPr>
              <w:t>年</w:t>
            </w:r>
            <w:r>
              <w:rPr>
                <w:rFonts w:hint="eastAsia" w:ascii="仿宋_GB2312" w:hAnsi="仿宋_GB2312" w:eastAsia="仿宋_GB2312" w:cs="仿宋_GB2312"/>
                <w:color w:val="auto"/>
                <w:sz w:val="24"/>
                <w:szCs w:val="24"/>
                <w:highlight w:val="none"/>
                <w:shd w:val="clear"/>
                <w:lang w:val="en-US" w:eastAsia="zh-CN"/>
              </w:rPr>
              <w:t>期末</w:t>
            </w:r>
            <w:r>
              <w:rPr>
                <w:rFonts w:hint="eastAsia" w:ascii="仿宋_GB2312" w:hAnsi="仿宋_GB2312" w:eastAsia="仿宋_GB2312" w:cs="仿宋_GB2312"/>
                <w:color w:val="auto"/>
                <w:sz w:val="24"/>
                <w:szCs w:val="24"/>
                <w:highlight w:val="none"/>
                <w:shd w:val="clear"/>
              </w:rPr>
              <w:t>DPI</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已分配收益倍数</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值大于0.3；</w:t>
            </w:r>
          </w:p>
          <w:p w14:paraId="4FED946E">
            <w:pPr>
              <w:pStyle w:val="10"/>
              <w:widowControl/>
              <w:numPr>
                <w:ilvl w:val="-1"/>
                <w:numId w:val="0"/>
              </w:numPr>
              <w:shd w:val="clear"/>
              <w:wordWrap w:val="0"/>
              <w:spacing w:beforeAutospacing="0" w:afterAutospacing="0" w:line="240" w:lineRule="auto"/>
              <w:ind w:firstLine="0"/>
              <w:rPr>
                <w:rFonts w:hint="eastAsia" w:ascii="仿宋_GB2312" w:hAnsi="仿宋_GB2312" w:eastAsia="仿宋_GB2312" w:cs="仿宋_GB2312"/>
                <w:color w:val="auto"/>
                <w:sz w:val="24"/>
                <w:szCs w:val="24"/>
                <w:highlight w:val="none"/>
                <w:shd w:val="clear"/>
              </w:rPr>
            </w:pPr>
            <w:r>
              <w:rPr>
                <w:rFonts w:hint="eastAsia" w:ascii="仿宋_GB2312" w:hAnsi="仿宋_GB2312" w:eastAsia="仿宋_GB2312" w:cs="仿宋_GB2312"/>
                <w:color w:val="auto"/>
                <w:sz w:val="24"/>
                <w:szCs w:val="24"/>
                <w:highlight w:val="none"/>
                <w:shd w:val="clear"/>
              </w:rPr>
              <w:t>2.</w:t>
            </w:r>
            <w:r>
              <w:rPr>
                <w:rFonts w:hint="eastAsia" w:ascii="仿宋_GB2312" w:hAnsi="仿宋_GB2312" w:eastAsia="仿宋_GB2312" w:cs="仿宋_GB2312"/>
                <w:color w:val="auto"/>
                <w:sz w:val="24"/>
                <w:szCs w:val="24"/>
                <w:highlight w:val="none"/>
                <w:shd w:val="clear"/>
                <w:lang w:val="en-US" w:eastAsia="zh-CN"/>
              </w:rPr>
              <w:t>成立之日起6</w:t>
            </w:r>
            <w:r>
              <w:rPr>
                <w:rFonts w:hint="eastAsia" w:ascii="仿宋_GB2312" w:hAnsi="仿宋_GB2312" w:eastAsia="仿宋_GB2312" w:cs="仿宋_GB2312"/>
                <w:color w:val="auto"/>
                <w:sz w:val="24"/>
                <w:szCs w:val="24"/>
                <w:highlight w:val="none"/>
                <w:shd w:val="clear"/>
              </w:rPr>
              <w:t>年</w:t>
            </w:r>
            <w:r>
              <w:rPr>
                <w:rFonts w:hint="eastAsia" w:ascii="仿宋_GB2312" w:hAnsi="仿宋_GB2312" w:eastAsia="仿宋_GB2312" w:cs="仿宋_GB2312"/>
                <w:color w:val="auto"/>
                <w:sz w:val="24"/>
                <w:szCs w:val="24"/>
                <w:highlight w:val="none"/>
                <w:shd w:val="clear"/>
                <w:lang w:val="en-US" w:eastAsia="zh-CN"/>
              </w:rPr>
              <w:t>期末</w:t>
            </w:r>
            <w:r>
              <w:rPr>
                <w:rFonts w:hint="eastAsia" w:ascii="仿宋_GB2312" w:hAnsi="仿宋_GB2312" w:eastAsia="仿宋_GB2312" w:cs="仿宋_GB2312"/>
                <w:color w:val="auto"/>
                <w:sz w:val="24"/>
                <w:szCs w:val="24"/>
                <w:highlight w:val="none"/>
                <w:shd w:val="clear"/>
              </w:rPr>
              <w:t>TVPI</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总收益倍数</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rPr>
              <w:t>大于150%。</w:t>
            </w:r>
          </w:p>
          <w:p w14:paraId="02A4A373">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lang w:val="en-US" w:eastAsia="zh-CN"/>
              </w:rPr>
              <w:t>案例</w:t>
            </w:r>
            <w:r>
              <w:rPr>
                <w:rFonts w:hint="eastAsia" w:ascii="仿宋_GB2312" w:hAnsi="仿宋_GB2312" w:eastAsia="仿宋_GB2312" w:cs="仿宋_GB2312"/>
                <w:color w:val="auto"/>
                <w:sz w:val="24"/>
                <w:szCs w:val="24"/>
                <w:highlight w:val="none"/>
                <w:shd w:val="clear"/>
              </w:rPr>
              <w:t>基金应在2017年1月1日之后设立，成立不足</w:t>
            </w:r>
            <w:r>
              <w:rPr>
                <w:rFonts w:hint="eastAsia" w:ascii="仿宋_GB2312" w:hAnsi="仿宋_GB2312" w:eastAsia="仿宋_GB2312" w:cs="仿宋_GB2312"/>
                <w:color w:val="auto"/>
                <w:sz w:val="24"/>
                <w:szCs w:val="24"/>
                <w:highlight w:val="none"/>
                <w:shd w:val="clear"/>
                <w:lang w:val="en-US" w:eastAsia="zh-CN"/>
              </w:rPr>
              <w:t>6</w:t>
            </w:r>
            <w:r>
              <w:rPr>
                <w:rFonts w:hint="eastAsia" w:ascii="仿宋_GB2312" w:hAnsi="仿宋_GB2312" w:eastAsia="仿宋_GB2312" w:cs="仿宋_GB2312"/>
                <w:color w:val="auto"/>
                <w:sz w:val="24"/>
                <w:szCs w:val="24"/>
                <w:highlight w:val="none"/>
                <w:shd w:val="clear"/>
              </w:rPr>
              <w:t>年的</w:t>
            </w:r>
            <w:r>
              <w:rPr>
                <w:rFonts w:hint="eastAsia" w:ascii="仿宋_GB2312" w:hAnsi="仿宋_GB2312" w:eastAsia="仿宋_GB2312" w:cs="仿宋_GB2312"/>
                <w:color w:val="auto"/>
                <w:sz w:val="24"/>
                <w:szCs w:val="24"/>
                <w:highlight w:val="none"/>
                <w:shd w:val="clear"/>
                <w:lang w:val="en-US" w:eastAsia="zh-CN"/>
              </w:rPr>
              <w:t>基金</w:t>
            </w:r>
            <w:r>
              <w:rPr>
                <w:rFonts w:hint="eastAsia" w:ascii="仿宋_GB2312" w:hAnsi="仿宋_GB2312" w:eastAsia="仿宋_GB2312" w:cs="仿宋_GB2312"/>
                <w:color w:val="auto"/>
                <w:sz w:val="24"/>
                <w:szCs w:val="24"/>
                <w:highlight w:val="none"/>
                <w:shd w:val="clear"/>
                <w:lang w:eastAsia="zh-CN"/>
              </w:rPr>
              <w:t>，</w:t>
            </w:r>
            <w:r>
              <w:rPr>
                <w:rFonts w:hint="eastAsia" w:ascii="仿宋_GB2312" w:hAnsi="仿宋_GB2312" w:eastAsia="仿宋_GB2312" w:cs="仿宋_GB2312"/>
                <w:color w:val="auto"/>
                <w:sz w:val="24"/>
                <w:szCs w:val="24"/>
                <w:highlight w:val="none"/>
                <w:shd w:val="clear"/>
                <w:lang w:val="en-US" w:eastAsia="zh-CN"/>
              </w:rPr>
              <w:t>认定时点为申请机构向母基金提出申请之日的时点。</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053B937">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9EA8723">
            <w:pPr>
              <w:widowControl/>
              <w:wordWrap w:val="0"/>
              <w:jc w:val="left"/>
              <w:rPr>
                <w:rFonts w:hint="eastAsia" w:ascii="仿宋_GB2312" w:hAnsi="仿宋_GB2312" w:eastAsia="仿宋_GB2312" w:cs="仿宋_GB2312"/>
                <w:color w:val="auto"/>
                <w:sz w:val="24"/>
                <w:szCs w:val="24"/>
                <w:highlight w:val="none"/>
              </w:rPr>
            </w:pPr>
          </w:p>
        </w:tc>
      </w:tr>
      <w:tr w14:paraId="2996E4E4">
        <w:tblPrEx>
          <w:tblCellMar>
            <w:top w:w="15" w:type="dxa"/>
            <w:left w:w="15" w:type="dxa"/>
            <w:bottom w:w="15" w:type="dxa"/>
            <w:right w:w="15" w:type="dxa"/>
          </w:tblCellMar>
        </w:tblPrEx>
        <w:trPr>
          <w:trHeight w:val="1156" w:hRule="atLeast"/>
          <w:jc w:val="center"/>
        </w:trPr>
        <w:tc>
          <w:tcPr>
            <w:tcW w:w="773" w:type="dxa"/>
            <w:tcBorders>
              <w:top w:val="single" w:color="auto" w:sz="4"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14:paraId="35F36629">
            <w:pPr>
              <w:pStyle w:val="10"/>
              <w:widowControl/>
              <w:wordWrap w:val="0"/>
              <w:spacing w:beforeAutospacing="0" w:afterAutospacing="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w:t>
            </w:r>
          </w:p>
        </w:tc>
        <w:tc>
          <w:tcPr>
            <w:tcW w:w="6946" w:type="dxa"/>
            <w:tcBorders>
              <w:top w:val="single" w:color="444444" w:sz="6" w:space="0"/>
              <w:left w:val="single" w:color="444444" w:sz="6" w:space="0"/>
              <w:bottom w:val="single" w:color="auto" w:sz="4" w:space="0"/>
              <w:right w:val="single" w:color="444444" w:sz="6" w:space="0"/>
            </w:tcBorders>
            <w:shd w:val="clear" w:color="auto" w:fill="FFFFFF"/>
            <w:tcMar>
              <w:top w:w="0" w:type="dxa"/>
              <w:left w:w="0" w:type="dxa"/>
              <w:bottom w:w="0" w:type="dxa"/>
              <w:right w:w="0" w:type="dxa"/>
            </w:tcMar>
            <w:vAlign w:val="center"/>
          </w:tcPr>
          <w:p w14:paraId="357701BD">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子基金管理机构至少有3名具备3年以上股权投资管理经验的高级管理人员；管理团队主要成员未有受过行政主管机关或司法机关处罚的不良记录。</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ED600F9">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051DFCD">
            <w:pPr>
              <w:widowControl/>
              <w:wordWrap w:val="0"/>
              <w:jc w:val="left"/>
              <w:rPr>
                <w:rFonts w:hint="eastAsia" w:ascii="仿宋_GB2312" w:hAnsi="仿宋_GB2312" w:eastAsia="仿宋_GB2312" w:cs="仿宋_GB2312"/>
                <w:color w:val="auto"/>
                <w:sz w:val="24"/>
                <w:szCs w:val="24"/>
                <w:highlight w:val="none"/>
              </w:rPr>
            </w:pPr>
          </w:p>
        </w:tc>
      </w:tr>
      <w:tr w14:paraId="6DF71058">
        <w:tblPrEx>
          <w:tblCellMar>
            <w:top w:w="15" w:type="dxa"/>
            <w:left w:w="15" w:type="dxa"/>
            <w:bottom w:w="15" w:type="dxa"/>
            <w:right w:w="15" w:type="dxa"/>
          </w:tblCellMar>
        </w:tblPrEx>
        <w:trPr>
          <w:trHeight w:val="3430" w:hRule="atLeast"/>
          <w:jc w:val="center"/>
        </w:trPr>
        <w:tc>
          <w:tcPr>
            <w:tcW w:w="773" w:type="dxa"/>
            <w:tcBorders>
              <w:top w:val="single" w:color="auto" w:sz="4"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9CBD467">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投资能力</w:t>
            </w:r>
          </w:p>
        </w:tc>
        <w:tc>
          <w:tcPr>
            <w:tcW w:w="6946" w:type="dxa"/>
            <w:tcBorders>
              <w:top w:val="single" w:color="auto" w:sz="2"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FADB707">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管理团队需具备丰富的项目投资经验和较好的过往投资业绩，对于投资能力的认定，管理团队应具备符合以下条件的项目投资案例（至少三个）：</w:t>
            </w:r>
          </w:p>
          <w:p w14:paraId="4A79D095">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（一）项目的投资金额为1000万元以上，且管理团队至少有一名核心成员主导该项目投资；且</w:t>
            </w:r>
          </w:p>
          <w:p w14:paraId="12C398B0">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（二）项目表现良好，符合以下任一投资业绩条件：</w:t>
            </w:r>
          </w:p>
          <w:p w14:paraId="138C2EC5">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1.2021年1月1日之后退出，退出时的投资回报率超过100%；</w:t>
            </w:r>
          </w:p>
          <w:p w14:paraId="1E855309">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2.2021年1月1日之后完成A股（主板/创业板/科创板）IPO或重组上市。</w:t>
            </w:r>
          </w:p>
          <w:p w14:paraId="438AC1DC">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管理团队多个成员参与的同一项目不累计计算。</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74EEE2E">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149EFEE">
            <w:pPr>
              <w:widowControl/>
              <w:wordWrap w:val="0"/>
              <w:jc w:val="left"/>
              <w:rPr>
                <w:rFonts w:hint="eastAsia" w:ascii="仿宋_GB2312" w:hAnsi="仿宋_GB2312" w:eastAsia="仿宋_GB2312" w:cs="仿宋_GB2312"/>
                <w:color w:val="auto"/>
                <w:sz w:val="24"/>
                <w:szCs w:val="24"/>
                <w:highlight w:val="none"/>
              </w:rPr>
            </w:pPr>
          </w:p>
        </w:tc>
      </w:tr>
      <w:tr w14:paraId="777D344B">
        <w:tblPrEx>
          <w:tblCellMar>
            <w:top w:w="15" w:type="dxa"/>
            <w:left w:w="15" w:type="dxa"/>
            <w:bottom w:w="15" w:type="dxa"/>
            <w:right w:w="15" w:type="dxa"/>
          </w:tblCellMar>
        </w:tblPrEx>
        <w:trPr>
          <w:trHeight w:val="1086" w:hRule="atLeast"/>
          <w:jc w:val="center"/>
        </w:trPr>
        <w:tc>
          <w:tcPr>
            <w:tcW w:w="773"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A1A1F5">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管理机制</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C8B7B6D">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子基金管理机构有良好的内部治理结构和风险控制制度；健全的股权投资管理和风险控制流程以及规范的项目遴选机制和投资决策机制。</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ACD2CA0">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43928C7">
            <w:pPr>
              <w:widowControl/>
              <w:wordWrap w:val="0"/>
              <w:jc w:val="left"/>
              <w:rPr>
                <w:rFonts w:hint="eastAsia" w:ascii="仿宋_GB2312" w:hAnsi="仿宋_GB2312" w:eastAsia="仿宋_GB2312" w:cs="仿宋_GB2312"/>
                <w:color w:val="auto"/>
                <w:sz w:val="24"/>
                <w:szCs w:val="24"/>
                <w:highlight w:val="none"/>
              </w:rPr>
            </w:pPr>
          </w:p>
        </w:tc>
      </w:tr>
      <w:tr w14:paraId="789DE8D3">
        <w:tblPrEx>
          <w:tblCellMar>
            <w:top w:w="15" w:type="dxa"/>
            <w:left w:w="15" w:type="dxa"/>
            <w:bottom w:w="15" w:type="dxa"/>
            <w:right w:w="15" w:type="dxa"/>
          </w:tblCellMar>
        </w:tblPrEx>
        <w:trPr>
          <w:trHeight w:val="1800"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C548721">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D1D7BC2">
            <w:pPr>
              <w:pStyle w:val="10"/>
              <w:shd w:val="clear" w:color="auto" w:fill="FFFFFF"/>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bidi="ar"/>
              </w:rPr>
              <w:t>子基金采取市场化机制运作，由子基金管理机构依据合伙协议（或公司章程）等相关约定进行投资决策。</w:t>
            </w:r>
            <w:r>
              <w:rPr>
                <w:rFonts w:hint="eastAsia" w:ascii="仿宋_GB2312" w:hAnsi="仿宋_GB2312" w:eastAsia="仿宋_GB2312" w:cs="仿宋_GB2312"/>
                <w:color w:val="auto"/>
                <w:sz w:val="24"/>
                <w:szCs w:val="24"/>
                <w:highlight w:val="none"/>
                <w:shd w:val="clear" w:color="auto" w:fill="FFFFFF"/>
              </w:rPr>
              <w:t>子基金须定期向母基金提交子基金运营报告、经审计的子基金财务报告和银行托管报告、投决会决策记录及其他合规材料备案等，并配合母基金相关合规工作。母基金视工作需要可委托专业机构对子基金进行审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7EAC0AA">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CB4345">
            <w:pPr>
              <w:widowControl/>
              <w:wordWrap w:val="0"/>
              <w:jc w:val="left"/>
              <w:rPr>
                <w:rFonts w:hint="eastAsia" w:ascii="仿宋_GB2312" w:hAnsi="仿宋_GB2312" w:eastAsia="仿宋_GB2312" w:cs="仿宋_GB2312"/>
                <w:color w:val="auto"/>
                <w:sz w:val="24"/>
                <w:szCs w:val="24"/>
                <w:highlight w:val="none"/>
              </w:rPr>
            </w:pPr>
          </w:p>
        </w:tc>
      </w:tr>
      <w:tr w14:paraId="7FDDACF2">
        <w:tblPrEx>
          <w:tblCellMar>
            <w:top w:w="15" w:type="dxa"/>
            <w:left w:w="15" w:type="dxa"/>
            <w:bottom w:w="15" w:type="dxa"/>
            <w:right w:w="15" w:type="dxa"/>
          </w:tblCellMar>
        </w:tblPrEx>
        <w:trPr>
          <w:trHeight w:val="879" w:hRule="atLeast"/>
          <w:jc w:val="center"/>
        </w:trPr>
        <w:tc>
          <w:tcPr>
            <w:tcW w:w="77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625FC15">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提前退出权</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07959F">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接受母基金提前退出权，并按照《</w:t>
            </w:r>
            <w:r>
              <w:rPr>
                <w:rFonts w:hint="eastAsia" w:ascii="仿宋_GB2312" w:hAnsi="仿宋_GB2312" w:eastAsia="仿宋_GB2312" w:cs="仿宋_GB2312"/>
                <w:color w:val="auto"/>
                <w:sz w:val="24"/>
                <w:szCs w:val="24"/>
                <w:highlight w:val="none"/>
                <w:shd w:val="clear" w:color="auto" w:fill="FFFFFF"/>
              </w:rPr>
              <w:t>广东南控一号产业投资合伙企业（有限合伙）子基金管理机构定向申请实施办法</w:t>
            </w:r>
            <w:r>
              <w:rPr>
                <w:rFonts w:hint="eastAsia" w:ascii="仿宋_GB2312" w:hAnsi="仿宋_GB2312" w:eastAsia="仿宋_GB2312" w:cs="仿宋_GB2312"/>
                <w:color w:val="auto"/>
                <w:sz w:val="24"/>
                <w:szCs w:val="24"/>
                <w:highlight w:val="none"/>
              </w:rPr>
              <w:t>》的规定执行。</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4310BF">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B4676E8">
            <w:pPr>
              <w:widowControl/>
              <w:wordWrap w:val="0"/>
              <w:jc w:val="left"/>
              <w:rPr>
                <w:rFonts w:hint="eastAsia" w:ascii="仿宋_GB2312" w:hAnsi="仿宋_GB2312" w:eastAsia="仿宋_GB2312" w:cs="仿宋_GB2312"/>
                <w:color w:val="auto"/>
                <w:sz w:val="24"/>
                <w:szCs w:val="24"/>
                <w:highlight w:val="none"/>
              </w:rPr>
            </w:pPr>
          </w:p>
        </w:tc>
      </w:tr>
      <w:tr w14:paraId="5F66C9E7">
        <w:tblPrEx>
          <w:tblCellMar>
            <w:top w:w="15" w:type="dxa"/>
            <w:left w:w="15" w:type="dxa"/>
            <w:bottom w:w="15" w:type="dxa"/>
            <w:right w:w="15" w:type="dxa"/>
          </w:tblCellMar>
        </w:tblPrEx>
        <w:trPr>
          <w:trHeight w:val="432" w:hRule="atLeast"/>
          <w:jc w:val="center"/>
        </w:trPr>
        <w:tc>
          <w:tcPr>
            <w:tcW w:w="8440" w:type="dxa"/>
            <w:gridSpan w:val="4"/>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714EFD">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三、子基金投资限制</w:t>
            </w:r>
          </w:p>
        </w:tc>
      </w:tr>
      <w:tr w14:paraId="7C5FCAB3">
        <w:tblPrEx>
          <w:tblCellMar>
            <w:top w:w="15" w:type="dxa"/>
            <w:left w:w="15" w:type="dxa"/>
            <w:bottom w:w="15" w:type="dxa"/>
            <w:right w:w="15" w:type="dxa"/>
          </w:tblCellMar>
        </w:tblPrEx>
        <w:trPr>
          <w:trHeight w:val="462" w:hRule="atLeast"/>
          <w:jc w:val="center"/>
        </w:trPr>
        <w:tc>
          <w:tcPr>
            <w:tcW w:w="773" w:type="dxa"/>
            <w:vMerge w:val="restart"/>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A9ACA8">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子基金不得从事业务</w:t>
            </w: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D7A892B">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rPr>
              <w:t>从事股权质押、担保、抵押、委托贷款等业务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6BB5C8">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D43A02E">
            <w:pPr>
              <w:widowControl/>
              <w:wordWrap w:val="0"/>
              <w:jc w:val="left"/>
              <w:rPr>
                <w:rFonts w:hint="eastAsia" w:ascii="仿宋_GB2312" w:hAnsi="仿宋_GB2312" w:eastAsia="仿宋_GB2312" w:cs="仿宋_GB2312"/>
                <w:color w:val="auto"/>
                <w:sz w:val="24"/>
                <w:szCs w:val="24"/>
                <w:highlight w:val="none"/>
              </w:rPr>
            </w:pPr>
          </w:p>
        </w:tc>
      </w:tr>
      <w:tr w14:paraId="563C7320">
        <w:tblPrEx>
          <w:tblCellMar>
            <w:top w:w="15" w:type="dxa"/>
            <w:left w:w="15" w:type="dxa"/>
            <w:bottom w:w="15" w:type="dxa"/>
            <w:right w:w="15" w:type="dxa"/>
          </w:tblCellMar>
        </w:tblPrEx>
        <w:trPr>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01AC017">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FA9595">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投资期货、房地产、证券投资基金、企业债、信托产品、非保本型理财产品（通过银行存款、国债、货币基金、固定收益类理财产品等方式进行临时投资除外）、保险计划及其他金融衍生品</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1A9A64">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0EF1DC6">
            <w:pPr>
              <w:widowControl/>
              <w:wordWrap w:val="0"/>
              <w:jc w:val="left"/>
              <w:rPr>
                <w:rFonts w:hint="eastAsia" w:ascii="仿宋_GB2312" w:hAnsi="仿宋_GB2312" w:eastAsia="仿宋_GB2312" w:cs="仿宋_GB2312"/>
                <w:color w:val="auto"/>
                <w:sz w:val="24"/>
                <w:szCs w:val="24"/>
                <w:highlight w:val="none"/>
              </w:rPr>
            </w:pPr>
          </w:p>
        </w:tc>
      </w:tr>
      <w:tr w14:paraId="73B7F116">
        <w:tblPrEx>
          <w:tblCellMar>
            <w:top w:w="15" w:type="dxa"/>
            <w:left w:w="15" w:type="dxa"/>
            <w:bottom w:w="15" w:type="dxa"/>
            <w:right w:w="15" w:type="dxa"/>
          </w:tblCellMar>
        </w:tblPrEx>
        <w:trPr>
          <w:trHeight w:val="38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0EBAAAB">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6B3BF41">
            <w:pPr>
              <w:pStyle w:val="10"/>
              <w:widowControl/>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向任何第三方提供赞助、捐赠（经批准的公益性捐赠除外）</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59605F1">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76E173E">
            <w:pPr>
              <w:widowControl/>
              <w:wordWrap w:val="0"/>
              <w:jc w:val="left"/>
              <w:rPr>
                <w:rFonts w:hint="eastAsia" w:ascii="仿宋_GB2312" w:hAnsi="仿宋_GB2312" w:eastAsia="仿宋_GB2312" w:cs="仿宋_GB2312"/>
                <w:color w:val="auto"/>
                <w:sz w:val="24"/>
                <w:szCs w:val="24"/>
                <w:highlight w:val="none"/>
              </w:rPr>
            </w:pPr>
          </w:p>
        </w:tc>
      </w:tr>
      <w:tr w14:paraId="7D103E84">
        <w:tblPrEx>
          <w:tblCellMar>
            <w:top w:w="15" w:type="dxa"/>
            <w:left w:w="15" w:type="dxa"/>
            <w:bottom w:w="15" w:type="dxa"/>
            <w:right w:w="15" w:type="dxa"/>
          </w:tblCellMar>
        </w:tblPrEx>
        <w:trPr>
          <w:trHeight w:val="789"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DCE87BF">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1A834D">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吸收或变相吸收存款，或向第三方提供贷款和资金拆借（以股权投资为目的可转债除外，但不得从事明股实债）</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B79B551">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B40F8E7">
            <w:pPr>
              <w:widowControl/>
              <w:wordWrap w:val="0"/>
              <w:jc w:val="left"/>
              <w:rPr>
                <w:rFonts w:hint="eastAsia" w:ascii="仿宋_GB2312" w:hAnsi="仿宋_GB2312" w:eastAsia="仿宋_GB2312" w:cs="仿宋_GB2312"/>
                <w:color w:val="auto"/>
                <w:sz w:val="24"/>
                <w:szCs w:val="24"/>
                <w:highlight w:val="none"/>
              </w:rPr>
            </w:pPr>
          </w:p>
        </w:tc>
      </w:tr>
      <w:tr w14:paraId="0CBEE299">
        <w:tblPrEx>
          <w:shd w:val="clear" w:color="auto" w:fill="FFFFFF"/>
          <w:tblCellMar>
            <w:top w:w="15" w:type="dxa"/>
            <w:left w:w="15" w:type="dxa"/>
            <w:bottom w:w="15" w:type="dxa"/>
            <w:right w:w="15" w:type="dxa"/>
          </w:tblCellMar>
        </w:tblPrEx>
        <w:trPr>
          <w:trHeight w:val="41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8062602">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E3D56BA">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进行承担无限连带责任的对外投资</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8C6D011">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919D3B0">
            <w:pPr>
              <w:widowControl/>
              <w:wordWrap w:val="0"/>
              <w:jc w:val="left"/>
              <w:rPr>
                <w:rFonts w:hint="eastAsia" w:ascii="仿宋_GB2312" w:hAnsi="仿宋_GB2312" w:eastAsia="仿宋_GB2312" w:cs="仿宋_GB2312"/>
                <w:color w:val="auto"/>
                <w:sz w:val="24"/>
                <w:szCs w:val="24"/>
                <w:highlight w:val="none"/>
              </w:rPr>
            </w:pPr>
          </w:p>
        </w:tc>
      </w:tr>
      <w:tr w14:paraId="24F2C307">
        <w:tblPrEx>
          <w:tblCellMar>
            <w:top w:w="15" w:type="dxa"/>
            <w:left w:w="15" w:type="dxa"/>
            <w:bottom w:w="15" w:type="dxa"/>
            <w:right w:w="15" w:type="dxa"/>
          </w:tblCellMar>
        </w:tblPrEx>
        <w:trPr>
          <w:trHeight w:val="53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84E521">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7C91B2E">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发行信托或集合理财产品募集资金</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D0A7B40">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AA046EB">
            <w:pPr>
              <w:widowControl/>
              <w:wordWrap w:val="0"/>
              <w:jc w:val="left"/>
              <w:rPr>
                <w:rFonts w:hint="eastAsia" w:ascii="仿宋_GB2312" w:hAnsi="仿宋_GB2312" w:eastAsia="仿宋_GB2312" w:cs="仿宋_GB2312"/>
                <w:color w:val="auto"/>
                <w:sz w:val="24"/>
                <w:szCs w:val="24"/>
                <w:highlight w:val="none"/>
              </w:rPr>
            </w:pPr>
          </w:p>
        </w:tc>
      </w:tr>
      <w:tr w14:paraId="68290A4A">
        <w:tblPrEx>
          <w:shd w:val="clear" w:color="auto" w:fill="FFFFFF"/>
          <w:tblCellMar>
            <w:top w:w="15" w:type="dxa"/>
            <w:left w:w="15" w:type="dxa"/>
            <w:bottom w:w="15" w:type="dxa"/>
            <w:right w:w="15" w:type="dxa"/>
          </w:tblCellMar>
        </w:tblPrEx>
        <w:trPr>
          <w:trHeight w:val="447" w:hRule="atLeast"/>
          <w:jc w:val="center"/>
        </w:trPr>
        <w:tc>
          <w:tcPr>
            <w:tcW w:w="773" w:type="dxa"/>
            <w:vMerge w:val="continue"/>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FE46ACB">
            <w:pPr>
              <w:rPr>
                <w:rFonts w:hint="eastAsia" w:ascii="仿宋_GB2312" w:hAnsi="仿宋_GB2312" w:eastAsia="仿宋_GB2312" w:cs="仿宋_GB2312"/>
                <w:color w:val="auto"/>
                <w:sz w:val="24"/>
                <w:szCs w:val="24"/>
                <w:highlight w:val="none"/>
              </w:rPr>
            </w:pPr>
          </w:p>
        </w:tc>
        <w:tc>
          <w:tcPr>
            <w:tcW w:w="6946"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7338494">
            <w:pPr>
              <w:widowControl/>
              <w:wordWrap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其他国家法律法规禁止从事的业务</w:t>
            </w:r>
          </w:p>
        </w:tc>
        <w:tc>
          <w:tcPr>
            <w:tcW w:w="38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E5F2632">
            <w:pPr>
              <w:widowControl/>
              <w:wordWrap w:val="0"/>
              <w:jc w:val="left"/>
              <w:rPr>
                <w:rFonts w:hint="eastAsia" w:ascii="仿宋_GB2312" w:hAnsi="仿宋_GB2312" w:eastAsia="仿宋_GB2312" w:cs="仿宋_GB2312"/>
                <w:color w:val="auto"/>
                <w:sz w:val="24"/>
                <w:szCs w:val="24"/>
                <w:highlight w:val="none"/>
              </w:rPr>
            </w:pPr>
          </w:p>
        </w:tc>
        <w:tc>
          <w:tcPr>
            <w:tcW w:w="333"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F860A57">
            <w:pPr>
              <w:widowControl/>
              <w:wordWrap w:val="0"/>
              <w:jc w:val="left"/>
              <w:rPr>
                <w:rFonts w:hint="eastAsia" w:ascii="仿宋_GB2312" w:hAnsi="仿宋_GB2312" w:eastAsia="仿宋_GB2312" w:cs="仿宋_GB2312"/>
                <w:color w:val="auto"/>
                <w:sz w:val="24"/>
                <w:szCs w:val="24"/>
                <w:highlight w:val="none"/>
              </w:rPr>
            </w:pPr>
          </w:p>
        </w:tc>
      </w:tr>
    </w:tbl>
    <w:p w14:paraId="683AA645">
      <w:pPr>
        <w:pStyle w:val="10"/>
        <w:widowControl/>
        <w:shd w:val="clear" w:color="auto" w:fill="FFFFFF"/>
        <w:wordWrap w:val="0"/>
        <w:spacing w:beforeAutospacing="0" w:afterAutospacing="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注：拟申请母基金参股的子基金应开展合规性自查，并在是否符合一栏填写“√”或“х”，需要进一步说明的事项请填写在备注栏。 </w:t>
      </w:r>
    </w:p>
    <w:p w14:paraId="0BACC2A5">
      <w:pPr>
        <w:pStyle w:val="10"/>
        <w:widowControl/>
        <w:shd w:val="clear" w:color="auto" w:fill="FFFFFF"/>
        <w:wordWrap w:val="0"/>
        <w:spacing w:beforeAutospacing="0" w:afterAutospacing="0"/>
        <w:rPr>
          <w:rFonts w:ascii="Helvetica" w:hAnsi="Helvetica" w:eastAsia="Helvetica" w:cs="Helvetica"/>
          <w:color w:val="auto"/>
          <w:highlight w:val="none"/>
          <w:shd w:val="clear" w:color="auto" w:fill="FFFFFF"/>
        </w:rPr>
      </w:pPr>
      <w:r>
        <w:rPr>
          <w:rFonts w:ascii="Helvetica" w:hAnsi="Helvetica" w:eastAsia="Helvetica" w:cs="Helvetica"/>
          <w:color w:val="auto"/>
          <w:highlight w:val="none"/>
          <w:shd w:val="clear" w:color="auto" w:fill="FFFFFF"/>
        </w:rPr>
        <w:t> </w:t>
      </w:r>
    </w:p>
    <w:p w14:paraId="55C7A0B7">
      <w:pPr>
        <w:rPr>
          <w:rFonts w:ascii="Helvetica" w:hAnsi="Helvetica" w:eastAsia="Helvetica" w:cs="Helvetica"/>
          <w:color w:val="auto"/>
          <w:highlight w:val="none"/>
          <w:shd w:val="clear" w:color="auto" w:fill="FFFFFF"/>
        </w:rPr>
      </w:pPr>
      <w:r>
        <w:rPr>
          <w:rFonts w:ascii="Helvetica" w:hAnsi="Helvetica" w:eastAsia="Helvetica" w:cs="Helvetica"/>
          <w:color w:val="auto"/>
          <w:highlight w:val="none"/>
          <w:shd w:val="clear" w:color="auto" w:fill="FFFFFF"/>
        </w:rPr>
        <w:br w:type="page"/>
      </w:r>
    </w:p>
    <w:p w14:paraId="6E819146">
      <w:pPr>
        <w:pStyle w:val="10"/>
        <w:widowControl/>
        <w:shd w:val="clear" w:color="auto" w:fill="FFFFFF"/>
        <w:wordWrap w:val="0"/>
        <w:spacing w:beforeAutospacing="0" w:afterAutospacing="0"/>
        <w:rPr>
          <w:rFonts w:hint="eastAsia" w:ascii="黑体" w:hAnsi="黑体" w:eastAsia="黑体" w:cs="黑体"/>
          <w:color w:val="auto"/>
          <w:sz w:val="32"/>
          <w:szCs w:val="32"/>
          <w:highlight w:val="none"/>
          <w:lang w:eastAsia="zh-CN"/>
        </w:rPr>
      </w:pPr>
      <w:r>
        <w:rPr>
          <w:rStyle w:val="14"/>
          <w:rFonts w:hint="eastAsia" w:ascii="黑体" w:hAnsi="黑体" w:eastAsia="黑体" w:cs="黑体"/>
          <w:color w:val="auto"/>
          <w:sz w:val="32"/>
          <w:szCs w:val="32"/>
          <w:highlight w:val="none"/>
          <w:shd w:val="clear" w:color="auto" w:fill="FFFFFF"/>
        </w:rPr>
        <w:t>附件</w:t>
      </w:r>
      <w:r>
        <w:rPr>
          <w:rStyle w:val="14"/>
          <w:rFonts w:hint="eastAsia" w:ascii="黑体" w:hAnsi="黑体" w:eastAsia="黑体" w:cs="黑体"/>
          <w:color w:val="auto"/>
          <w:sz w:val="32"/>
          <w:szCs w:val="32"/>
          <w:highlight w:val="none"/>
          <w:shd w:val="clear" w:color="auto" w:fill="FFFFFF"/>
          <w:lang w:val="en-US" w:eastAsia="zh-CN"/>
        </w:rPr>
        <w:t>3</w:t>
      </w:r>
    </w:p>
    <w:p w14:paraId="32723891">
      <w:pPr>
        <w:pStyle w:val="10"/>
        <w:widowControl/>
        <w:shd w:val="clear" w:color="auto" w:fill="FFFFFF"/>
        <w:wordWrap w:val="0"/>
        <w:spacing w:beforeAutospacing="0" w:afterAutospacing="0"/>
        <w:jc w:val="center"/>
        <w:rPr>
          <w:rFonts w:hint="eastAsia" w:ascii="黑体" w:hAnsi="黑体" w:eastAsia="黑体" w:cs="黑体"/>
          <w:bCs/>
          <w:color w:val="auto"/>
          <w:sz w:val="32"/>
          <w:szCs w:val="32"/>
          <w:highlight w:val="none"/>
        </w:rPr>
      </w:pPr>
      <w:r>
        <w:rPr>
          <w:rStyle w:val="14"/>
          <w:rFonts w:hint="eastAsia" w:ascii="黑体" w:hAnsi="黑体" w:eastAsia="黑体" w:cs="黑体"/>
          <w:b w:val="0"/>
          <w:bCs/>
          <w:color w:val="auto"/>
          <w:sz w:val="32"/>
          <w:szCs w:val="32"/>
          <w:highlight w:val="none"/>
          <w:shd w:val="clear" w:color="auto" w:fill="FFFFFF"/>
        </w:rPr>
        <w:t>承诺函</w:t>
      </w:r>
    </w:p>
    <w:p w14:paraId="5DF72461">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47857C3F">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广东南控创业投资基金管理有限公司：</w:t>
      </w:r>
    </w:p>
    <w:p w14:paraId="48D1BA4E">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本机构目前正在向贵司申报广东南控一号产业投资合伙企业（有限合伙）（以下简称“母基金”）参与设立的基金（以下简称“基金”），现就基金申请设立相关事宜，作出以下说明和承诺：</w:t>
      </w:r>
    </w:p>
    <w:p w14:paraId="07A49137">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一、本机构理解《广东南控一号产业投资合伙企业（有限合伙）子基金管理机构定向申请实施办法》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14:paraId="0CAE7591">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二、本机构为在（XXXX国家或地区）依法设立并有效存续的（有限责任公司、股份有限公司、合伙企业、事业单位或XXXX其他法律主体）。</w:t>
      </w:r>
    </w:p>
    <w:p w14:paraId="3FD7BADA">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三、本机构承担基金的募资工作，承诺自</w:t>
      </w:r>
      <w:r>
        <w:rPr>
          <w:rFonts w:hint="eastAsia" w:ascii="仿宋_GB2312" w:hAnsi="仿宋_GB2312" w:eastAsia="仿宋_GB2312" w:cs="仿宋_GB2312"/>
          <w:color w:val="auto"/>
          <w:sz w:val="24"/>
          <w:szCs w:val="24"/>
          <w:highlight w:val="none"/>
          <w:shd w:val="clear" w:color="auto" w:fill="FFFFFF"/>
          <w:lang w:val="en-US" w:eastAsia="zh-CN"/>
        </w:rPr>
        <w:t>本</w:t>
      </w:r>
      <w:r>
        <w:rPr>
          <w:rFonts w:hint="eastAsia" w:ascii="仿宋_GB2312" w:hAnsi="仿宋_GB2312" w:eastAsia="仿宋_GB2312" w:cs="仿宋_GB2312"/>
          <w:color w:val="auto"/>
          <w:sz w:val="24"/>
          <w:szCs w:val="24"/>
          <w:highlight w:val="none"/>
        </w:rPr>
        <w:t>机构收到申报子基金入选通知之日</w:t>
      </w:r>
      <w:r>
        <w:rPr>
          <w:rFonts w:hint="eastAsia" w:ascii="仿宋_GB2312" w:hAnsi="仿宋_GB2312" w:eastAsia="仿宋_GB2312" w:cs="仿宋_GB2312"/>
          <w:color w:val="auto"/>
          <w:sz w:val="24"/>
          <w:szCs w:val="24"/>
          <w:highlight w:val="none"/>
          <w:lang w:val="en-US" w:eastAsia="zh-CN"/>
        </w:rPr>
        <w:t>起</w:t>
      </w:r>
      <w:r>
        <w:rPr>
          <w:rFonts w:hint="eastAsia" w:ascii="仿宋_GB2312" w:hAnsi="仿宋_GB2312" w:eastAsia="仿宋_GB2312" w:cs="仿宋_GB2312"/>
          <w:color w:val="auto"/>
          <w:sz w:val="24"/>
          <w:szCs w:val="24"/>
          <w:highlight w:val="none"/>
          <w:shd w:val="clear" w:color="auto" w:fill="FFFFFF"/>
          <w:lang w:val="en-US" w:eastAsia="zh-CN"/>
        </w:rPr>
        <w:t>6</w:t>
      </w:r>
      <w:r>
        <w:rPr>
          <w:rFonts w:hint="eastAsia" w:ascii="仿宋_GB2312" w:hAnsi="仿宋_GB2312" w:eastAsia="仿宋_GB2312" w:cs="仿宋_GB2312"/>
          <w:color w:val="auto"/>
          <w:sz w:val="24"/>
          <w:szCs w:val="24"/>
          <w:highlight w:val="none"/>
          <w:shd w:val="clear" w:color="auto" w:fill="FFFFFF"/>
        </w:rPr>
        <w:t>个月</w:t>
      </w:r>
      <w:r>
        <w:rPr>
          <w:rFonts w:hint="eastAsia" w:ascii="仿宋_GB2312" w:hAnsi="仿宋_GB2312" w:eastAsia="仿宋_GB2312" w:cs="仿宋_GB2312"/>
          <w:color w:val="auto"/>
          <w:sz w:val="24"/>
          <w:szCs w:val="24"/>
          <w:highlight w:val="none"/>
          <w:lang w:val="en-US" w:eastAsia="zh-CN"/>
        </w:rPr>
        <w:t>内</w:t>
      </w:r>
      <w:r>
        <w:rPr>
          <w:rFonts w:hint="eastAsia" w:ascii="仿宋_GB2312" w:hAnsi="仿宋_GB2312" w:eastAsia="仿宋_GB2312" w:cs="仿宋_GB2312"/>
          <w:color w:val="auto"/>
          <w:sz w:val="24"/>
          <w:szCs w:val="24"/>
          <w:highlight w:val="none"/>
          <w:shd w:val="clear" w:color="auto" w:fill="FFFFFF"/>
        </w:rPr>
        <w:t>完成基金合伙协议（或公司章程）的签署工作；如基金未在前述期限内完成合伙协议（或公司章程）的签署工作，本机构自愿放弃使用母基金承诺出资并承担相应的法律责任。</w:t>
      </w:r>
    </w:p>
    <w:p w14:paraId="7C021FF4">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本机构配合南控基金公司及其</w:t>
      </w:r>
      <w:r>
        <w:rPr>
          <w:rFonts w:hint="eastAsia" w:ascii="仿宋_GB2312" w:hAnsi="仿宋_GB2312" w:eastAsia="仿宋_GB2312" w:cs="仿宋_GB2312"/>
          <w:color w:val="auto"/>
          <w:sz w:val="24"/>
          <w:szCs w:val="24"/>
          <w:highlight w:val="none"/>
          <w:shd w:val="clear" w:color="auto" w:fill="FFFFFF"/>
          <w:lang w:val="en-US" w:eastAsia="zh-CN"/>
        </w:rPr>
        <w:t>委托</w:t>
      </w:r>
      <w:r>
        <w:rPr>
          <w:rFonts w:hint="eastAsia" w:ascii="仿宋_GB2312" w:hAnsi="仿宋_GB2312" w:eastAsia="仿宋_GB2312" w:cs="仿宋_GB2312"/>
          <w:color w:val="auto"/>
          <w:sz w:val="24"/>
          <w:szCs w:val="24"/>
          <w:highlight w:val="none"/>
          <w:shd w:val="clear" w:color="auto" w:fill="FFFFFF"/>
        </w:rPr>
        <w:t>的第三方</w:t>
      </w:r>
      <w:r>
        <w:rPr>
          <w:rFonts w:hint="eastAsia" w:ascii="仿宋_GB2312" w:hAnsi="仿宋_GB2312" w:eastAsia="仿宋_GB2312" w:cs="仿宋_GB2312"/>
          <w:color w:val="auto"/>
          <w:sz w:val="24"/>
          <w:szCs w:val="24"/>
          <w:highlight w:val="none"/>
          <w:shd w:val="clear" w:color="auto" w:fill="FFFFFF"/>
          <w:lang w:val="en-US" w:eastAsia="zh-CN"/>
        </w:rPr>
        <w:t>开展的</w:t>
      </w:r>
      <w:r>
        <w:rPr>
          <w:rFonts w:hint="eastAsia" w:ascii="仿宋_GB2312" w:hAnsi="仿宋_GB2312" w:eastAsia="仿宋_GB2312" w:cs="仿宋_GB2312"/>
          <w:color w:val="auto"/>
          <w:sz w:val="24"/>
          <w:szCs w:val="24"/>
          <w:highlight w:val="none"/>
          <w:shd w:val="clear" w:color="auto" w:fill="FFFFFF"/>
        </w:rPr>
        <w:t>尽调工作。</w:t>
      </w:r>
    </w:p>
    <w:p w14:paraId="2F481CFE">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lang w:val="en-US" w:eastAsia="zh-CN"/>
        </w:rPr>
        <w:t>五</w:t>
      </w:r>
      <w:r>
        <w:rPr>
          <w:rFonts w:hint="eastAsia" w:ascii="仿宋_GB2312" w:hAnsi="仿宋_GB2312" w:eastAsia="仿宋_GB2312" w:cs="仿宋_GB2312"/>
          <w:color w:val="auto"/>
          <w:sz w:val="24"/>
          <w:szCs w:val="24"/>
          <w:highlight w:val="none"/>
          <w:shd w:val="clear" w:color="auto" w:fill="FFFFFF"/>
        </w:rPr>
        <w:t>、因基金及其管理机构违反《广东南控一号产业投资合伙企业（有限合伙）子基金管理机构定向申请实施办法》的相关规定导致母基金强制退出而产生的风险和损失，本机构自愿与基金管理机构共同承担。</w:t>
      </w:r>
    </w:p>
    <w:p w14:paraId="1FD9BA5E">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lang w:val="en-US" w:eastAsia="zh-CN"/>
        </w:rPr>
        <w:t>六</w:t>
      </w:r>
      <w:r>
        <w:rPr>
          <w:rFonts w:hint="eastAsia" w:ascii="仿宋_GB2312" w:hAnsi="仿宋_GB2312" w:eastAsia="仿宋_GB2312" w:cs="仿宋_GB2312"/>
          <w:color w:val="auto"/>
          <w:sz w:val="24"/>
          <w:szCs w:val="24"/>
          <w:highlight w:val="none"/>
          <w:shd w:val="clear" w:color="auto" w:fill="FFFFFF"/>
        </w:rPr>
        <w:t>、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14:paraId="4D9F3CC8">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特此！</w:t>
      </w:r>
    </w:p>
    <w:p w14:paraId="5DFB7D20">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w:t>
      </w:r>
    </w:p>
    <w:p w14:paraId="55D97875">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w:t>
      </w:r>
    </w:p>
    <w:p w14:paraId="4797D804">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承诺人：（公章、骑缝章）</w:t>
      </w:r>
    </w:p>
    <w:p w14:paraId="651783EC">
      <w:pPr>
        <w:pStyle w:val="10"/>
        <w:widowControl/>
        <w:shd w:val="clear" w:color="auto" w:fill="FFFFFF"/>
        <w:wordWrap w:val="0"/>
        <w:spacing w:beforeAutospacing="0" w:afterAutospacing="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                                                                                                                        法定代表人/执行事务合伙人（签字）：</w:t>
      </w:r>
    </w:p>
    <w:p w14:paraId="1AFF52A2">
      <w:pPr>
        <w:pStyle w:val="10"/>
        <w:widowControl/>
        <w:shd w:val="clear" w:color="auto" w:fill="FFFFFF"/>
        <w:wordWrap w:val="0"/>
        <w:spacing w:beforeAutospacing="0" w:afterAutospacing="0"/>
        <w:rPr>
          <w:rFonts w:ascii="Helvetica" w:hAnsi="Helvetica" w:eastAsia="Helvetica" w:cs="Helvetica"/>
          <w:color w:val="auto"/>
          <w:highlight w:val="none"/>
        </w:rPr>
      </w:pPr>
      <w:r>
        <w:rPr>
          <w:rFonts w:hint="eastAsia" w:ascii="仿宋_GB2312" w:hAnsi="仿宋_GB2312" w:eastAsia="仿宋_GB2312" w:cs="仿宋_GB2312"/>
          <w:color w:val="auto"/>
          <w:sz w:val="24"/>
          <w:szCs w:val="24"/>
          <w:highlight w:val="none"/>
          <w:shd w:val="clear" w:color="auto" w:fill="FFFFFF"/>
        </w:rPr>
        <w:t xml:space="preserve">                                                                            </w:t>
      </w:r>
      <w:r>
        <w:rPr>
          <w:rFonts w:hint="eastAsia" w:ascii="仿宋_GB2312" w:hAnsi="仿宋_GB2312" w:eastAsia="仿宋_GB2312" w:cs="仿宋_GB2312"/>
          <w:color w:val="auto"/>
          <w:highlight w:val="none"/>
          <w:shd w:val="clear" w:color="auto" w:fill="FFFFFF"/>
        </w:rPr>
        <w:t>                                                      日期：    年   月  日</w:t>
      </w:r>
    </w:p>
    <w:p w14:paraId="397C5E04">
      <w:pPr>
        <w:rPr>
          <w:rStyle w:val="14"/>
          <w:rFonts w:hint="eastAsia" w:ascii="黑体" w:hAnsi="黑体" w:eastAsia="黑体" w:cs="黑体"/>
          <w:color w:val="auto"/>
          <w:sz w:val="32"/>
          <w:szCs w:val="32"/>
          <w:highlight w:val="none"/>
          <w:shd w:val="clear" w:color="auto" w:fill="FFFFFF"/>
        </w:rPr>
      </w:pPr>
      <w:r>
        <w:rPr>
          <w:rStyle w:val="14"/>
          <w:rFonts w:hint="eastAsia" w:ascii="黑体" w:hAnsi="黑体" w:eastAsia="黑体" w:cs="黑体"/>
          <w:color w:val="auto"/>
          <w:sz w:val="32"/>
          <w:szCs w:val="32"/>
          <w:highlight w:val="none"/>
          <w:shd w:val="clear" w:color="auto" w:fill="FFFFFF"/>
        </w:rPr>
        <w:br w:type="page"/>
      </w:r>
    </w:p>
    <w:p w14:paraId="5CE569E7">
      <w:pPr>
        <w:pStyle w:val="2"/>
        <w:numPr>
          <w:ilvl w:val="0"/>
          <w:numId w:val="0"/>
        </w:numPr>
        <w:autoSpaceDE/>
        <w:autoSpaceDN/>
        <w:adjustRightInd w:val="0"/>
        <w:snapToGrid w:val="0"/>
        <w:spacing w:after="0" w:line="560" w:lineRule="exact"/>
        <w:ind w:right="0" w:firstLine="0" w:firstLineChars="0"/>
        <w:jc w:val="both"/>
        <w:outlineLvl w:val="1"/>
        <w:rPr>
          <w:rFonts w:hint="eastAsia" w:ascii="黑体" w:hAnsi="黑体" w:eastAsia="黑体" w:cs="黑体"/>
          <w:b/>
          <w:bCs/>
          <w:sz w:val="32"/>
          <w:szCs w:val="32"/>
          <w:lang w:val="en-US" w:bidi="zh-CN"/>
        </w:rPr>
      </w:pPr>
      <w:bookmarkStart w:id="86" w:name="_Toc5690"/>
      <w:bookmarkStart w:id="87" w:name="_Toc6074"/>
      <w:bookmarkStart w:id="88" w:name="_Toc23626"/>
      <w:bookmarkStart w:id="89" w:name="_Toc18419"/>
      <w:bookmarkStart w:id="90" w:name="_Toc8527"/>
      <w:bookmarkStart w:id="91" w:name="_Toc27235"/>
      <w:bookmarkStart w:id="92" w:name="_Toc2591"/>
      <w:bookmarkStart w:id="93" w:name="_Toc3020"/>
      <w:bookmarkStart w:id="94" w:name="_Toc4980"/>
      <w:bookmarkStart w:id="95" w:name="_Toc13492"/>
      <w:bookmarkStart w:id="96" w:name="_Toc21421"/>
      <w:r>
        <w:rPr>
          <w:rFonts w:hint="eastAsia" w:ascii="黑体" w:hAnsi="黑体" w:eastAsia="黑体" w:cs="黑体"/>
          <w:b/>
          <w:bCs/>
          <w:sz w:val="32"/>
          <w:szCs w:val="32"/>
          <w:lang w:val="en-US" w:bidi="zh-CN"/>
        </w:rPr>
        <w:t>附件</w:t>
      </w:r>
      <w:bookmarkEnd w:id="86"/>
      <w:bookmarkEnd w:id="87"/>
      <w:r>
        <w:rPr>
          <w:rFonts w:hint="eastAsia" w:ascii="黑体" w:hAnsi="黑体" w:cs="黑体"/>
          <w:b/>
          <w:bCs/>
          <w:sz w:val="32"/>
          <w:szCs w:val="32"/>
          <w:lang w:val="en-US" w:bidi="zh-CN"/>
        </w:rPr>
        <w:t>4</w:t>
      </w:r>
    </w:p>
    <w:p w14:paraId="4CC6D6CF">
      <w:pPr>
        <w:autoSpaceDE w:val="0"/>
        <w:autoSpaceDN w:val="0"/>
        <w:spacing w:line="560" w:lineRule="exact"/>
        <w:ind w:right="0" w:firstLine="0" w:firstLineChars="0"/>
        <w:jc w:val="center"/>
        <w:outlineLvl w:val="1"/>
        <w:rPr>
          <w:rFonts w:hint="eastAsia" w:ascii="黑体" w:hAnsi="黑体" w:eastAsia="黑体" w:cs="黑体"/>
          <w:sz w:val="32"/>
          <w:szCs w:val="36"/>
          <w:lang w:val="zh-CN" w:bidi="zh-CN"/>
        </w:rPr>
      </w:pPr>
      <w:bookmarkStart w:id="97" w:name="_Toc6323"/>
      <w:bookmarkStart w:id="98" w:name="_Toc9378"/>
      <w:r>
        <w:rPr>
          <w:rFonts w:hint="eastAsia" w:ascii="黑体" w:hAnsi="黑体" w:eastAsia="黑体" w:cs="黑体"/>
          <w:sz w:val="32"/>
          <w:szCs w:val="36"/>
          <w:lang w:val="zh-CN" w:bidi="zh-CN"/>
        </w:rPr>
        <w:t>法定代表人授权书</w:t>
      </w:r>
      <w:bookmarkEnd w:id="88"/>
      <w:bookmarkEnd w:id="89"/>
      <w:bookmarkEnd w:id="90"/>
      <w:bookmarkEnd w:id="91"/>
      <w:bookmarkEnd w:id="92"/>
      <w:bookmarkEnd w:id="93"/>
      <w:bookmarkEnd w:id="94"/>
      <w:bookmarkEnd w:id="95"/>
      <w:bookmarkEnd w:id="96"/>
      <w:bookmarkEnd w:id="97"/>
      <w:bookmarkEnd w:id="98"/>
    </w:p>
    <w:p w14:paraId="24F6DF27">
      <w:pPr>
        <w:autoSpaceDE w:val="0"/>
        <w:autoSpaceDN w:val="0"/>
        <w:spacing w:line="560" w:lineRule="exact"/>
        <w:ind w:right="0" w:firstLine="600" w:firstLineChars="200"/>
        <w:jc w:val="both"/>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本授权书声明：</w:t>
      </w:r>
      <w:r>
        <w:rPr>
          <w:rFonts w:hint="eastAsia" w:ascii="仿宋_GB2312" w:hAnsi="仿宋_GB2312" w:eastAsia="仿宋_GB2312" w:cs="仿宋_GB2312"/>
          <w:sz w:val="30"/>
          <w:szCs w:val="30"/>
          <w:lang w:bidi="zh-CN"/>
        </w:rPr>
        <w:t>XX</w:t>
      </w:r>
      <w:r>
        <w:rPr>
          <w:rFonts w:hint="eastAsia" w:ascii="仿宋_GB2312" w:hAnsi="仿宋_GB2312" w:eastAsia="仿宋_GB2312" w:cs="仿宋_GB2312"/>
          <w:sz w:val="30"/>
          <w:szCs w:val="30"/>
          <w:lang w:val="zh-CN" w:bidi="zh-CN"/>
        </w:rPr>
        <w:t>为</w:t>
      </w:r>
      <w:r>
        <w:rPr>
          <w:rFonts w:hint="eastAsia" w:ascii="仿宋_GB2312" w:hAnsi="仿宋_GB2312" w:eastAsia="仿宋_GB2312" w:cs="仿宋_GB2312"/>
          <w:sz w:val="30"/>
          <w:szCs w:val="30"/>
          <w:lang w:bidi="zh-CN"/>
        </w:rPr>
        <w:t>XX</w:t>
      </w:r>
      <w:r>
        <w:rPr>
          <w:rFonts w:hint="eastAsia" w:ascii="仿宋_GB2312" w:hAnsi="仿宋_GB2312" w:eastAsia="仿宋_GB2312" w:cs="仿宋_GB2312"/>
          <w:sz w:val="30"/>
          <w:szCs w:val="30"/>
          <w:lang w:val="zh-CN" w:bidi="zh-CN"/>
        </w:rPr>
        <w:t>公司</w:t>
      </w:r>
      <w:r>
        <w:rPr>
          <w:rFonts w:hint="eastAsia" w:ascii="仿宋_GB2312" w:hAnsi="仿宋_GB2312" w:eastAsia="仿宋_GB2312" w:cs="仿宋_GB2312"/>
          <w:sz w:val="30"/>
          <w:szCs w:val="30"/>
          <w:lang w:bidi="zh-CN"/>
        </w:rPr>
        <w:t>的</w:t>
      </w:r>
      <w:r>
        <w:rPr>
          <w:rFonts w:hint="eastAsia" w:ascii="仿宋_GB2312" w:hAnsi="仿宋_GB2312" w:eastAsia="仿宋_GB2312" w:cs="仿宋_GB2312"/>
          <w:sz w:val="30"/>
          <w:szCs w:val="30"/>
          <w:lang w:val="zh-CN" w:bidi="zh-CN"/>
        </w:rPr>
        <w:t>法定代表人，经单位内部合法程序，兹授权</w:t>
      </w:r>
      <w:r>
        <w:rPr>
          <w:rFonts w:hint="eastAsia" w:ascii="仿宋_GB2312" w:hAnsi="仿宋_GB2312" w:eastAsia="仿宋_GB2312" w:cs="仿宋_GB2312"/>
          <w:spacing w:val="-3"/>
          <w:sz w:val="30"/>
          <w:szCs w:val="30"/>
          <w:u w:val="single"/>
          <w:lang w:bidi="zh-CN"/>
        </w:rPr>
        <w:t>XX</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u w:val="single"/>
          <w:lang w:val="en-US" w:bidi="zh-CN"/>
        </w:rPr>
        <w:t>职务</w:t>
      </w:r>
      <w:r>
        <w:rPr>
          <w:rFonts w:hint="eastAsia" w:ascii="仿宋_GB2312" w:hAnsi="仿宋_GB2312" w:eastAsia="仿宋_GB2312" w:cs="仿宋_GB2312"/>
          <w:spacing w:val="-5"/>
          <w:sz w:val="30"/>
          <w:szCs w:val="30"/>
          <w:u w:val="single"/>
          <w:lang w:bidi="zh-CN"/>
        </w:rPr>
        <w:t>，</w:t>
      </w:r>
      <w:r>
        <w:rPr>
          <w:rFonts w:hint="eastAsia" w:ascii="仿宋_GB2312" w:hAnsi="仿宋_GB2312" w:eastAsia="仿宋_GB2312" w:cs="仿宋_GB2312"/>
          <w:spacing w:val="4"/>
          <w:sz w:val="30"/>
          <w:szCs w:val="30"/>
          <w:u w:val="single"/>
          <w:lang w:val="zh-CN" w:bidi="zh-CN"/>
        </w:rPr>
        <w:t>身份证号码：</w:t>
      </w:r>
      <w:r>
        <w:rPr>
          <w:rFonts w:hint="eastAsia" w:ascii="仿宋_GB2312" w:hAnsi="仿宋_GB2312" w:eastAsia="仿宋_GB2312" w:cs="仿宋_GB2312"/>
          <w:spacing w:val="4"/>
          <w:sz w:val="30"/>
          <w:szCs w:val="30"/>
          <w:u w:val="single"/>
          <w:lang w:bidi="zh-CN"/>
        </w:rPr>
        <w:t>XX</w:t>
      </w:r>
      <w:r>
        <w:rPr>
          <w:rFonts w:hint="eastAsia" w:ascii="仿宋_GB2312" w:hAnsi="仿宋_GB2312" w:eastAsia="仿宋_GB2312" w:cs="仿宋_GB2312"/>
          <w:spacing w:val="4"/>
          <w:sz w:val="30"/>
          <w:szCs w:val="30"/>
          <w:u w:val="single"/>
          <w:lang w:val="zh-CN" w:bidi="zh-CN"/>
        </w:rPr>
        <w:t xml:space="preserve"> </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lang w:val="zh-CN" w:bidi="zh-CN"/>
        </w:rPr>
        <w:t>为</w:t>
      </w:r>
      <w:r>
        <w:rPr>
          <w:rFonts w:hint="eastAsia" w:ascii="仿宋_GB2312" w:hAnsi="仿宋_GB2312" w:eastAsia="仿宋_GB2312" w:cs="仿宋_GB2312"/>
          <w:spacing w:val="-3"/>
          <w:sz w:val="30"/>
          <w:szCs w:val="30"/>
          <w:lang w:bidi="zh-CN"/>
        </w:rPr>
        <w:t>XX</w:t>
      </w:r>
      <w:r>
        <w:rPr>
          <w:rFonts w:hint="eastAsia" w:ascii="仿宋_GB2312" w:hAnsi="仿宋_GB2312" w:eastAsia="仿宋_GB2312" w:cs="仿宋_GB2312"/>
          <w:spacing w:val="-3"/>
          <w:sz w:val="30"/>
          <w:szCs w:val="30"/>
          <w:lang w:val="zh-CN" w:bidi="zh-CN"/>
        </w:rPr>
        <w:t>公司</w:t>
      </w:r>
      <w:r>
        <w:rPr>
          <w:rFonts w:hint="eastAsia" w:ascii="仿宋_GB2312" w:hAnsi="仿宋_GB2312" w:eastAsia="仿宋_GB2312" w:cs="仿宋_GB2312"/>
          <w:spacing w:val="-7"/>
          <w:sz w:val="30"/>
          <w:szCs w:val="30"/>
          <w:lang w:val="zh-CN" w:bidi="zh-CN"/>
        </w:rPr>
        <w:t xml:space="preserve">的授权委托代理人，可代表本单位针对 </w:t>
      </w:r>
      <w:r>
        <w:rPr>
          <w:rFonts w:hint="eastAsia" w:ascii="仿宋_GB2312" w:hAnsi="仿宋_GB2312" w:eastAsia="仿宋_GB2312" w:cs="仿宋_GB2312"/>
          <w:spacing w:val="-5"/>
          <w:sz w:val="30"/>
          <w:szCs w:val="30"/>
          <w:u w:val="single"/>
          <w:lang w:val="zh-CN" w:bidi="zh-CN"/>
        </w:rPr>
        <w:t>（</w:t>
      </w:r>
      <w:r>
        <w:rPr>
          <w:rFonts w:hint="eastAsia" w:ascii="仿宋_GB2312" w:hAnsi="仿宋_GB2312" w:eastAsia="仿宋_GB2312" w:cs="仿宋_GB2312"/>
          <w:spacing w:val="-5"/>
          <w:sz w:val="30"/>
          <w:szCs w:val="30"/>
          <w:u w:val="single"/>
          <w:lang w:bidi="zh-CN"/>
        </w:rPr>
        <w:t>XX</w:t>
      </w:r>
      <w:r>
        <w:rPr>
          <w:rFonts w:hint="eastAsia" w:ascii="仿宋_GB2312" w:hAnsi="仿宋_GB2312" w:eastAsia="仿宋_GB2312" w:cs="仿宋_GB2312"/>
          <w:spacing w:val="-5"/>
          <w:sz w:val="30"/>
          <w:szCs w:val="30"/>
          <w:u w:val="single"/>
          <w:lang w:val="zh-CN" w:bidi="zh-CN"/>
        </w:rPr>
        <w:t>基金）（</w:t>
      </w:r>
      <w:r>
        <w:rPr>
          <w:rFonts w:hint="eastAsia" w:ascii="仿宋_GB2312" w:hAnsi="仿宋_GB2312" w:eastAsia="仿宋_GB2312" w:cs="仿宋_GB2312"/>
          <w:spacing w:val="-8"/>
          <w:sz w:val="30"/>
          <w:szCs w:val="30"/>
          <w:u w:val="single"/>
          <w:lang w:val="zh-CN" w:bidi="zh-CN"/>
        </w:rPr>
        <w:t>以下</w:t>
      </w:r>
      <w:r>
        <w:rPr>
          <w:rFonts w:hint="eastAsia" w:ascii="仿宋_GB2312" w:hAnsi="仿宋_GB2312" w:eastAsia="仿宋_GB2312" w:cs="仿宋_GB2312"/>
          <w:spacing w:val="-8"/>
          <w:sz w:val="30"/>
          <w:szCs w:val="30"/>
          <w:u w:val="single"/>
          <w:lang w:bidi="zh-CN"/>
        </w:rPr>
        <w:t>简称</w:t>
      </w:r>
      <w:r>
        <w:rPr>
          <w:rFonts w:hint="eastAsia" w:ascii="仿宋_GB2312" w:hAnsi="仿宋_GB2312" w:eastAsia="仿宋_GB2312" w:cs="仿宋_GB2312"/>
          <w:spacing w:val="-5"/>
          <w:sz w:val="30"/>
          <w:szCs w:val="30"/>
          <w:u w:val="single"/>
          <w:lang w:val="zh-CN" w:bidi="zh-CN"/>
        </w:rPr>
        <w:t>“本项目”</w:t>
      </w:r>
      <w:r>
        <w:rPr>
          <w:rFonts w:hint="eastAsia" w:ascii="仿宋_GB2312" w:hAnsi="仿宋_GB2312" w:eastAsia="仿宋_GB2312" w:cs="仿宋_GB2312"/>
          <w:sz w:val="30"/>
          <w:szCs w:val="30"/>
          <w:u w:val="single"/>
          <w:lang w:val="zh-CN" w:bidi="zh-CN"/>
        </w:rPr>
        <w:t>）</w:t>
      </w:r>
      <w:r>
        <w:rPr>
          <w:rFonts w:hint="eastAsia" w:ascii="仿宋_GB2312" w:hAnsi="仿宋_GB2312" w:eastAsia="仿宋_GB2312" w:cs="仿宋_GB2312"/>
          <w:spacing w:val="-11"/>
          <w:sz w:val="30"/>
          <w:szCs w:val="30"/>
          <w:lang w:val="zh-CN" w:bidi="zh-CN"/>
        </w:rPr>
        <w:t xml:space="preserve"> ，以本单位名义签署或处理与本项目遴选相关的事务。</w:t>
      </w:r>
      <w:r>
        <w:rPr>
          <w:rFonts w:hint="eastAsia" w:ascii="仿宋_GB2312" w:hAnsi="仿宋_GB2312" w:eastAsia="仿宋_GB2312" w:cs="仿宋_GB2312"/>
          <w:spacing w:val="-11"/>
          <w:sz w:val="30"/>
          <w:szCs w:val="30"/>
          <w:lang w:bidi="zh-CN"/>
        </w:rPr>
        <w:t>XX</w:t>
      </w:r>
      <w:r>
        <w:rPr>
          <w:rFonts w:hint="eastAsia" w:ascii="仿宋_GB2312" w:hAnsi="仿宋_GB2312" w:eastAsia="仿宋_GB2312" w:cs="仿宋_GB2312"/>
          <w:spacing w:val="-10"/>
          <w:sz w:val="30"/>
          <w:szCs w:val="30"/>
          <w:lang w:val="zh-CN" w:bidi="zh-CN"/>
        </w:rPr>
        <w:t>在上述授权范围内的</w:t>
      </w:r>
      <w:r>
        <w:rPr>
          <w:rFonts w:hint="eastAsia" w:ascii="仿宋_GB2312" w:hAnsi="仿宋_GB2312" w:eastAsia="仿宋_GB2312" w:cs="仿宋_GB2312"/>
          <w:spacing w:val="2"/>
          <w:w w:val="100"/>
          <w:sz w:val="30"/>
          <w:szCs w:val="30"/>
          <w:lang w:val="zh-CN" w:bidi="zh-CN"/>
        </w:rPr>
        <w:t>一切行为均代表本单位，本单位承担授权委托代理人行为的</w:t>
      </w:r>
      <w:r>
        <w:rPr>
          <w:rFonts w:hint="eastAsia" w:ascii="仿宋_GB2312" w:hAnsi="仿宋_GB2312" w:eastAsia="仿宋_GB2312" w:cs="仿宋_GB2312"/>
          <w:spacing w:val="-2"/>
          <w:sz w:val="30"/>
          <w:szCs w:val="30"/>
          <w:lang w:val="zh-CN" w:bidi="zh-CN"/>
        </w:rPr>
        <w:t>全部法律后果。</w:t>
      </w:r>
    </w:p>
    <w:p w14:paraId="04A242DC">
      <w:pPr>
        <w:tabs>
          <w:tab w:val="left" w:pos="3876"/>
          <w:tab w:val="left" w:pos="4596"/>
          <w:tab w:val="left" w:pos="5160"/>
          <w:tab w:val="left" w:pos="6192"/>
          <w:tab w:val="left" w:pos="6756"/>
          <w:tab w:val="left" w:pos="7321"/>
        </w:tabs>
        <w:autoSpaceDE w:val="0"/>
        <w:autoSpaceDN w:val="0"/>
        <w:spacing w:line="560" w:lineRule="exact"/>
        <w:ind w:right="0" w:firstLine="58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pacing w:val="-5"/>
          <w:sz w:val="30"/>
          <w:szCs w:val="30"/>
          <w:lang w:val="zh-CN" w:bidi="zh-CN"/>
        </w:rPr>
        <w:t>本授权书</w:t>
      </w:r>
      <w:r>
        <w:rPr>
          <w:rFonts w:hint="eastAsia" w:ascii="仿宋_GB2312" w:hAnsi="仿宋_GB2312" w:eastAsia="仿宋_GB2312" w:cs="仿宋_GB2312"/>
          <w:spacing w:val="-3"/>
          <w:sz w:val="30"/>
          <w:szCs w:val="30"/>
          <w:lang w:val="zh-CN" w:bidi="zh-CN"/>
        </w:rPr>
        <w:t>有</w:t>
      </w:r>
      <w:r>
        <w:rPr>
          <w:rFonts w:hint="eastAsia" w:ascii="仿宋_GB2312" w:hAnsi="仿宋_GB2312" w:eastAsia="仿宋_GB2312" w:cs="仿宋_GB2312"/>
          <w:spacing w:val="-5"/>
          <w:sz w:val="30"/>
          <w:szCs w:val="30"/>
          <w:lang w:val="zh-CN" w:bidi="zh-CN"/>
        </w:rPr>
        <w:t>效</w:t>
      </w:r>
      <w:r>
        <w:rPr>
          <w:rFonts w:hint="eastAsia" w:ascii="仿宋_GB2312" w:hAnsi="仿宋_GB2312" w:eastAsia="仿宋_GB2312" w:cs="仿宋_GB2312"/>
          <w:spacing w:val="-3"/>
          <w:sz w:val="30"/>
          <w:szCs w:val="30"/>
          <w:lang w:val="zh-CN" w:bidi="zh-CN"/>
        </w:rPr>
        <w:t>期</w:t>
      </w:r>
      <w:r>
        <w:rPr>
          <w:rFonts w:hint="eastAsia" w:ascii="仿宋_GB2312" w:hAnsi="仿宋_GB2312" w:eastAsia="仿宋_GB2312" w:cs="仿宋_GB2312"/>
          <w:sz w:val="30"/>
          <w:szCs w:val="30"/>
          <w:lang w:val="zh-CN" w:bidi="zh-CN"/>
        </w:rPr>
        <w:t>自</w:t>
      </w:r>
      <w:r>
        <w:rPr>
          <w:rFonts w:hint="eastAsia" w:ascii="仿宋_GB2312" w:hAnsi="仿宋_GB2312" w:eastAsia="仿宋_GB2312" w:cs="仿宋_GB2312"/>
          <w:sz w:val="30"/>
          <w:szCs w:val="30"/>
          <w:lang w:bidi="zh-CN"/>
        </w:rPr>
        <w:t xml:space="preserve"> 202X</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pacing w:val="-5"/>
          <w:sz w:val="30"/>
          <w:szCs w:val="30"/>
          <w:lang w:val="zh-CN" w:bidi="zh-CN"/>
        </w:rPr>
        <w:t>日</w:t>
      </w:r>
      <w:r>
        <w:rPr>
          <w:rFonts w:hint="eastAsia" w:ascii="仿宋_GB2312" w:hAnsi="仿宋_GB2312" w:eastAsia="仿宋_GB2312" w:cs="仿宋_GB2312"/>
          <w:sz w:val="30"/>
          <w:szCs w:val="30"/>
          <w:lang w:val="zh-CN" w:bidi="zh-CN"/>
        </w:rPr>
        <w:t>到</w:t>
      </w:r>
      <w:r>
        <w:rPr>
          <w:rFonts w:hint="eastAsia" w:ascii="仿宋_GB2312" w:hAnsi="仿宋_GB2312" w:eastAsia="仿宋_GB2312" w:cs="仿宋_GB2312"/>
          <w:sz w:val="30"/>
          <w:szCs w:val="30"/>
          <w:lang w:bidi="zh-CN"/>
        </w:rPr>
        <w:t xml:space="preserve"> 202X</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X</w:t>
      </w:r>
      <w:r>
        <w:rPr>
          <w:rFonts w:hint="eastAsia" w:ascii="仿宋_GB2312" w:hAnsi="仿宋_GB2312" w:eastAsia="仿宋_GB2312" w:cs="仿宋_GB2312"/>
          <w:spacing w:val="28"/>
          <w:sz w:val="30"/>
          <w:szCs w:val="30"/>
          <w:lang w:val="zh-CN" w:bidi="zh-CN"/>
        </w:rPr>
        <w:t>日。授</w:t>
      </w:r>
      <w:r>
        <w:rPr>
          <w:rFonts w:hint="eastAsia" w:ascii="仿宋_GB2312" w:hAnsi="仿宋_GB2312" w:eastAsia="仿宋_GB2312" w:cs="仿宋_GB2312"/>
          <w:spacing w:val="14"/>
          <w:sz w:val="30"/>
          <w:szCs w:val="30"/>
          <w:lang w:val="zh-CN" w:bidi="zh-CN"/>
        </w:rPr>
        <w:t>权</w:t>
      </w:r>
      <w:r>
        <w:rPr>
          <w:rFonts w:hint="eastAsia" w:ascii="仿宋_GB2312" w:hAnsi="仿宋_GB2312" w:eastAsia="仿宋_GB2312" w:cs="仿宋_GB2312"/>
          <w:spacing w:val="-5"/>
          <w:sz w:val="30"/>
          <w:szCs w:val="30"/>
          <w:lang w:val="zh-CN" w:bidi="zh-CN"/>
        </w:rPr>
        <w:t>委托代理</w:t>
      </w:r>
      <w:r>
        <w:rPr>
          <w:rFonts w:hint="eastAsia" w:ascii="仿宋_GB2312" w:hAnsi="仿宋_GB2312" w:eastAsia="仿宋_GB2312" w:cs="仿宋_GB2312"/>
          <w:spacing w:val="-3"/>
          <w:sz w:val="30"/>
          <w:szCs w:val="30"/>
          <w:lang w:val="zh-CN" w:bidi="zh-CN"/>
        </w:rPr>
        <w:t>人</w:t>
      </w:r>
      <w:r>
        <w:rPr>
          <w:rFonts w:hint="eastAsia" w:ascii="仿宋_GB2312" w:hAnsi="仿宋_GB2312" w:eastAsia="仿宋_GB2312" w:cs="仿宋_GB2312"/>
          <w:spacing w:val="-5"/>
          <w:sz w:val="30"/>
          <w:szCs w:val="30"/>
          <w:lang w:val="zh-CN" w:bidi="zh-CN"/>
        </w:rPr>
        <w:t>无</w:t>
      </w:r>
      <w:r>
        <w:rPr>
          <w:rFonts w:hint="eastAsia" w:ascii="仿宋_GB2312" w:hAnsi="仿宋_GB2312" w:eastAsia="仿宋_GB2312" w:cs="仿宋_GB2312"/>
          <w:spacing w:val="-3"/>
          <w:sz w:val="30"/>
          <w:szCs w:val="30"/>
          <w:lang w:val="zh-CN" w:bidi="zh-CN"/>
        </w:rPr>
        <w:t>转</w:t>
      </w:r>
      <w:r>
        <w:rPr>
          <w:rFonts w:hint="eastAsia" w:ascii="仿宋_GB2312" w:hAnsi="仿宋_GB2312" w:eastAsia="仿宋_GB2312" w:cs="仿宋_GB2312"/>
          <w:spacing w:val="-5"/>
          <w:sz w:val="30"/>
          <w:szCs w:val="30"/>
          <w:lang w:val="zh-CN" w:bidi="zh-CN"/>
        </w:rPr>
        <w:t>委托权</w:t>
      </w:r>
      <w:r>
        <w:rPr>
          <w:rFonts w:hint="eastAsia" w:ascii="仿宋_GB2312" w:hAnsi="仿宋_GB2312" w:eastAsia="仿宋_GB2312" w:cs="仿宋_GB2312"/>
          <w:sz w:val="30"/>
          <w:szCs w:val="30"/>
          <w:lang w:val="zh-CN" w:bidi="zh-CN"/>
        </w:rPr>
        <w:t>。</w:t>
      </w:r>
    </w:p>
    <w:p w14:paraId="157B2A9F">
      <w:pPr>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特此委托授权。</w:t>
      </w:r>
    </w:p>
    <w:p w14:paraId="0924D576">
      <w:pPr>
        <w:autoSpaceDE w:val="0"/>
        <w:autoSpaceDN w:val="0"/>
        <w:spacing w:line="560" w:lineRule="exact"/>
        <w:ind w:right="0"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附：法定代表人身份证复印件（加盖公章）、授权委托代理人身份证复印件（加盖公章）。</w:t>
      </w:r>
    </w:p>
    <w:p w14:paraId="39A681ED">
      <w:pPr>
        <w:tabs>
          <w:tab w:val="left" w:pos="4661"/>
        </w:tabs>
        <w:autoSpaceDE w:val="0"/>
        <w:autoSpaceDN w:val="0"/>
        <w:spacing w:line="560" w:lineRule="exact"/>
        <w:ind w:firstLine="600" w:firstLineChars="200"/>
        <w:rPr>
          <w:rFonts w:hint="eastAsia" w:ascii="仿宋_GB2312" w:hAnsi="仿宋_GB2312" w:eastAsia="仿宋_GB2312" w:cs="仿宋_GB2312"/>
          <w:sz w:val="30"/>
          <w:szCs w:val="30"/>
          <w:lang w:bidi="zh-CN"/>
        </w:rPr>
      </w:pPr>
      <w:r>
        <w:rPr>
          <w:rFonts w:hint="eastAsia" w:ascii="仿宋_GB2312" w:hAnsi="仿宋_GB2312" w:eastAsia="仿宋_GB2312" w:cs="仿宋_GB2312"/>
          <w:sz w:val="30"/>
          <w:szCs w:val="30"/>
          <w:lang w:val="en-US" w:bidi="zh-CN"/>
        </w:rPr>
        <w:t>申请机构</w:t>
      </w:r>
      <w:r>
        <w:rPr>
          <w:rFonts w:hint="eastAsia" w:ascii="仿宋_GB2312" w:hAnsi="仿宋_GB2312" w:eastAsia="仿宋_GB2312" w:cs="仿宋_GB2312"/>
          <w:sz w:val="30"/>
          <w:szCs w:val="30"/>
          <w:lang w:val="zh-CN" w:bidi="zh-CN"/>
        </w:rPr>
        <w:t>：</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pacing w:val="7"/>
          <w:sz w:val="30"/>
          <w:szCs w:val="30"/>
          <w:lang w:val="zh-CN" w:bidi="zh-CN"/>
        </w:rPr>
        <w:t>授权委托</w:t>
      </w:r>
      <w:r>
        <w:rPr>
          <w:rFonts w:hint="eastAsia" w:ascii="仿宋_GB2312" w:hAnsi="仿宋_GB2312" w:eastAsia="仿宋_GB2312" w:cs="仿宋_GB2312"/>
          <w:spacing w:val="9"/>
          <w:sz w:val="30"/>
          <w:szCs w:val="30"/>
          <w:lang w:val="zh-CN" w:bidi="zh-CN"/>
        </w:rPr>
        <w:t>代理</w:t>
      </w:r>
      <w:r>
        <w:rPr>
          <w:rFonts w:hint="eastAsia" w:ascii="仿宋_GB2312" w:hAnsi="仿宋_GB2312" w:eastAsia="仿宋_GB2312" w:cs="仿宋_GB2312"/>
          <w:spacing w:val="12"/>
          <w:sz w:val="30"/>
          <w:szCs w:val="30"/>
          <w:lang w:val="zh-CN" w:bidi="zh-CN"/>
        </w:rPr>
        <w:t>人</w:t>
      </w:r>
      <w:r>
        <w:rPr>
          <w:rFonts w:hint="eastAsia" w:ascii="仿宋_GB2312" w:hAnsi="仿宋_GB2312" w:eastAsia="仿宋_GB2312" w:cs="仿宋_GB2312"/>
          <w:sz w:val="30"/>
          <w:szCs w:val="30"/>
          <w:lang w:val="zh-CN" w:bidi="zh-CN"/>
        </w:rPr>
        <w:t>：</w:t>
      </w:r>
    </w:p>
    <w:p w14:paraId="31D8999F">
      <w:pPr>
        <w:tabs>
          <w:tab w:val="left" w:pos="4668"/>
          <w:tab w:val="left" w:pos="6115"/>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法定代表人签字：</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签</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spacing w:val="7"/>
          <w:sz w:val="30"/>
          <w:szCs w:val="30"/>
          <w:lang w:val="zh-CN" w:bidi="zh-CN"/>
        </w:rPr>
        <w:t>名：</w:t>
      </w:r>
    </w:p>
    <w:p w14:paraId="00A6A0EF">
      <w:pPr>
        <w:tabs>
          <w:tab w:val="left" w:pos="4666"/>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单位公章：</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身份证号码：</w:t>
      </w:r>
    </w:p>
    <w:p w14:paraId="4F7260E9">
      <w:pPr>
        <w:tabs>
          <w:tab w:val="left" w:pos="1300"/>
          <w:tab w:val="left" w:pos="4661"/>
          <w:tab w:val="left" w:pos="6101"/>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地</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址：</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单</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w w:val="100"/>
          <w:sz w:val="30"/>
          <w:szCs w:val="30"/>
          <w:lang w:val="zh-CN" w:bidi="zh-CN"/>
        </w:rPr>
        <w:t>位：</w:t>
      </w:r>
    </w:p>
    <w:p w14:paraId="2868CF83">
      <w:pPr>
        <w:tabs>
          <w:tab w:val="left" w:pos="1300"/>
          <w:tab w:val="left" w:pos="4661"/>
        </w:tabs>
        <w:autoSpaceDE w:val="0"/>
        <w:autoSpaceDN w:val="0"/>
        <w:spacing w:line="560" w:lineRule="exact"/>
        <w:ind w:firstLine="600" w:firstLineChars="200"/>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电</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话：</w:t>
      </w:r>
      <w:r>
        <w:rPr>
          <w:rFonts w:hint="eastAsia" w:ascii="仿宋_GB2312" w:hAnsi="仿宋_GB2312" w:eastAsia="仿宋_GB2312" w:cs="仿宋_GB2312"/>
          <w:sz w:val="30"/>
          <w:szCs w:val="30"/>
          <w:lang w:val="zh-CN" w:bidi="zh-CN"/>
        </w:rPr>
        <w:tab/>
      </w:r>
      <w:r>
        <w:rPr>
          <w:rFonts w:hint="eastAsia" w:ascii="仿宋_GB2312" w:hAnsi="仿宋_GB2312" w:eastAsia="仿宋_GB2312" w:cs="仿宋_GB2312"/>
          <w:sz w:val="30"/>
          <w:szCs w:val="30"/>
          <w:lang w:val="zh-CN" w:bidi="zh-CN"/>
        </w:rPr>
        <w:t>联</w:t>
      </w:r>
      <w:r>
        <w:rPr>
          <w:rFonts w:hint="eastAsia" w:ascii="仿宋_GB2312" w:hAnsi="仿宋_GB2312" w:eastAsia="仿宋_GB2312" w:cs="仿宋_GB2312"/>
          <w:sz w:val="30"/>
          <w:szCs w:val="30"/>
          <w:lang w:val="en-US" w:bidi="zh-CN"/>
        </w:rPr>
        <w:t xml:space="preserve"> </w:t>
      </w:r>
      <w:r>
        <w:rPr>
          <w:rFonts w:hint="eastAsia" w:ascii="仿宋_GB2312" w:hAnsi="仿宋_GB2312" w:eastAsia="仿宋_GB2312" w:cs="仿宋_GB2312"/>
          <w:sz w:val="30"/>
          <w:szCs w:val="30"/>
          <w:lang w:val="zh-CN" w:bidi="zh-CN"/>
        </w:rPr>
        <w:t>系</w:t>
      </w:r>
      <w:r>
        <w:rPr>
          <w:rFonts w:hint="eastAsia" w:ascii="仿宋_GB2312" w:hAnsi="仿宋_GB2312" w:eastAsia="仿宋_GB2312" w:cs="仿宋_GB2312"/>
          <w:spacing w:val="-1"/>
          <w:sz w:val="30"/>
          <w:szCs w:val="30"/>
          <w:lang w:val="zh-CN" w:bidi="zh-CN"/>
        </w:rPr>
        <w:t xml:space="preserve"> </w:t>
      </w:r>
      <w:r>
        <w:rPr>
          <w:rFonts w:hint="eastAsia" w:ascii="仿宋_GB2312" w:hAnsi="仿宋_GB2312" w:eastAsia="仿宋_GB2312" w:cs="仿宋_GB2312"/>
          <w:sz w:val="30"/>
          <w:szCs w:val="30"/>
          <w:lang w:val="zh-CN" w:bidi="zh-CN"/>
        </w:rPr>
        <w:t>电</w:t>
      </w:r>
      <w:r>
        <w:rPr>
          <w:rFonts w:hint="eastAsia" w:ascii="仿宋_GB2312" w:hAnsi="仿宋_GB2312" w:eastAsia="仿宋_GB2312" w:cs="仿宋_GB2312"/>
          <w:spacing w:val="-1"/>
          <w:sz w:val="30"/>
          <w:szCs w:val="30"/>
          <w:lang w:val="zh-CN" w:bidi="zh-CN"/>
        </w:rPr>
        <w:t xml:space="preserve"> </w:t>
      </w:r>
      <w:r>
        <w:rPr>
          <w:rFonts w:hint="eastAsia" w:ascii="仿宋_GB2312" w:hAnsi="仿宋_GB2312" w:eastAsia="仿宋_GB2312" w:cs="仿宋_GB2312"/>
          <w:sz w:val="30"/>
          <w:szCs w:val="30"/>
          <w:lang w:val="zh-CN" w:bidi="zh-CN"/>
        </w:rPr>
        <w:t>话：</w:t>
      </w:r>
    </w:p>
    <w:p w14:paraId="1C715679">
      <w:pPr>
        <w:autoSpaceDE w:val="0"/>
        <w:autoSpaceDN w:val="0"/>
        <w:spacing w:line="560" w:lineRule="exact"/>
        <w:ind w:firstLine="600" w:firstLineChars="200"/>
        <w:rPr>
          <w:rFonts w:hint="eastAsia" w:ascii="仿宋_GB2312" w:hAnsi="仿宋_GB2312" w:eastAsia="仿宋_GB2312" w:cs="仿宋_GB2312"/>
          <w:sz w:val="30"/>
          <w:szCs w:val="30"/>
          <w:lang w:val="zh-CN" w:bidi="zh-CN"/>
        </w:rPr>
      </w:pPr>
    </w:p>
    <w:p w14:paraId="6F56AA26">
      <w:pPr>
        <w:tabs>
          <w:tab w:val="left" w:pos="6761"/>
          <w:tab w:val="left" w:pos="7402"/>
          <w:tab w:val="left" w:pos="8041"/>
        </w:tabs>
        <w:autoSpaceDE w:val="0"/>
        <w:autoSpaceDN w:val="0"/>
        <w:spacing w:line="560" w:lineRule="exact"/>
        <w:ind w:firstLine="600" w:firstLineChars="200"/>
        <w:jc w:val="right"/>
        <w:rPr>
          <w:rFonts w:hint="eastAsia"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val="zh-CN" w:bidi="zh-CN"/>
        </w:rPr>
        <w:t>日期：</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年</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月</w:t>
      </w:r>
      <w:r>
        <w:rPr>
          <w:rFonts w:hint="eastAsia" w:ascii="仿宋_GB2312" w:hAnsi="仿宋_GB2312" w:eastAsia="仿宋_GB2312" w:cs="仿宋_GB2312"/>
          <w:sz w:val="30"/>
          <w:szCs w:val="30"/>
          <w:lang w:bidi="zh-CN"/>
        </w:rPr>
        <w:t xml:space="preserve">     </w:t>
      </w:r>
      <w:r>
        <w:rPr>
          <w:rFonts w:hint="eastAsia" w:ascii="仿宋_GB2312" w:hAnsi="仿宋_GB2312" w:eastAsia="仿宋_GB2312" w:cs="仿宋_GB2312"/>
          <w:sz w:val="30"/>
          <w:szCs w:val="30"/>
          <w:lang w:val="zh-CN" w:bidi="zh-CN"/>
        </w:rPr>
        <w:t>日</w:t>
      </w:r>
    </w:p>
    <w:p w14:paraId="405CF176">
      <w:pPr>
        <w:rPr>
          <w:rFonts w:hint="eastAsia" w:ascii="仿宋_GB2312" w:hAnsi="仿宋_GB2312" w:eastAsia="仿宋_GB2312" w:cs="仿宋_GB2312"/>
          <w:sz w:val="30"/>
          <w:szCs w:val="30"/>
        </w:rPr>
      </w:pPr>
    </w:p>
    <w:p w14:paraId="668A9A82">
      <w:pPr>
        <w:pStyle w:val="21"/>
        <w:spacing w:line="360" w:lineRule="auto"/>
        <w:ind w:firstLine="0" w:firstLineChars="0"/>
        <w:jc w:val="both"/>
        <w:rPr>
          <w:rFonts w:ascii="仿宋" w:hAnsi="仿宋" w:eastAsia="仿宋"/>
        </w:rPr>
      </w:pPr>
    </w:p>
    <w:p w14:paraId="7EC294E3">
      <w:pPr>
        <w:pStyle w:val="10"/>
        <w:rPr>
          <w:rStyle w:val="14"/>
          <w:rFonts w:hint="eastAsia" w:ascii="黑体" w:hAnsi="黑体" w:eastAsia="黑体" w:cs="黑体"/>
          <w:color w:val="auto"/>
          <w:sz w:val="32"/>
          <w:szCs w:val="32"/>
          <w:highlight w:val="none"/>
          <w:shd w:val="clear" w:color="auto" w:fill="FFFFFF"/>
        </w:rPr>
      </w:pPr>
      <w:r>
        <w:rPr>
          <w:rStyle w:val="14"/>
          <w:rFonts w:hint="eastAsia" w:ascii="黑体" w:hAnsi="黑体" w:eastAsia="黑体" w:cs="黑体"/>
          <w:color w:val="auto"/>
          <w:sz w:val="32"/>
          <w:szCs w:val="32"/>
          <w:highlight w:val="none"/>
          <w:shd w:val="clear" w:color="auto" w:fill="FFFFFF"/>
        </w:rPr>
        <w:br w:type="page"/>
      </w:r>
    </w:p>
    <w:p w14:paraId="291B70EC">
      <w:pPr>
        <w:pStyle w:val="10"/>
        <w:widowControl/>
        <w:shd w:val="clear" w:color="auto" w:fill="FFFFFF"/>
        <w:wordWrap w:val="0"/>
        <w:spacing w:beforeAutospacing="0" w:afterAutospacing="0"/>
        <w:rPr>
          <w:rFonts w:hint="eastAsia" w:ascii="黑体" w:hAnsi="黑体" w:eastAsia="黑体" w:cs="黑体"/>
          <w:color w:val="auto"/>
          <w:sz w:val="32"/>
          <w:szCs w:val="32"/>
          <w:highlight w:val="none"/>
          <w:lang w:eastAsia="zh-CN"/>
        </w:rPr>
      </w:pPr>
      <w:r>
        <w:rPr>
          <w:rStyle w:val="14"/>
          <w:rFonts w:hint="eastAsia" w:ascii="黑体" w:hAnsi="黑体" w:eastAsia="黑体" w:cs="黑体"/>
          <w:color w:val="auto"/>
          <w:sz w:val="32"/>
          <w:szCs w:val="32"/>
          <w:highlight w:val="none"/>
          <w:shd w:val="clear" w:color="auto" w:fill="FFFFFF"/>
        </w:rPr>
        <w:t>附件</w:t>
      </w:r>
      <w:r>
        <w:rPr>
          <w:rStyle w:val="14"/>
          <w:rFonts w:hint="eastAsia" w:ascii="黑体" w:hAnsi="黑体" w:eastAsia="黑体" w:cs="黑体"/>
          <w:color w:val="auto"/>
          <w:sz w:val="32"/>
          <w:szCs w:val="32"/>
          <w:highlight w:val="none"/>
          <w:shd w:val="clear" w:color="auto" w:fill="FFFFFF"/>
          <w:lang w:val="en-US" w:eastAsia="zh-CN"/>
        </w:rPr>
        <w:t>5</w:t>
      </w:r>
    </w:p>
    <w:p w14:paraId="7C6CA875">
      <w:pPr>
        <w:pStyle w:val="10"/>
        <w:widowControl/>
        <w:shd w:val="clear" w:color="auto" w:fill="FFFFFF"/>
        <w:wordWrap w:val="0"/>
        <w:spacing w:beforeAutospacing="0" w:afterAutospacing="0"/>
        <w:jc w:val="center"/>
        <w:rPr>
          <w:rFonts w:hint="eastAsia" w:ascii="方正小标宋简体" w:hAnsi="方正小标宋简体" w:eastAsia="方正小标宋简体" w:cs="方正小标宋简体"/>
          <w:bCs/>
          <w:color w:val="auto"/>
          <w:sz w:val="32"/>
          <w:szCs w:val="32"/>
          <w:highlight w:val="none"/>
        </w:rPr>
      </w:pPr>
      <w:r>
        <w:rPr>
          <w:rStyle w:val="14"/>
          <w:rFonts w:hint="eastAsia" w:ascii="方正小标宋简体" w:hAnsi="方正小标宋简体" w:eastAsia="方正小标宋简体" w:cs="方正小标宋简体"/>
          <w:b w:val="0"/>
          <w:bCs/>
          <w:color w:val="auto"/>
          <w:sz w:val="32"/>
          <w:szCs w:val="32"/>
          <w:highlight w:val="none"/>
          <w:shd w:val="clear" w:color="auto" w:fill="FFFFFF"/>
        </w:rPr>
        <w:t>廉政建设告知书</w:t>
      </w:r>
    </w:p>
    <w:p w14:paraId="5DEB90D8">
      <w:pPr>
        <w:pStyle w:val="10"/>
        <w:widowControl/>
        <w:shd w:val="clear" w:color="auto" w:fill="FFFFFF"/>
        <w:wordWrap w:val="0"/>
        <w:spacing w:beforeAutospacing="0" w:afterAutospacing="0"/>
        <w:rPr>
          <w:rFonts w:ascii="Helvetica" w:hAnsi="Helvetica" w:eastAsia="Helvetica" w:cs="Helvetica"/>
          <w:color w:val="auto"/>
          <w:highlight w:val="none"/>
        </w:rPr>
      </w:pPr>
      <w:r>
        <w:rPr>
          <w:rFonts w:ascii="Helvetica" w:hAnsi="Helvetica" w:eastAsia="Helvetica" w:cs="Helvetica"/>
          <w:color w:val="auto"/>
          <w:highlight w:val="none"/>
          <w:shd w:val="clear" w:color="auto" w:fill="FFFFFF"/>
        </w:rPr>
        <w:t> </w:t>
      </w:r>
    </w:p>
    <w:p w14:paraId="08B4D55E">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广东南控创业投资基金管理有限公司（以下称“南控基金公司”）受广东南海控股集团有限公司委托管理广东南控一号产业投资合伙企业（有限合伙），根据《广东南控一号产业投资合伙企业（有限合伙）子基金管理机构定向申请实施办法》等相关规范性文件，接受广东南控一号产业投资合伙企业（有限合伙）拟参股子基金的出资申请，审查相应的基金架构，选择符合条件的子基金管理机构。为了更好地强化纪律约束，规范运作程序，现将相关廉政建设事项告知如下： </w:t>
      </w:r>
    </w:p>
    <w:p w14:paraId="58E97581">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Style w:val="14"/>
          <w:rFonts w:hint="eastAsia" w:ascii="仿宋_GB2312" w:hAnsi="仿宋_GB2312" w:eastAsia="仿宋_GB2312" w:cs="仿宋_GB2312"/>
          <w:color w:val="auto"/>
          <w:highlight w:val="none"/>
          <w:shd w:val="clear" w:color="auto" w:fill="FFFFFF"/>
        </w:rPr>
        <w:t>一、南控基金公司工作人员不得从事以下行为：</w:t>
      </w:r>
    </w:p>
    <w:p w14:paraId="7D28D1E7">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1.严禁滥用职权，损害公司或他人利益；</w:t>
      </w:r>
    </w:p>
    <w:p w14:paraId="1EB58534">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2.严禁利用职务上的便利通过同业经营或关联交易为本人或特定关系人谋取利益；</w:t>
      </w:r>
    </w:p>
    <w:p w14:paraId="5F34500F">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3.严禁利用商业秘密、业务渠道等为本人或者他人牟利；</w:t>
      </w:r>
    </w:p>
    <w:p w14:paraId="0E54C0A8">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4.严禁索取、收受任何形式的回扣、手续费、酬金、礼金、感谢费、各种有价证券等；</w:t>
      </w:r>
    </w:p>
    <w:p w14:paraId="78AD55D8">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5.严禁参加有可能影响公正履行职务的宴请、旅游和其它高消费娱乐活动。</w:t>
      </w:r>
    </w:p>
    <w:p w14:paraId="49EC53FF">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Style w:val="14"/>
          <w:rFonts w:hint="eastAsia" w:ascii="仿宋_GB2312" w:hAnsi="仿宋_GB2312" w:eastAsia="仿宋_GB2312" w:cs="仿宋_GB2312"/>
          <w:color w:val="auto"/>
          <w:highlight w:val="none"/>
          <w:shd w:val="clear" w:color="auto" w:fill="FFFFFF"/>
        </w:rPr>
        <w:t>二、贵单位不得从事以下行为：</w:t>
      </w:r>
    </w:p>
    <w:p w14:paraId="7C3D9AAD">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1.不得行贿、变相行贿以及报销本应由南控基金公司工作人员支付的费用；</w:t>
      </w:r>
    </w:p>
    <w:p w14:paraId="3F292395">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2.不得赠送礼品、礼金、各种有价证券及其他支付凭证；</w:t>
      </w:r>
    </w:p>
    <w:p w14:paraId="3CCE19E0">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3.不得提供任何方式的高消费娱乐活动；</w:t>
      </w:r>
    </w:p>
    <w:p w14:paraId="26CB2D28">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4.不得为南控基金公司工作人员在贵单位入股、参股、兼职以及为其个人牟利提供便利。</w:t>
      </w:r>
    </w:p>
    <w:p w14:paraId="67D29D26">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以上规定希望得到贵单位的支持和配合，若南控基金公司工作人员有违反上述规定的行为，在工作中发生不廉洁、不正当及违反相关规范性文件的情形，贵单位有权向南控基金公司纪律部门或南控集团投诉反映，南控基金公司及南控集团将严肃查处，决不姑息；触犯国家法律的，依法移送司法机关处理。如贵单位人员违反本规定，南控基金公司有权中止或取消与贵单位的合作，由此造成的后果由贵单位负责。</w:t>
      </w:r>
    </w:p>
    <w:p w14:paraId="0AF45E05">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南控基金公司廉政建设投诉电话：【</w:t>
      </w:r>
      <w:r>
        <w:rPr>
          <w:rFonts w:hint="eastAsia" w:ascii="仿宋_GB2312" w:hAnsi="仿宋_GB2312" w:eastAsia="仿宋_GB2312" w:cs="仿宋_GB2312"/>
          <w:color w:val="auto"/>
          <w:highlight w:val="none"/>
          <w:shd w:val="clear" w:color="auto" w:fill="FFFFFF"/>
          <w:lang w:val="en-US" w:eastAsia="zh-CN"/>
        </w:rPr>
        <w:t>0757-86082610</w:t>
      </w:r>
      <w:r>
        <w:rPr>
          <w:rFonts w:hint="eastAsia" w:ascii="仿宋_GB2312" w:hAnsi="仿宋_GB2312" w:eastAsia="仿宋_GB2312" w:cs="仿宋_GB2312"/>
          <w:color w:val="auto"/>
          <w:highlight w:val="none"/>
          <w:shd w:val="clear" w:color="auto" w:fill="FFFFFF"/>
        </w:rPr>
        <w:t>】</w:t>
      </w:r>
    </w:p>
    <w:p w14:paraId="5B4EE29B">
      <w:pPr>
        <w:pStyle w:val="10"/>
        <w:widowControl/>
        <w:shd w:val="clear" w:color="auto" w:fill="FFFFFF"/>
        <w:wordWrap w:val="0"/>
        <w:spacing w:beforeAutospacing="0" w:afterAutospacing="0"/>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shd w:val="clear" w:color="auto" w:fill="FFFFFF"/>
        </w:rPr>
        <w:t>特此告知！</w:t>
      </w:r>
    </w:p>
    <w:p w14:paraId="3D6DB9C2">
      <w:pPr>
        <w:rPr>
          <w:color w:val="auto"/>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1C23C-D79D-4C44-BC36-54F3DA8DC5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0000000000000000000"/>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2" w:fontKey="{4D0D0B7C-5055-4596-A6CA-4364E891BB01}"/>
  </w:font>
  <w:font w:name="方正仿宋_GB2312">
    <w:panose1 w:val="02000000000000000000"/>
    <w:charset w:val="86"/>
    <w:family w:val="auto"/>
    <w:pitch w:val="default"/>
    <w:sig w:usb0="A00002BF" w:usb1="184F6CFA" w:usb2="00000012" w:usb3="00000000" w:csb0="00040001" w:csb1="00000000"/>
    <w:embedRegular r:id="rId3" w:fontKey="{C28CDD5C-6B6A-49A6-AD16-942930A0EE39}"/>
  </w:font>
  <w:font w:name="仿宋_GB2312">
    <w:panose1 w:val="02010609030101010101"/>
    <w:charset w:val="86"/>
    <w:family w:val="auto"/>
    <w:pitch w:val="default"/>
    <w:sig w:usb0="00000001" w:usb1="080E0000" w:usb2="00000000" w:usb3="00000000" w:csb0="00040000" w:csb1="00000000"/>
    <w:embedRegular r:id="rId4" w:fontKey="{7AE2F3E2-8D4C-4988-9D62-C24BA27D5F90}"/>
  </w:font>
  <w:font w:name="Helvetica">
    <w:altName w:val="Arial"/>
    <w:panose1 w:val="020B0604020202020204"/>
    <w:charset w:val="00"/>
    <w:family w:val="swiss"/>
    <w:pitch w:val="default"/>
    <w:sig w:usb0="00000000" w:usb1="00000000" w:usb2="00000009" w:usb3="00000000" w:csb0="000001FF" w:csb1="00000000"/>
    <w:embedRegular r:id="rId5" w:fontKey="{A182CF4A-0B0E-4D54-AEF5-4230E62F65E3}"/>
  </w:font>
  <w:font w:name="楷体">
    <w:panose1 w:val="02010609060101010101"/>
    <w:charset w:val="86"/>
    <w:family w:val="auto"/>
    <w:pitch w:val="default"/>
    <w:sig w:usb0="800002BF" w:usb1="38CF7CFA" w:usb2="00000016" w:usb3="00000000" w:csb0="00040001" w:csb1="00000000"/>
    <w:embedRegular r:id="rId6" w:fontKey="{5F62B7F0-72F7-43F3-BB2E-232526C13573}"/>
  </w:font>
  <w:font w:name="仿宋">
    <w:panose1 w:val="02010609060101010101"/>
    <w:charset w:val="86"/>
    <w:family w:val="auto"/>
    <w:pitch w:val="default"/>
    <w:sig w:usb0="800002BF" w:usb1="38CF7CFA" w:usb2="00000016" w:usb3="00000000" w:csb0="00040001" w:csb1="00000000"/>
    <w:embedRegular r:id="rId7" w:fontKey="{5860B114-AE4A-430F-B8F1-2B2587947A75}"/>
  </w:font>
  <w:font w:name="KSOF7FC4CF2A">
    <w:panose1 w:val="020B0604020202020204"/>
    <w:charset w:val="00"/>
    <w:family w:val="auto"/>
    <w:pitch w:val="default"/>
    <w:sig w:usb0="00000001" w:usb1="00000000" w:usb2="00000000" w:usb3="00000000" w:csb0="00000001"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FB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908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9085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9FCABA7">
      <w:pPr>
        <w:pStyle w:val="8"/>
        <w:snapToGrid w:val="0"/>
        <w:rPr>
          <w:rFonts w:hint="eastAsia"/>
          <w:highlight w:val="none"/>
          <w:lang w:val="en-US" w:eastAsia="zh-CN"/>
        </w:rPr>
      </w:pPr>
      <w:r>
        <w:rPr>
          <w:rStyle w:val="16"/>
          <w:highlight w:val="none"/>
        </w:rPr>
        <w:footnoteRef/>
      </w:r>
      <w:r>
        <w:rPr>
          <w:highlight w:val="none"/>
        </w:rPr>
        <w:t xml:space="preserve"> </w:t>
      </w:r>
      <w:r>
        <w:rPr>
          <w:rFonts w:hint="eastAsia"/>
          <w:highlight w:val="none"/>
          <w:lang w:val="en-US" w:eastAsia="zh-CN"/>
        </w:rPr>
        <w:t>申请机构按照自身优势申请最符合条件的子基金类型，不可多选。三类子基金的定位如下：</w:t>
      </w:r>
    </w:p>
    <w:p w14:paraId="40351EA1">
      <w:pPr>
        <w:pStyle w:val="8"/>
        <w:snapToGrid w:val="0"/>
        <w:rPr>
          <w:rFonts w:hint="default"/>
          <w:highlight w:val="yellow"/>
          <w:lang w:val="en-US" w:eastAsia="zh-CN"/>
        </w:rPr>
      </w:pPr>
      <w:r>
        <w:rPr>
          <w:rFonts w:hint="eastAsia"/>
          <w:highlight w:val="none"/>
          <w:lang w:val="en-US" w:eastAsia="zh-CN"/>
        </w:rPr>
        <w:t>（1）产业主力子基金围绕高端制造、数字经济、新能源、电子信息、生物医药领域的投资比例不低于80%；（2）科创培育子基金聚焦早中期的高科技项目，投向早中期项目的比例不低于</w:t>
      </w:r>
      <w:bookmarkStart w:id="99" w:name="_GoBack"/>
      <w:r>
        <w:rPr>
          <w:rFonts w:hint="eastAsia"/>
          <w:highlight w:val="none"/>
          <w:lang w:val="en-US" w:eastAsia="zh-CN"/>
        </w:rPr>
        <w:t>60%。</w:t>
      </w:r>
      <w:bookmarkEnd w:id="99"/>
    </w:p>
    <w:p w14:paraId="6A0BA489">
      <w:pPr>
        <w:pStyle w:val="8"/>
        <w:snapToGrid w:val="0"/>
        <w:rPr>
          <w:rFonts w:hint="default"/>
          <w:highlight w:val="yellow"/>
          <w:lang w:val="en-US"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9DE9">
    <w:pPr>
      <w:pStyle w:val="7"/>
      <w:rPr>
        <w:rFonts w:hint="default" w:eastAsiaTheme="minorEastAsia"/>
        <w:lang w:val="en-US" w:eastAsia="zh-CN"/>
      </w:rPr>
    </w:pPr>
    <w:r>
      <w:rPr>
        <w:rFonts w:hint="eastAsia"/>
        <w:lang w:val="en-US" w:eastAsia="zh-CN"/>
      </w:rPr>
      <w:t>广东南控一号产业投资合伙企业（有限合伙）                                     子基金申报材料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B23A3"/>
    <w:multiLevelType w:val="singleLevel"/>
    <w:tmpl w:val="8EFB23A3"/>
    <w:lvl w:ilvl="0" w:tentative="0">
      <w:start w:val="1"/>
      <w:numFmt w:val="chineseCounting"/>
      <w:suff w:val="nothing"/>
      <w:lvlText w:val="（%1）"/>
      <w:lvlJc w:val="left"/>
      <w:pPr>
        <w:ind w:left="0" w:firstLine="420"/>
      </w:pPr>
      <w:rPr>
        <w:rFonts w:hint="eastAsia"/>
      </w:rPr>
    </w:lvl>
  </w:abstractNum>
  <w:abstractNum w:abstractNumId="1">
    <w:nsid w:val="B0AE55C5"/>
    <w:multiLevelType w:val="singleLevel"/>
    <w:tmpl w:val="B0AE55C5"/>
    <w:lvl w:ilvl="0" w:tentative="0">
      <w:start w:val="1"/>
      <w:numFmt w:val="chineseCounting"/>
      <w:pStyle w:val="2"/>
      <w:suff w:val="nothing"/>
      <w:lvlText w:val="%1、"/>
      <w:lvlJc w:val="left"/>
      <w:pPr>
        <w:ind w:left="0" w:firstLine="420"/>
      </w:pPr>
      <w:rPr>
        <w:rFonts w:hint="eastAsia"/>
      </w:rPr>
    </w:lvl>
  </w:abstractNum>
  <w:abstractNum w:abstractNumId="2">
    <w:nsid w:val="C1FD834C"/>
    <w:multiLevelType w:val="singleLevel"/>
    <w:tmpl w:val="C1FD834C"/>
    <w:lvl w:ilvl="0" w:tentative="0">
      <w:start w:val="1"/>
      <w:numFmt w:val="decimal"/>
      <w:suff w:val="nothing"/>
      <w:lvlText w:val="%1．"/>
      <w:lvlJc w:val="left"/>
      <w:pPr>
        <w:ind w:left="0" w:firstLine="400"/>
      </w:pPr>
      <w:rPr>
        <w:rFonts w:hint="default"/>
      </w:rPr>
    </w:lvl>
  </w:abstractNum>
  <w:abstractNum w:abstractNumId="3">
    <w:nsid w:val="EB6715BA"/>
    <w:multiLevelType w:val="singleLevel"/>
    <w:tmpl w:val="EB6715BA"/>
    <w:lvl w:ilvl="0" w:tentative="0">
      <w:start w:val="1"/>
      <w:numFmt w:val="decimal"/>
      <w:suff w:val="nothing"/>
      <w:lvlText w:val="%1．"/>
      <w:lvlJc w:val="left"/>
      <w:pPr>
        <w:ind w:left="0" w:firstLine="400"/>
      </w:pPr>
      <w:rPr>
        <w:rFonts w:hint="default"/>
      </w:rPr>
    </w:lvl>
  </w:abstractNum>
  <w:abstractNum w:abstractNumId="4">
    <w:nsid w:val="04483074"/>
    <w:multiLevelType w:val="singleLevel"/>
    <w:tmpl w:val="04483074"/>
    <w:lvl w:ilvl="0" w:tentative="0">
      <w:start w:val="1"/>
      <w:numFmt w:val="decimal"/>
      <w:suff w:val="nothing"/>
      <w:lvlText w:val="%1．"/>
      <w:lvlJc w:val="left"/>
      <w:pPr>
        <w:ind w:left="0" w:firstLine="400"/>
      </w:pPr>
      <w:rPr>
        <w:rFonts w:hint="default"/>
      </w:rPr>
    </w:lvl>
  </w:abstractNum>
  <w:abstractNum w:abstractNumId="5">
    <w:nsid w:val="229626EF"/>
    <w:multiLevelType w:val="singleLevel"/>
    <w:tmpl w:val="229626EF"/>
    <w:lvl w:ilvl="0" w:tentative="0">
      <w:start w:val="1"/>
      <w:numFmt w:val="decimal"/>
      <w:suff w:val="nothing"/>
      <w:lvlText w:val="%1．"/>
      <w:lvlJc w:val="left"/>
      <w:pPr>
        <w:ind w:left="0" w:firstLine="400"/>
      </w:pPr>
      <w:rPr>
        <w:rFonts w:hint="default"/>
      </w:rPr>
    </w:lvl>
  </w:abstractNum>
  <w:abstractNum w:abstractNumId="6">
    <w:nsid w:val="2428E787"/>
    <w:multiLevelType w:val="singleLevel"/>
    <w:tmpl w:val="2428E787"/>
    <w:lvl w:ilvl="0" w:tentative="0">
      <w:start w:val="1"/>
      <w:numFmt w:val="decimal"/>
      <w:suff w:val="nothing"/>
      <w:lvlText w:val="%1．"/>
      <w:lvlJc w:val="left"/>
      <w:pPr>
        <w:ind w:left="0" w:firstLine="400"/>
      </w:pPr>
      <w:rPr>
        <w:rFonts w:hint="default"/>
      </w:rPr>
    </w:lvl>
  </w:abstractNum>
  <w:abstractNum w:abstractNumId="7">
    <w:nsid w:val="3307A9C1"/>
    <w:multiLevelType w:val="singleLevel"/>
    <w:tmpl w:val="3307A9C1"/>
    <w:lvl w:ilvl="0" w:tentative="0">
      <w:start w:val="1"/>
      <w:numFmt w:val="decimal"/>
      <w:suff w:val="nothing"/>
      <w:lvlText w:val="%1．"/>
      <w:lvlJc w:val="left"/>
      <w:pPr>
        <w:ind w:left="0" w:firstLine="400"/>
      </w:pPr>
      <w:rPr>
        <w:rFonts w:hint="default"/>
      </w:rPr>
    </w:lvl>
  </w:abstractNum>
  <w:abstractNum w:abstractNumId="8">
    <w:nsid w:val="3B607A2D"/>
    <w:multiLevelType w:val="singleLevel"/>
    <w:tmpl w:val="3B607A2D"/>
    <w:lvl w:ilvl="0" w:tentative="0">
      <w:start w:val="2"/>
      <w:numFmt w:val="chineseCounting"/>
      <w:suff w:val="nothing"/>
      <w:lvlText w:val="（%1）"/>
      <w:lvlJc w:val="left"/>
      <w:rPr>
        <w:rFonts w:hint="eastAsia"/>
      </w:rPr>
    </w:lvl>
  </w:abstractNum>
  <w:abstractNum w:abstractNumId="9">
    <w:nsid w:val="717C737A"/>
    <w:multiLevelType w:val="singleLevel"/>
    <w:tmpl w:val="717C737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8"/>
  </w:num>
  <w:num w:numId="4">
    <w:abstractNumId w:val="2"/>
  </w:num>
  <w:num w:numId="5">
    <w:abstractNumId w:val="4"/>
  </w:num>
  <w:num w:numId="6">
    <w:abstractNumId w:val="6"/>
  </w:num>
  <w:num w:numId="7">
    <w:abstractNumId w:val="9"/>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DUwMjIwZTU4OWQzZTMzNDk2NWIwNWQ3YThkYTEifQ=="/>
  </w:docVars>
  <w:rsids>
    <w:rsidRoot w:val="00F72298"/>
    <w:rsid w:val="00047A8F"/>
    <w:rsid w:val="001B6D32"/>
    <w:rsid w:val="00260DDF"/>
    <w:rsid w:val="002E33E9"/>
    <w:rsid w:val="00423C6D"/>
    <w:rsid w:val="005D4F7E"/>
    <w:rsid w:val="008746F8"/>
    <w:rsid w:val="00895D88"/>
    <w:rsid w:val="008D6349"/>
    <w:rsid w:val="00A55EF9"/>
    <w:rsid w:val="00A71A06"/>
    <w:rsid w:val="00DD4495"/>
    <w:rsid w:val="00E01C38"/>
    <w:rsid w:val="00F72298"/>
    <w:rsid w:val="01910549"/>
    <w:rsid w:val="01964270"/>
    <w:rsid w:val="019B1886"/>
    <w:rsid w:val="02FE1663"/>
    <w:rsid w:val="03326C27"/>
    <w:rsid w:val="03F67248"/>
    <w:rsid w:val="041D7B6C"/>
    <w:rsid w:val="04CF64B5"/>
    <w:rsid w:val="052B5551"/>
    <w:rsid w:val="05360A46"/>
    <w:rsid w:val="055D1A5B"/>
    <w:rsid w:val="05A625A8"/>
    <w:rsid w:val="05B4295E"/>
    <w:rsid w:val="05B922DB"/>
    <w:rsid w:val="05DD06BF"/>
    <w:rsid w:val="06C07699"/>
    <w:rsid w:val="07226DF2"/>
    <w:rsid w:val="079E08CA"/>
    <w:rsid w:val="079E7B2E"/>
    <w:rsid w:val="08D97E4C"/>
    <w:rsid w:val="091361A6"/>
    <w:rsid w:val="097A05A6"/>
    <w:rsid w:val="09A744F6"/>
    <w:rsid w:val="0A93759F"/>
    <w:rsid w:val="0ADA613F"/>
    <w:rsid w:val="0B0066E6"/>
    <w:rsid w:val="0C336D77"/>
    <w:rsid w:val="0C4843B9"/>
    <w:rsid w:val="0C517582"/>
    <w:rsid w:val="0C9B273A"/>
    <w:rsid w:val="0CA6117F"/>
    <w:rsid w:val="0CF14773"/>
    <w:rsid w:val="0E8042DE"/>
    <w:rsid w:val="0E884F40"/>
    <w:rsid w:val="0EC71F0D"/>
    <w:rsid w:val="0F636100"/>
    <w:rsid w:val="0F7D081D"/>
    <w:rsid w:val="0FB748D6"/>
    <w:rsid w:val="10563644"/>
    <w:rsid w:val="118267DC"/>
    <w:rsid w:val="11AF67AA"/>
    <w:rsid w:val="122907E8"/>
    <w:rsid w:val="124D2729"/>
    <w:rsid w:val="126D2DCB"/>
    <w:rsid w:val="12B66520"/>
    <w:rsid w:val="12CA248E"/>
    <w:rsid w:val="13323185"/>
    <w:rsid w:val="140032B7"/>
    <w:rsid w:val="1486120C"/>
    <w:rsid w:val="153454C5"/>
    <w:rsid w:val="15532981"/>
    <w:rsid w:val="165B47AF"/>
    <w:rsid w:val="16646293"/>
    <w:rsid w:val="16F21AF1"/>
    <w:rsid w:val="170B1F71"/>
    <w:rsid w:val="171B1048"/>
    <w:rsid w:val="172123D6"/>
    <w:rsid w:val="17575B52"/>
    <w:rsid w:val="17A8108D"/>
    <w:rsid w:val="17BE19D3"/>
    <w:rsid w:val="18C80743"/>
    <w:rsid w:val="193C29C9"/>
    <w:rsid w:val="195925E8"/>
    <w:rsid w:val="19B72B7E"/>
    <w:rsid w:val="1A8D2648"/>
    <w:rsid w:val="1AC0717E"/>
    <w:rsid w:val="1AC47300"/>
    <w:rsid w:val="1BF47A31"/>
    <w:rsid w:val="1C1B332C"/>
    <w:rsid w:val="1D367B07"/>
    <w:rsid w:val="1D4D182F"/>
    <w:rsid w:val="1D65461D"/>
    <w:rsid w:val="1D6B7F77"/>
    <w:rsid w:val="1DBF3C91"/>
    <w:rsid w:val="1E2E2D10"/>
    <w:rsid w:val="1E9221ED"/>
    <w:rsid w:val="1EE066D3"/>
    <w:rsid w:val="1EE20B02"/>
    <w:rsid w:val="1F983906"/>
    <w:rsid w:val="1FF75985"/>
    <w:rsid w:val="200E1970"/>
    <w:rsid w:val="20451E56"/>
    <w:rsid w:val="208D737C"/>
    <w:rsid w:val="20BC46DF"/>
    <w:rsid w:val="215D400B"/>
    <w:rsid w:val="21D313EA"/>
    <w:rsid w:val="221E19EC"/>
    <w:rsid w:val="22415D1B"/>
    <w:rsid w:val="2250500B"/>
    <w:rsid w:val="22E42C35"/>
    <w:rsid w:val="235558E1"/>
    <w:rsid w:val="23A54058"/>
    <w:rsid w:val="243E70E0"/>
    <w:rsid w:val="245E2574"/>
    <w:rsid w:val="24920BA3"/>
    <w:rsid w:val="25A13FCF"/>
    <w:rsid w:val="267239A1"/>
    <w:rsid w:val="2687791D"/>
    <w:rsid w:val="27213D9A"/>
    <w:rsid w:val="272F636E"/>
    <w:rsid w:val="279F5238"/>
    <w:rsid w:val="27B16E5E"/>
    <w:rsid w:val="2A130367"/>
    <w:rsid w:val="2A5C79ED"/>
    <w:rsid w:val="2A8E0E1C"/>
    <w:rsid w:val="2AB90000"/>
    <w:rsid w:val="2B2A194C"/>
    <w:rsid w:val="2B77216D"/>
    <w:rsid w:val="2C0F2BF6"/>
    <w:rsid w:val="2D907AE6"/>
    <w:rsid w:val="2EAB69E6"/>
    <w:rsid w:val="2EC15329"/>
    <w:rsid w:val="2ED9446E"/>
    <w:rsid w:val="2F2163DA"/>
    <w:rsid w:val="2F3E36CD"/>
    <w:rsid w:val="2F5C1DA5"/>
    <w:rsid w:val="2FC04165"/>
    <w:rsid w:val="2FD9220A"/>
    <w:rsid w:val="30136C5B"/>
    <w:rsid w:val="301A5EE8"/>
    <w:rsid w:val="31096BFD"/>
    <w:rsid w:val="316C4934"/>
    <w:rsid w:val="31973373"/>
    <w:rsid w:val="31B85BC6"/>
    <w:rsid w:val="332D3F39"/>
    <w:rsid w:val="337977C2"/>
    <w:rsid w:val="33975281"/>
    <w:rsid w:val="33AD3DF4"/>
    <w:rsid w:val="34127916"/>
    <w:rsid w:val="343711AB"/>
    <w:rsid w:val="34910456"/>
    <w:rsid w:val="3529521F"/>
    <w:rsid w:val="35937D93"/>
    <w:rsid w:val="359D0A6C"/>
    <w:rsid w:val="35F40B35"/>
    <w:rsid w:val="361C403D"/>
    <w:rsid w:val="364137EC"/>
    <w:rsid w:val="370748CE"/>
    <w:rsid w:val="373D34D1"/>
    <w:rsid w:val="37C5392C"/>
    <w:rsid w:val="38115A0B"/>
    <w:rsid w:val="39067E31"/>
    <w:rsid w:val="390F6478"/>
    <w:rsid w:val="39361424"/>
    <w:rsid w:val="39591139"/>
    <w:rsid w:val="397B72CC"/>
    <w:rsid w:val="398F7F14"/>
    <w:rsid w:val="399B14DC"/>
    <w:rsid w:val="39D07618"/>
    <w:rsid w:val="3AE81245"/>
    <w:rsid w:val="3B436486"/>
    <w:rsid w:val="3BA46521"/>
    <w:rsid w:val="3BCE0565"/>
    <w:rsid w:val="3CE8111C"/>
    <w:rsid w:val="3D5440BC"/>
    <w:rsid w:val="3D5D3DAB"/>
    <w:rsid w:val="3DBD7EB3"/>
    <w:rsid w:val="3E2B7D42"/>
    <w:rsid w:val="3E4D3315"/>
    <w:rsid w:val="3E6F5651"/>
    <w:rsid w:val="3E92197F"/>
    <w:rsid w:val="3F5D6B05"/>
    <w:rsid w:val="3F6C4B55"/>
    <w:rsid w:val="3FCB420A"/>
    <w:rsid w:val="40FA31CC"/>
    <w:rsid w:val="412722F3"/>
    <w:rsid w:val="41FC0487"/>
    <w:rsid w:val="42640588"/>
    <w:rsid w:val="42BC698B"/>
    <w:rsid w:val="42C87CF8"/>
    <w:rsid w:val="42DC6AA5"/>
    <w:rsid w:val="43B9211F"/>
    <w:rsid w:val="43FC0CC5"/>
    <w:rsid w:val="45BC6CA2"/>
    <w:rsid w:val="46E53971"/>
    <w:rsid w:val="470D1EAB"/>
    <w:rsid w:val="472E4987"/>
    <w:rsid w:val="47A143A2"/>
    <w:rsid w:val="47DE55F6"/>
    <w:rsid w:val="47EA304E"/>
    <w:rsid w:val="49056264"/>
    <w:rsid w:val="499456BF"/>
    <w:rsid w:val="499A379E"/>
    <w:rsid w:val="49EC5485"/>
    <w:rsid w:val="4A3629BE"/>
    <w:rsid w:val="4C237A7B"/>
    <w:rsid w:val="4C2923C6"/>
    <w:rsid w:val="4C392DFB"/>
    <w:rsid w:val="4C3C2450"/>
    <w:rsid w:val="4C565C1E"/>
    <w:rsid w:val="4C7D6F5C"/>
    <w:rsid w:val="4CA655CE"/>
    <w:rsid w:val="4D3A4854"/>
    <w:rsid w:val="4D531B28"/>
    <w:rsid w:val="4D735A49"/>
    <w:rsid w:val="4D9D1327"/>
    <w:rsid w:val="4DC42C7B"/>
    <w:rsid w:val="4E193131"/>
    <w:rsid w:val="4EA80A10"/>
    <w:rsid w:val="4F950C90"/>
    <w:rsid w:val="500B12DF"/>
    <w:rsid w:val="50650662"/>
    <w:rsid w:val="507B0379"/>
    <w:rsid w:val="50920CC7"/>
    <w:rsid w:val="50B60EBE"/>
    <w:rsid w:val="5102518D"/>
    <w:rsid w:val="51211E97"/>
    <w:rsid w:val="52965D58"/>
    <w:rsid w:val="52C76449"/>
    <w:rsid w:val="53A7242C"/>
    <w:rsid w:val="54C7473F"/>
    <w:rsid w:val="5508624C"/>
    <w:rsid w:val="555A6EB3"/>
    <w:rsid w:val="55B10A22"/>
    <w:rsid w:val="561F2425"/>
    <w:rsid w:val="56457388"/>
    <w:rsid w:val="56A812A9"/>
    <w:rsid w:val="572B3C88"/>
    <w:rsid w:val="57D23F3C"/>
    <w:rsid w:val="57EF1159"/>
    <w:rsid w:val="5818616E"/>
    <w:rsid w:val="58346F7E"/>
    <w:rsid w:val="588012DF"/>
    <w:rsid w:val="58850FB0"/>
    <w:rsid w:val="58CB40A2"/>
    <w:rsid w:val="599D66E5"/>
    <w:rsid w:val="59FF09F7"/>
    <w:rsid w:val="5A363156"/>
    <w:rsid w:val="5A625C12"/>
    <w:rsid w:val="5A9F3368"/>
    <w:rsid w:val="5AC468CD"/>
    <w:rsid w:val="5ACF369A"/>
    <w:rsid w:val="5AEB20AC"/>
    <w:rsid w:val="5AEF63DE"/>
    <w:rsid w:val="5AFC3B3E"/>
    <w:rsid w:val="5B084A0C"/>
    <w:rsid w:val="5B3474DA"/>
    <w:rsid w:val="5C1605B8"/>
    <w:rsid w:val="5C8956D8"/>
    <w:rsid w:val="5CD85DA5"/>
    <w:rsid w:val="5E1E4AEE"/>
    <w:rsid w:val="5E840AFF"/>
    <w:rsid w:val="5E99153F"/>
    <w:rsid w:val="5F357D99"/>
    <w:rsid w:val="605E08D8"/>
    <w:rsid w:val="60FE3DC8"/>
    <w:rsid w:val="61750921"/>
    <w:rsid w:val="61804C88"/>
    <w:rsid w:val="61AA0132"/>
    <w:rsid w:val="61AB6D51"/>
    <w:rsid w:val="61AD169C"/>
    <w:rsid w:val="61AF3E33"/>
    <w:rsid w:val="61CD29B0"/>
    <w:rsid w:val="61E9164F"/>
    <w:rsid w:val="629B43B7"/>
    <w:rsid w:val="63966EC4"/>
    <w:rsid w:val="63E921A7"/>
    <w:rsid w:val="64885244"/>
    <w:rsid w:val="64C311F0"/>
    <w:rsid w:val="65B95DD7"/>
    <w:rsid w:val="66EC3434"/>
    <w:rsid w:val="66F9345B"/>
    <w:rsid w:val="684F35AC"/>
    <w:rsid w:val="68AF2E06"/>
    <w:rsid w:val="69367529"/>
    <w:rsid w:val="69CD0AE5"/>
    <w:rsid w:val="6A49294B"/>
    <w:rsid w:val="6A6D03E7"/>
    <w:rsid w:val="6A99074F"/>
    <w:rsid w:val="6AA76F03"/>
    <w:rsid w:val="6B1C352B"/>
    <w:rsid w:val="6B215ADE"/>
    <w:rsid w:val="6B5B3562"/>
    <w:rsid w:val="6B976E1D"/>
    <w:rsid w:val="6BEE7306"/>
    <w:rsid w:val="6CCD109E"/>
    <w:rsid w:val="6D160715"/>
    <w:rsid w:val="6D6F091A"/>
    <w:rsid w:val="6DBD1686"/>
    <w:rsid w:val="6EFE1F56"/>
    <w:rsid w:val="6FC649B3"/>
    <w:rsid w:val="6FD07DC1"/>
    <w:rsid w:val="7012146B"/>
    <w:rsid w:val="70361407"/>
    <w:rsid w:val="70910D09"/>
    <w:rsid w:val="71072C18"/>
    <w:rsid w:val="712D45DE"/>
    <w:rsid w:val="71355EA8"/>
    <w:rsid w:val="71726DCC"/>
    <w:rsid w:val="71914E5F"/>
    <w:rsid w:val="71922E29"/>
    <w:rsid w:val="71A62431"/>
    <w:rsid w:val="71AF5789"/>
    <w:rsid w:val="71ED1E0E"/>
    <w:rsid w:val="7215555A"/>
    <w:rsid w:val="722863AF"/>
    <w:rsid w:val="722C0640"/>
    <w:rsid w:val="73A572CC"/>
    <w:rsid w:val="74512B28"/>
    <w:rsid w:val="747C1130"/>
    <w:rsid w:val="7487650D"/>
    <w:rsid w:val="748A2B0E"/>
    <w:rsid w:val="74E90FB2"/>
    <w:rsid w:val="756B19C7"/>
    <w:rsid w:val="75814EA2"/>
    <w:rsid w:val="766905FD"/>
    <w:rsid w:val="76D66663"/>
    <w:rsid w:val="772A154D"/>
    <w:rsid w:val="784A620C"/>
    <w:rsid w:val="78686692"/>
    <w:rsid w:val="78F46178"/>
    <w:rsid w:val="78F71782"/>
    <w:rsid w:val="79C142AC"/>
    <w:rsid w:val="79C4281B"/>
    <w:rsid w:val="79EF7661"/>
    <w:rsid w:val="7B8758A0"/>
    <w:rsid w:val="7C2B0102"/>
    <w:rsid w:val="7CA852AF"/>
    <w:rsid w:val="7CF75FAD"/>
    <w:rsid w:val="7D4F7E21"/>
    <w:rsid w:val="7E4945DB"/>
    <w:rsid w:val="7E6D67B0"/>
    <w:rsid w:val="7F5F051A"/>
    <w:rsid w:val="7F76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keepNext/>
      <w:keepLines/>
      <w:numPr>
        <w:ilvl w:val="0"/>
        <w:numId w:val="1"/>
      </w:numPr>
      <w:spacing w:before="340" w:after="330" w:line="578" w:lineRule="auto"/>
      <w:outlineLvl w:val="0"/>
    </w:pPr>
    <w:rPr>
      <w:rFonts w:eastAsia="黑体"/>
      <w:kern w:val="44"/>
      <w:sz w:val="32"/>
      <w:szCs w:val="32"/>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5">
    <w:name w:val="annotation text"/>
    <w:basedOn w:val="1"/>
    <w:qFormat/>
    <w:uiPriority w:val="0"/>
    <w:pPr>
      <w:jc w:val="left"/>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tabs>
        <w:tab w:val="right" w:leader="dot" w:pos="8778"/>
      </w:tabs>
      <w:ind w:left="210"/>
      <w:jc w:val="left"/>
    </w:pPr>
    <w:rPr>
      <w:rFonts w:ascii="隶书" w:hAnsi="华文楷体" w:eastAsia="隶书" w:cs="Calibri"/>
      <w:b/>
      <w:smallCaps/>
      <w:sz w:val="28"/>
      <w:szCs w:val="2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3"/>
    <w:link w:val="7"/>
    <w:qFormat/>
    <w:uiPriority w:val="0"/>
    <w:rPr>
      <w:kern w:val="2"/>
      <w:sz w:val="18"/>
      <w:szCs w:val="18"/>
    </w:rPr>
  </w:style>
  <w:style w:type="character" w:customStyle="1" w:styleId="19">
    <w:name w:val="页脚 字符"/>
    <w:basedOn w:val="13"/>
    <w:link w:val="6"/>
    <w:qFormat/>
    <w:uiPriority w:val="0"/>
    <w:rPr>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尽调正文"/>
    <w:basedOn w:val="1"/>
    <w:qFormat/>
    <w:uiPriority w:val="0"/>
    <w:pPr>
      <w:adjustRightInd w:val="0"/>
      <w:snapToGrid w:val="0"/>
      <w:spacing w:line="460" w:lineRule="exact"/>
      <w:ind w:firstLine="200" w:firstLineChars="200"/>
    </w:pPr>
    <w:rPr>
      <w:rFonts w:ascii="Arial" w:hAnsi="Arial" w:cs="Arial"/>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7239</Words>
  <Characters>7406</Characters>
  <Lines>66</Lines>
  <Paragraphs>18</Paragraphs>
  <TotalTime>64</TotalTime>
  <ScaleCrop>false</ScaleCrop>
  <LinksUpToDate>false</LinksUpToDate>
  <CharactersWithSpaces>8105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2023-04-14T09:41:00Z</dcterms:created>
  <dc:creator>admin</dc:creator>
  <cp:lastModifiedBy>admin</cp:lastModifiedBy>
  <dcterms:modified xsi:type="dcterms:W3CDTF">2026-06-24T00:39:58Z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F4C2CCC7001D49169AE9FE1A55C7A691</vt:lpwstr>
  </property>
  <property fmtid="{D5CDD505-2E9C-101B-9397-08002B2CF9AE}" pid="4" name="KSOTemplateDocerSaveRecord">
    <vt:lpwstr>eyJoZGlkIjoiMWIwN2Q5NjU1NzQzYTE0YWVkYzZmOThhMzQzNWQ4OGIiLCJ1c2VySWQiOiIxNzY1NzE2NjI5In0=</vt:lpwstr>
  </property>
</Properties>
</file>