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E8C1">
      <w:pPr>
        <w:ind w:left="-428" w:leftChars="-204" w:right="-477" w:rightChars="-227"/>
        <w:jc w:val="center"/>
        <w:rPr>
          <w:rFonts w:hint="eastAsia"/>
          <w:spacing w:val="34"/>
        </w:rPr>
      </w:pPr>
      <w:r>
        <w:rPr>
          <w:rFonts w:hint="eastAsia" w:ascii="宋体" w:hAnsi="宋体"/>
          <w:b/>
          <w:color w:val="FF0000"/>
          <w:spacing w:val="34"/>
          <w:w w:val="60"/>
          <w:kern w:val="10"/>
          <w:sz w:val="72"/>
          <w:szCs w:val="72"/>
          <w:lang w:val="en-US" w:eastAsia="zh-CN"/>
        </w:rPr>
        <w:t>广东南控创业投资基金管理</w:t>
      </w:r>
      <w:r>
        <w:rPr>
          <w:rFonts w:hint="eastAsia" w:ascii="宋体" w:hAnsi="宋体"/>
          <w:b/>
          <w:color w:val="FF0000"/>
          <w:spacing w:val="34"/>
          <w:w w:val="60"/>
          <w:kern w:val="10"/>
          <w:sz w:val="72"/>
          <w:szCs w:val="72"/>
        </w:rPr>
        <w:t>有限公司</w:t>
      </w:r>
    </w:p>
    <w:p w14:paraId="4B4574B7">
      <w:pPr>
        <w:pStyle w:val="2"/>
        <w:rPr>
          <w:rFonts w:hint="eastAsia"/>
          <w:sz w:val="32"/>
          <w:szCs w:val="40"/>
          <w:lang w:val="en-US" w:eastAsia="zh-CN"/>
        </w:rPr>
      </w:pP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26670</wp:posOffset>
                </wp:positionV>
                <wp:extent cx="5391785" cy="0"/>
                <wp:effectExtent l="0" t="12700" r="18415" b="15875"/>
                <wp:wrapNone/>
                <wp:docPr id="1" name="直接箭头连接符 1"/>
                <wp:cNvGraphicFramePr/>
                <a:graphic xmlns:a="http://schemas.openxmlformats.org/drawingml/2006/main">
                  <a:graphicData uri="http://schemas.microsoft.com/office/word/2010/wordprocessingShape">
                    <wps:wsp>
                      <wps:cNvCnPr/>
                      <wps:spPr>
                        <a:xfrm>
                          <a:off x="0" y="0"/>
                          <a:ext cx="5391785"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2.1pt;height:0pt;width:424.55pt;z-index:251659264;mso-width-relative:page;mso-height-relative:page;" filled="f" stroked="t" coordsize="21600,21600" o:gfxdata="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60UUfWAAAABgEAAA8AAAAAAAAAAQAgAAAAIgAAAGRycy9kb3du&#10;cmV2LnhtbFBLAQIUABQAAAAIAIdO4kDdp4pDAQIAAO0DAAAOAAAAAAAAAAEAIAAAACUBAABkcnMv&#10;ZTJvRG9jLnhtbFBLBQYAAAAABgAGAFkBAACYBQAAAAA=&#10;">
                <v:fill on="f" focussize="0,0"/>
                <v:stroke weight="2pt" color="#FF0000" joinstyle="round"/>
                <v:imagedata o:title=""/>
                <o:lock v:ext="edit" aspectratio="f"/>
              </v:shape>
            </w:pict>
          </mc:Fallback>
        </mc:AlternateContent>
      </w:r>
    </w:p>
    <w:p w14:paraId="6EA7714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广东南控一号产业投资合伙企业（有限合伙）</w:t>
      </w:r>
    </w:p>
    <w:p w14:paraId="2FA208C7">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子基金管理机构定向申请实施办法</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2026年修订</w:t>
      </w:r>
      <w:r>
        <w:rPr>
          <w:rFonts w:hint="eastAsia" w:ascii="方正小标宋简体" w:hAnsi="方正小标宋简体" w:eastAsia="方正小标宋简体" w:cs="方正小标宋简体"/>
          <w:sz w:val="36"/>
          <w:szCs w:val="36"/>
          <w:lang w:eastAsia="zh-CN"/>
        </w:rPr>
        <w:t>）</w:t>
      </w:r>
    </w:p>
    <w:p w14:paraId="73B78E77">
      <w:pPr>
        <w:pStyle w:val="8"/>
        <w:widowControl/>
        <w:shd w:val="clear" w:color="auto" w:fill="FFFFFF"/>
        <w:wordWrap w:val="0"/>
        <w:spacing w:beforeAutospacing="0" w:afterAutospacing="0" w:line="520" w:lineRule="exact"/>
        <w:ind w:firstLine="420"/>
        <w:rPr>
          <w:rFonts w:ascii="Helvetica" w:hAnsi="Helvetica" w:eastAsia="Helvetica" w:cs="Helvetica"/>
          <w:color w:val="444444"/>
          <w:sz w:val="32"/>
          <w:szCs w:val="32"/>
          <w:highlight w:val="none"/>
          <w:shd w:val="clear" w:color="auto" w:fill="FFFFFF"/>
        </w:rPr>
      </w:pPr>
    </w:p>
    <w:p w14:paraId="43B01F79">
      <w:pPr>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14:paraId="0F6330DD">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rPr>
        <w:t>为规范</w:t>
      </w:r>
      <w:r>
        <w:rPr>
          <w:rFonts w:hint="eastAsia" w:ascii="仿宋_GB2312" w:hAnsi="仿宋_GB2312" w:eastAsia="仿宋_GB2312" w:cs="仿宋_GB2312"/>
          <w:sz w:val="32"/>
          <w:szCs w:val="24"/>
          <w:shd w:val="clear"/>
          <w:lang w:val="en-US" w:eastAsia="zh-CN"/>
        </w:rPr>
        <w:t>子基金管理机构</w:t>
      </w:r>
      <w:r>
        <w:rPr>
          <w:rFonts w:hint="eastAsia" w:ascii="仿宋_GB2312" w:hAnsi="仿宋_GB2312" w:eastAsia="仿宋_GB2312" w:cs="仿宋_GB2312"/>
          <w:sz w:val="32"/>
          <w:szCs w:val="24"/>
          <w:shd w:val="clear"/>
        </w:rPr>
        <w:t>向广东南控一号产业投资合伙企业（有限合伙）（以下简称南控母基金）提出定向申请</w:t>
      </w:r>
      <w:r>
        <w:rPr>
          <w:rFonts w:hint="eastAsia" w:ascii="仿宋_GB2312" w:hAnsi="仿宋_GB2312" w:eastAsia="仿宋_GB2312" w:cs="仿宋_GB2312"/>
          <w:sz w:val="32"/>
          <w:szCs w:val="24"/>
          <w:shd w:val="clear"/>
          <w:vertAlign w:val="superscript"/>
        </w:rPr>
        <w:footnoteReference w:id="0"/>
      </w:r>
      <w:r>
        <w:rPr>
          <w:rFonts w:hint="eastAsia" w:ascii="仿宋_GB2312" w:hAnsi="仿宋_GB2312" w:eastAsia="仿宋_GB2312" w:cs="仿宋_GB2312"/>
          <w:sz w:val="32"/>
          <w:szCs w:val="24"/>
          <w:shd w:val="clear"/>
        </w:rPr>
        <w:t>的行为，明确相关要求，特制定本办法。</w:t>
      </w:r>
    </w:p>
    <w:p w14:paraId="3ED19E78">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lang w:val="en-US" w:eastAsia="zh-CN"/>
        </w:rPr>
        <w:t>广东</w:t>
      </w:r>
      <w:r>
        <w:rPr>
          <w:rFonts w:hint="eastAsia" w:ascii="仿宋_GB2312" w:hAnsi="仿宋_GB2312" w:eastAsia="仿宋_GB2312" w:cs="仿宋_GB2312"/>
          <w:sz w:val="32"/>
          <w:szCs w:val="24"/>
          <w:shd w:val="clear"/>
        </w:rPr>
        <w:t>南控创业投资基金管理有限公司（以下简称南控基金公司）为南控母基金的管理人，是定向申请程序的组织机构，负责组织开展对申报子基金的资料收集、初审立项、尽职调查、商务谈判、复核、投资决策等工作。</w:t>
      </w:r>
    </w:p>
    <w:p w14:paraId="5B9C6A59">
      <w:pPr>
        <w:widowControl w:val="0"/>
        <w:numPr>
          <w:ilvl w:val="0"/>
          <w:numId w:val="1"/>
        </w:numPr>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rPr>
        <w:t>本办法所</w:t>
      </w:r>
      <w:r>
        <w:rPr>
          <w:rFonts w:hint="eastAsia" w:ascii="仿宋_GB2312" w:hAnsi="仿宋_GB2312" w:eastAsia="仿宋_GB2312" w:cs="仿宋_GB2312"/>
          <w:sz w:val="32"/>
          <w:szCs w:val="24"/>
          <w:shd w:val="clear"/>
          <w:lang w:val="en-US" w:eastAsia="zh-CN"/>
        </w:rPr>
        <w:t>称</w:t>
      </w:r>
      <w:r>
        <w:rPr>
          <w:rFonts w:hint="eastAsia" w:ascii="仿宋_GB2312" w:hAnsi="仿宋_GB2312" w:eastAsia="仿宋_GB2312" w:cs="仿宋_GB2312"/>
          <w:sz w:val="32"/>
          <w:szCs w:val="24"/>
          <w:shd w:val="clear"/>
        </w:rPr>
        <w:t>申请机构</w:t>
      </w:r>
      <w:r>
        <w:rPr>
          <w:rFonts w:hint="eastAsia" w:ascii="仿宋_GB2312" w:hAnsi="仿宋_GB2312" w:eastAsia="仿宋_GB2312" w:cs="仿宋_GB2312"/>
          <w:sz w:val="32"/>
          <w:szCs w:val="24"/>
          <w:shd w:val="clear"/>
          <w:lang w:val="en-US" w:eastAsia="zh-CN"/>
        </w:rPr>
        <w:t>是指向南控母基金提出</w:t>
      </w:r>
      <w:r>
        <w:rPr>
          <w:rFonts w:hint="eastAsia" w:ascii="仿宋_GB2312" w:hAnsi="仿宋_GB2312" w:eastAsia="仿宋_GB2312" w:cs="仿宋_GB2312"/>
          <w:sz w:val="32"/>
          <w:szCs w:val="24"/>
          <w:shd w:val="clear"/>
        </w:rPr>
        <w:t>定向申请的主体机构，管理机构</w:t>
      </w:r>
      <w:r>
        <w:rPr>
          <w:rFonts w:hint="eastAsia" w:ascii="仿宋_GB2312" w:hAnsi="仿宋_GB2312" w:eastAsia="仿宋_GB2312" w:cs="仿宋_GB2312"/>
          <w:sz w:val="32"/>
          <w:szCs w:val="24"/>
          <w:shd w:val="clear"/>
          <w:lang w:val="en-US" w:eastAsia="zh-CN"/>
        </w:rPr>
        <w:t>是指</w:t>
      </w:r>
      <w:r>
        <w:rPr>
          <w:rFonts w:hint="eastAsia" w:ascii="仿宋_GB2312" w:hAnsi="仿宋_GB2312" w:eastAsia="仿宋_GB2312" w:cs="仿宋_GB2312"/>
          <w:sz w:val="32"/>
          <w:szCs w:val="24"/>
          <w:shd w:val="clear"/>
        </w:rPr>
        <w:t>拟申请子基金的管理机构。</w:t>
      </w:r>
    </w:p>
    <w:p w14:paraId="54E8C27B">
      <w:pPr>
        <w:widowControl w:val="0"/>
        <w:wordWrap/>
        <w:adjustRightInd w:val="0"/>
        <w:snapToGrid w:val="0"/>
        <w:spacing w:line="560" w:lineRule="exact"/>
        <w:ind w:firstLine="640" w:firstLineChars="200"/>
        <w:rPr>
          <w:rFonts w:hint="eastAsia" w:ascii="仿宋_GB2312" w:hAnsi="仿宋_GB2312" w:eastAsia="仿宋_GB2312" w:cs="仿宋_GB2312"/>
          <w:sz w:val="32"/>
          <w:szCs w:val="24"/>
          <w:shd w:val="clear"/>
        </w:rPr>
      </w:pPr>
      <w:r>
        <w:rPr>
          <w:rFonts w:hint="eastAsia" w:ascii="仿宋_GB2312" w:hAnsi="仿宋_GB2312" w:eastAsia="仿宋_GB2312" w:cs="仿宋_GB2312"/>
          <w:sz w:val="32"/>
          <w:szCs w:val="24"/>
          <w:shd w:val="clear"/>
          <w:lang w:val="en-US" w:eastAsia="zh-CN"/>
        </w:rPr>
        <w:t>管理机构可以与申请机构为同一主体，或者为</w:t>
      </w:r>
      <w:r>
        <w:rPr>
          <w:rFonts w:hint="eastAsia" w:ascii="仿宋_GB2312" w:hAnsi="仿宋_GB2312" w:eastAsia="仿宋_GB2312" w:cs="仿宋_GB2312"/>
          <w:sz w:val="32"/>
          <w:szCs w:val="24"/>
          <w:shd w:val="clear"/>
        </w:rPr>
        <w:t>申请机构控股或</w:t>
      </w:r>
      <w:r>
        <w:rPr>
          <w:rFonts w:hint="eastAsia" w:ascii="仿宋_GB2312" w:hAnsi="仿宋_GB2312" w:eastAsia="仿宋_GB2312" w:cs="仿宋_GB2312"/>
          <w:sz w:val="32"/>
          <w:szCs w:val="24"/>
          <w:shd w:val="clear"/>
          <w:lang w:val="en-US" w:eastAsia="zh-CN"/>
        </w:rPr>
        <w:t>实际控制的主体</w:t>
      </w:r>
      <w:r>
        <w:rPr>
          <w:rFonts w:hint="eastAsia" w:ascii="仿宋_GB2312" w:hAnsi="仿宋_GB2312" w:eastAsia="仿宋_GB2312" w:cs="仿宋_GB2312"/>
          <w:sz w:val="32"/>
          <w:szCs w:val="24"/>
          <w:shd w:val="clear"/>
        </w:rPr>
        <w:t>。</w:t>
      </w:r>
    </w:p>
    <w:p w14:paraId="033475C5">
      <w:pPr>
        <w:pStyle w:val="8"/>
        <w:widowControl/>
        <w:numPr>
          <w:ilvl w:val="255"/>
          <w:numId w:val="0"/>
        </w:numPr>
        <w:shd w:val="clear" w:color="auto" w:fill="FFFFFF"/>
        <w:wordWrap w:val="0"/>
        <w:spacing w:beforeAutospacing="0" w:afterAutospacing="0" w:line="520" w:lineRule="exact"/>
        <w:rPr>
          <w:rFonts w:ascii="Helvetica" w:hAnsi="Helvetica" w:eastAsia="宋体" w:cs="Helvetica"/>
          <w:color w:val="444444"/>
          <w:sz w:val="32"/>
          <w:szCs w:val="32"/>
          <w:highlight w:val="none"/>
          <w:shd w:val="clear" w:color="auto" w:fill="FFFFFF"/>
        </w:rPr>
      </w:pPr>
    </w:p>
    <w:p w14:paraId="7F45F149">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第二章 子基金申请机构要求</w:t>
      </w:r>
    </w:p>
    <w:p w14:paraId="6E81602A">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申请机构应符合以下</w:t>
      </w:r>
      <w:r>
        <w:rPr>
          <w:rFonts w:hint="eastAsia" w:ascii="仿宋_GB2312" w:hAnsi="仿宋_GB2312" w:eastAsia="仿宋_GB2312" w:cs="仿宋_GB2312"/>
          <w:kern w:val="2"/>
          <w:sz w:val="32"/>
          <w:szCs w:val="24"/>
          <w:shd w:val="clear"/>
          <w:lang w:val="en-US" w:eastAsia="zh-CN"/>
        </w:rPr>
        <w:t>合规</w:t>
      </w:r>
      <w:r>
        <w:rPr>
          <w:rFonts w:hint="eastAsia" w:ascii="仿宋_GB2312" w:hAnsi="仿宋_GB2312" w:eastAsia="仿宋_GB2312" w:cs="仿宋_GB2312"/>
          <w:kern w:val="2"/>
          <w:sz w:val="32"/>
          <w:szCs w:val="24"/>
          <w:shd w:val="clear"/>
        </w:rPr>
        <w:t>条件：</w:t>
      </w:r>
    </w:p>
    <w:p w14:paraId="01A41EE9">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（一）依法在境内设立且已在相关主管部门或行业自律组织登记备案；</w:t>
      </w:r>
    </w:p>
    <w:p w14:paraId="2E356BD7">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（二）实缴资本不低于1000万元人民币；</w:t>
      </w:r>
    </w:p>
    <w:p w14:paraId="30FFC0F8">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（三）未被中国证券投资基金业协会列为异常机构</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不存在不良诚信记录等情形；</w:t>
      </w:r>
    </w:p>
    <w:p w14:paraId="3F629171">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（四）最近三年不存在重大违法违规行为。</w:t>
      </w:r>
    </w:p>
    <w:p w14:paraId="6F859FE1">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申请机构</w:t>
      </w:r>
      <w:r>
        <w:rPr>
          <w:rFonts w:hint="eastAsia" w:ascii="仿宋_GB2312" w:hAnsi="仿宋_GB2312" w:eastAsia="仿宋_GB2312" w:cs="仿宋_GB2312"/>
          <w:kern w:val="2"/>
          <w:sz w:val="32"/>
          <w:szCs w:val="24"/>
          <w:shd w:val="clear"/>
          <w:lang w:val="en-US" w:eastAsia="zh-CN"/>
        </w:rPr>
        <w:t>应符合以下任一规模条件：</w:t>
      </w:r>
    </w:p>
    <w:p w14:paraId="4A82B847">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一</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在中国证券投资基金业协会备案的累计管理规模</w:t>
      </w:r>
      <w:r>
        <w:rPr>
          <w:rFonts w:hint="eastAsia" w:ascii="仿宋_GB2312" w:hAnsi="仿宋_GB2312" w:eastAsia="仿宋_GB2312" w:cs="仿宋_GB2312"/>
          <w:kern w:val="2"/>
          <w:sz w:val="32"/>
          <w:szCs w:val="24"/>
          <w:shd w:val="clear"/>
          <w:vertAlign w:val="superscript"/>
        </w:rPr>
        <w:footnoteReference w:id="1"/>
      </w:r>
      <w:r>
        <w:rPr>
          <w:rFonts w:hint="eastAsia" w:ascii="仿宋_GB2312" w:hAnsi="仿宋_GB2312" w:eastAsia="仿宋_GB2312" w:cs="仿宋_GB2312"/>
          <w:kern w:val="2"/>
          <w:sz w:val="32"/>
          <w:szCs w:val="24"/>
          <w:shd w:val="clear"/>
        </w:rPr>
        <w:t>不少于30亿元</w:t>
      </w:r>
      <w:r>
        <w:rPr>
          <w:rFonts w:hint="eastAsia" w:ascii="仿宋_GB2312" w:hAnsi="仿宋_GB2312" w:eastAsia="仿宋_GB2312" w:cs="仿宋_GB2312"/>
          <w:kern w:val="2"/>
          <w:sz w:val="32"/>
          <w:szCs w:val="24"/>
          <w:shd w:val="clear"/>
          <w:lang w:eastAsia="zh-CN"/>
        </w:rPr>
        <w:t>；</w:t>
      </w:r>
    </w:p>
    <w:p w14:paraId="60601E3B">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二</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在中国证券投资基金业协会备案的在管基金实缴金额不低于1</w:t>
      </w:r>
      <w:r>
        <w:rPr>
          <w:rFonts w:hint="eastAsia" w:ascii="仿宋_GB2312" w:hAnsi="仿宋_GB2312" w:eastAsia="仿宋_GB2312" w:cs="仿宋_GB2312"/>
          <w:kern w:val="2"/>
          <w:sz w:val="32"/>
          <w:szCs w:val="24"/>
          <w:shd w:val="clear"/>
          <w:lang w:val="en-US" w:eastAsia="zh-CN"/>
        </w:rPr>
        <w:t>0</w:t>
      </w:r>
      <w:r>
        <w:rPr>
          <w:rFonts w:hint="eastAsia" w:ascii="仿宋_GB2312" w:hAnsi="仿宋_GB2312" w:eastAsia="仿宋_GB2312" w:cs="仿宋_GB2312"/>
          <w:kern w:val="2"/>
          <w:sz w:val="32"/>
          <w:szCs w:val="24"/>
          <w:shd w:val="clear"/>
        </w:rPr>
        <w:t>亿元。</w:t>
      </w:r>
    </w:p>
    <w:p w14:paraId="02617E43">
      <w:pPr>
        <w:pStyle w:val="8"/>
        <w:widowControl/>
        <w:shd w:val="clear" w:color="auto" w:fill="FFFFFF"/>
        <w:wordWrap w:val="0"/>
        <w:spacing w:beforeAutospacing="0" w:afterAutospacing="0" w:line="520" w:lineRule="exact"/>
        <w:jc w:val="center"/>
        <w:rPr>
          <w:rFonts w:ascii="Helvetica" w:hAnsi="Helvetica" w:eastAsia="宋体" w:cs="Helvetica"/>
          <w:color w:val="444444"/>
          <w:sz w:val="32"/>
          <w:szCs w:val="32"/>
          <w:highlight w:val="none"/>
          <w:shd w:val="clear" w:color="auto" w:fill="FFFFFF"/>
        </w:rPr>
      </w:pPr>
    </w:p>
    <w:p w14:paraId="040D8103">
      <w:pPr>
        <w:widowControl w:val="0"/>
        <w:wordWrap/>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第三章 子基金管理机构要求</w:t>
      </w:r>
    </w:p>
    <w:p w14:paraId="7A66FE52">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管理机构应符合以下</w:t>
      </w:r>
      <w:r>
        <w:rPr>
          <w:rFonts w:hint="eastAsia" w:ascii="仿宋_GB2312" w:hAnsi="仿宋_GB2312" w:eastAsia="仿宋_GB2312" w:cs="仿宋_GB2312"/>
          <w:kern w:val="2"/>
          <w:sz w:val="32"/>
          <w:szCs w:val="24"/>
          <w:shd w:val="clear"/>
          <w:lang w:val="en-US" w:eastAsia="zh-CN"/>
        </w:rPr>
        <w:t>合规</w:t>
      </w:r>
      <w:r>
        <w:rPr>
          <w:rFonts w:hint="eastAsia" w:ascii="仿宋_GB2312" w:hAnsi="仿宋_GB2312" w:eastAsia="仿宋_GB2312" w:cs="仿宋_GB2312"/>
          <w:kern w:val="2"/>
          <w:sz w:val="32"/>
          <w:szCs w:val="24"/>
          <w:shd w:val="clear"/>
        </w:rPr>
        <w:t>条件：</w:t>
      </w:r>
    </w:p>
    <w:p w14:paraId="1486CE68">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（一）依法在境内设立且已在相关主管部门或行业自律组织登记备案；</w:t>
      </w:r>
    </w:p>
    <w:p w14:paraId="0E40F80B">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（二）实缴资本不低于1000万元人民币；</w:t>
      </w:r>
    </w:p>
    <w:p w14:paraId="4B27DDCE">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（三）未被中国证券投资基金业协会列为异常机构</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不存在不良诚信记录等情形；</w:t>
      </w:r>
    </w:p>
    <w:p w14:paraId="10CF8DF0">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（四）最近三年不存在重大违法违规行为</w:t>
      </w:r>
      <w:r>
        <w:rPr>
          <w:rFonts w:hint="eastAsia" w:ascii="仿宋_GB2312" w:hAnsi="仿宋_GB2312" w:eastAsia="仿宋_GB2312" w:cs="仿宋_GB2312"/>
          <w:kern w:val="2"/>
          <w:sz w:val="32"/>
          <w:szCs w:val="24"/>
          <w:shd w:val="clear"/>
          <w:lang w:eastAsia="zh-CN"/>
        </w:rPr>
        <w:t>；</w:t>
      </w:r>
    </w:p>
    <w:p w14:paraId="52E9C89B">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五</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至少有3名具备3年以上股权投资管理工作经验的高级管理人员，主要成员无行政主管机关或司法机关处罚的不良记录</w:t>
      </w:r>
      <w:r>
        <w:rPr>
          <w:rFonts w:hint="eastAsia" w:ascii="仿宋_GB2312" w:hAnsi="仿宋_GB2312" w:eastAsia="仿宋_GB2312" w:cs="仿宋_GB2312"/>
          <w:kern w:val="2"/>
          <w:sz w:val="32"/>
          <w:szCs w:val="24"/>
          <w:shd w:val="clear"/>
          <w:lang w:eastAsia="zh-CN"/>
        </w:rPr>
        <w:t>；</w:t>
      </w:r>
    </w:p>
    <w:p w14:paraId="54F8358E">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六</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有良好的内部治理结构和风险控制制度</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健全的股权投资管理和风险控制流程以及规范的项目遴选机制和投资决策机制</w:t>
      </w:r>
      <w:r>
        <w:rPr>
          <w:rFonts w:hint="eastAsia" w:ascii="仿宋_GB2312" w:hAnsi="仿宋_GB2312" w:eastAsia="仿宋_GB2312" w:cs="仿宋_GB2312"/>
          <w:kern w:val="2"/>
          <w:sz w:val="32"/>
          <w:szCs w:val="24"/>
          <w:shd w:val="clear"/>
          <w:lang w:eastAsia="zh-CN"/>
        </w:rPr>
        <w:t>。</w:t>
      </w:r>
    </w:p>
    <w:p w14:paraId="460A9D68">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应符合以下规模条件：</w:t>
      </w:r>
      <w:r>
        <w:rPr>
          <w:rFonts w:hint="eastAsia" w:ascii="仿宋_GB2312" w:hAnsi="仿宋_GB2312" w:eastAsia="仿宋_GB2312" w:cs="仿宋_GB2312"/>
          <w:kern w:val="2"/>
          <w:sz w:val="32"/>
          <w:szCs w:val="24"/>
          <w:shd w:val="clear"/>
        </w:rPr>
        <w:t>在中国证券投资基金业协会备案的累计</w:t>
      </w:r>
      <w:r>
        <w:rPr>
          <w:rFonts w:hint="eastAsia" w:ascii="仿宋_GB2312" w:hAnsi="仿宋_GB2312" w:eastAsia="仿宋_GB2312" w:cs="仿宋_GB2312"/>
          <w:kern w:val="2"/>
          <w:sz w:val="32"/>
          <w:szCs w:val="24"/>
          <w:shd w:val="clear"/>
          <w:lang w:val="en-US" w:eastAsia="zh-CN"/>
        </w:rPr>
        <w:t>管理规模</w:t>
      </w:r>
      <w:r>
        <w:rPr>
          <w:rFonts w:hint="eastAsia" w:ascii="仿宋_GB2312" w:hAnsi="仿宋_GB2312" w:eastAsia="仿宋_GB2312" w:cs="仿宋_GB2312"/>
          <w:kern w:val="2"/>
          <w:sz w:val="32"/>
          <w:szCs w:val="24"/>
          <w:shd w:val="clear"/>
        </w:rPr>
        <w:t>不低于5亿元。</w:t>
      </w:r>
    </w:p>
    <w:p w14:paraId="33C2C38D">
      <w:pPr>
        <w:widowControl w:val="0"/>
        <w:numPr>
          <w:ilvl w:val="0"/>
          <w:numId w:val="1"/>
        </w:numPr>
        <w:wordWrap/>
        <w:ind w:firstLine="640" w:firstLineChars="200"/>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应符合以下经验条件：</w:t>
      </w:r>
    </w:p>
    <w:p w14:paraId="621EE8EB">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（一）管理机构</w:t>
      </w:r>
      <w:r>
        <w:rPr>
          <w:rFonts w:hint="eastAsia" w:ascii="仿宋_GB2312" w:hAnsi="仿宋_GB2312" w:eastAsia="仿宋_GB2312" w:cs="仿宋_GB2312"/>
          <w:kern w:val="2"/>
          <w:sz w:val="32"/>
          <w:szCs w:val="24"/>
          <w:shd w:val="clear"/>
        </w:rPr>
        <w:t>具有1次或以上基金“募投管退”全流程的经验，或</w:t>
      </w:r>
      <w:r>
        <w:rPr>
          <w:rFonts w:hint="eastAsia" w:ascii="仿宋_GB2312" w:hAnsi="仿宋_GB2312" w:eastAsia="仿宋_GB2312" w:cs="仿宋_GB2312"/>
          <w:kern w:val="2"/>
          <w:sz w:val="32"/>
          <w:szCs w:val="24"/>
          <w:shd w:val="clear"/>
          <w:lang w:val="en-US" w:eastAsia="zh-CN"/>
        </w:rPr>
        <w:t>管理机构至少一个</w:t>
      </w:r>
      <w:r>
        <w:rPr>
          <w:rFonts w:hint="eastAsia" w:ascii="仿宋_GB2312" w:hAnsi="仿宋_GB2312" w:eastAsia="仿宋_GB2312" w:cs="仿宋_GB2312"/>
          <w:kern w:val="2"/>
          <w:sz w:val="32"/>
          <w:szCs w:val="24"/>
          <w:shd w:val="clear"/>
        </w:rPr>
        <w:t>核心管理成员</w:t>
      </w:r>
      <w:r>
        <w:rPr>
          <w:rFonts w:hint="eastAsia" w:ascii="仿宋_GB2312" w:hAnsi="仿宋_GB2312" w:eastAsia="仿宋_GB2312" w:cs="仿宋_GB2312"/>
          <w:kern w:val="2"/>
          <w:sz w:val="32"/>
          <w:szCs w:val="24"/>
          <w:shd w:val="clear"/>
          <w:vertAlign w:val="superscript"/>
        </w:rPr>
        <w:footnoteReference w:id="2"/>
      </w:r>
      <w:r>
        <w:rPr>
          <w:rFonts w:hint="eastAsia" w:ascii="仿宋_GB2312" w:hAnsi="仿宋_GB2312" w:eastAsia="仿宋_GB2312" w:cs="仿宋_GB2312"/>
          <w:kern w:val="2"/>
          <w:sz w:val="32"/>
          <w:szCs w:val="24"/>
          <w:shd w:val="clear"/>
        </w:rPr>
        <w:t>具有1次或以上基金“募投管退”全流程的经验。</w:t>
      </w:r>
    </w:p>
    <w:p w14:paraId="3B53F06C">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二</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管理机构具备至少一个</w:t>
      </w:r>
      <w:r>
        <w:rPr>
          <w:rFonts w:hint="eastAsia" w:ascii="仿宋_GB2312" w:hAnsi="仿宋_GB2312" w:eastAsia="仿宋_GB2312" w:cs="仿宋_GB2312"/>
          <w:kern w:val="2"/>
          <w:sz w:val="32"/>
          <w:szCs w:val="24"/>
          <w:shd w:val="clear"/>
        </w:rPr>
        <w:t>符合以下任一业绩条件</w:t>
      </w:r>
      <w:r>
        <w:rPr>
          <w:rFonts w:hint="eastAsia" w:ascii="仿宋_GB2312" w:hAnsi="仿宋_GB2312" w:eastAsia="仿宋_GB2312" w:cs="仿宋_GB2312"/>
          <w:kern w:val="2"/>
          <w:sz w:val="32"/>
          <w:szCs w:val="24"/>
          <w:shd w:val="clear"/>
          <w:lang w:val="en-US" w:eastAsia="zh-CN"/>
        </w:rPr>
        <w:t>的</w:t>
      </w:r>
      <w:r>
        <w:rPr>
          <w:rFonts w:hint="eastAsia" w:ascii="仿宋_GB2312" w:hAnsi="仿宋_GB2312" w:eastAsia="仿宋_GB2312" w:cs="仿宋_GB2312"/>
          <w:kern w:val="2"/>
          <w:sz w:val="32"/>
          <w:szCs w:val="24"/>
          <w:shd w:val="clear"/>
        </w:rPr>
        <w:t>实缴规模</w:t>
      </w:r>
      <w:r>
        <w:rPr>
          <w:rFonts w:hint="eastAsia" w:ascii="仿宋_GB2312" w:hAnsi="仿宋_GB2312" w:eastAsia="仿宋_GB2312" w:cs="仿宋_GB2312"/>
          <w:kern w:val="2"/>
          <w:sz w:val="32"/>
          <w:szCs w:val="24"/>
          <w:shd w:val="clear"/>
          <w:lang w:val="en-US" w:eastAsia="zh-CN"/>
        </w:rPr>
        <w:t>为</w:t>
      </w:r>
      <w:r>
        <w:rPr>
          <w:rFonts w:hint="eastAsia" w:ascii="仿宋_GB2312" w:hAnsi="仿宋_GB2312" w:eastAsia="仿宋_GB2312" w:cs="仿宋_GB2312"/>
          <w:kern w:val="2"/>
          <w:sz w:val="32"/>
          <w:szCs w:val="24"/>
          <w:shd w:val="clear"/>
        </w:rPr>
        <w:t>5000万元以上的</w:t>
      </w:r>
      <w:r>
        <w:rPr>
          <w:rFonts w:hint="eastAsia" w:ascii="仿宋_GB2312" w:hAnsi="仿宋_GB2312" w:eastAsia="仿宋_GB2312" w:cs="仿宋_GB2312"/>
          <w:kern w:val="2"/>
          <w:sz w:val="32"/>
          <w:szCs w:val="24"/>
          <w:shd w:val="clear"/>
          <w:lang w:val="en-US" w:eastAsia="zh-CN"/>
        </w:rPr>
        <w:t>基金管理案例</w:t>
      </w:r>
      <w:r>
        <w:rPr>
          <w:rFonts w:hint="eastAsia" w:ascii="仿宋_GB2312" w:hAnsi="仿宋_GB2312" w:eastAsia="仿宋_GB2312" w:cs="仿宋_GB2312"/>
          <w:kern w:val="2"/>
          <w:sz w:val="32"/>
          <w:szCs w:val="24"/>
          <w:shd w:val="clear"/>
        </w:rPr>
        <w:t>：</w:t>
      </w:r>
    </w:p>
    <w:p w14:paraId="55A9E2A5">
      <w:pPr>
        <w:pStyle w:val="8"/>
        <w:widowControl/>
        <w:numPr>
          <w:ilvl w:val="-1"/>
          <w:numId w:val="0"/>
        </w:numPr>
        <w:shd w:val="clear" w:color="auto" w:fill="FFFFFF"/>
        <w:wordWrap w:val="0"/>
        <w:adjustRightInd w:val="0"/>
        <w:snapToGrid w:val="0"/>
        <w:spacing w:beforeAutospacing="0" w:afterAutospacing="0" w:line="560" w:lineRule="exact"/>
        <w:ind w:left="638" w:leftChars="304" w:firstLine="0" w:firstLineChars="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1.</w:t>
      </w:r>
      <w:r>
        <w:rPr>
          <w:rFonts w:hint="eastAsia" w:ascii="仿宋_GB2312" w:hAnsi="仿宋_GB2312" w:eastAsia="仿宋_GB2312" w:cs="仿宋_GB2312"/>
          <w:kern w:val="2"/>
          <w:sz w:val="32"/>
          <w:szCs w:val="24"/>
          <w:shd w:val="clear"/>
          <w:lang w:val="en-US" w:eastAsia="zh-CN"/>
        </w:rPr>
        <w:t>成立之日起6</w:t>
      </w:r>
      <w:r>
        <w:rPr>
          <w:rFonts w:hint="eastAsia" w:ascii="仿宋_GB2312" w:hAnsi="仿宋_GB2312" w:eastAsia="仿宋_GB2312" w:cs="仿宋_GB2312"/>
          <w:kern w:val="2"/>
          <w:sz w:val="32"/>
          <w:szCs w:val="24"/>
          <w:shd w:val="clear"/>
        </w:rPr>
        <w:t>年</w:t>
      </w:r>
      <w:r>
        <w:rPr>
          <w:rFonts w:hint="eastAsia" w:ascii="仿宋_GB2312" w:hAnsi="仿宋_GB2312" w:eastAsia="仿宋_GB2312" w:cs="仿宋_GB2312"/>
          <w:kern w:val="2"/>
          <w:sz w:val="32"/>
          <w:szCs w:val="24"/>
          <w:shd w:val="clear"/>
          <w:lang w:val="en-US" w:eastAsia="zh-CN"/>
        </w:rPr>
        <w:t>期末</w:t>
      </w:r>
      <w:r>
        <w:rPr>
          <w:rFonts w:hint="eastAsia" w:ascii="仿宋_GB2312" w:hAnsi="仿宋_GB2312" w:eastAsia="仿宋_GB2312" w:cs="仿宋_GB2312"/>
          <w:kern w:val="2"/>
          <w:sz w:val="32"/>
          <w:szCs w:val="24"/>
          <w:shd w:val="clear"/>
        </w:rPr>
        <w:t>DPI</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已分配收益倍数</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值大于0.3；2.</w:t>
      </w:r>
      <w:r>
        <w:rPr>
          <w:rFonts w:hint="eastAsia" w:ascii="仿宋_GB2312" w:hAnsi="仿宋_GB2312" w:eastAsia="仿宋_GB2312" w:cs="仿宋_GB2312"/>
          <w:kern w:val="2"/>
          <w:sz w:val="32"/>
          <w:szCs w:val="24"/>
          <w:shd w:val="clear"/>
          <w:lang w:val="en-US" w:eastAsia="zh-CN"/>
        </w:rPr>
        <w:t>成立之日起6</w:t>
      </w:r>
      <w:r>
        <w:rPr>
          <w:rFonts w:hint="eastAsia" w:ascii="仿宋_GB2312" w:hAnsi="仿宋_GB2312" w:eastAsia="仿宋_GB2312" w:cs="仿宋_GB2312"/>
          <w:kern w:val="2"/>
          <w:sz w:val="32"/>
          <w:szCs w:val="24"/>
          <w:shd w:val="clear"/>
        </w:rPr>
        <w:t>年</w:t>
      </w:r>
      <w:r>
        <w:rPr>
          <w:rFonts w:hint="eastAsia" w:ascii="仿宋_GB2312" w:hAnsi="仿宋_GB2312" w:eastAsia="仿宋_GB2312" w:cs="仿宋_GB2312"/>
          <w:kern w:val="2"/>
          <w:sz w:val="32"/>
          <w:szCs w:val="24"/>
          <w:shd w:val="clear"/>
          <w:lang w:val="en-US" w:eastAsia="zh-CN"/>
        </w:rPr>
        <w:t>期末</w:t>
      </w:r>
      <w:r>
        <w:rPr>
          <w:rFonts w:hint="eastAsia" w:ascii="仿宋_GB2312" w:hAnsi="仿宋_GB2312" w:eastAsia="仿宋_GB2312" w:cs="仿宋_GB2312"/>
          <w:kern w:val="2"/>
          <w:sz w:val="32"/>
          <w:szCs w:val="24"/>
          <w:shd w:val="clear"/>
        </w:rPr>
        <w:t>TVPI</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总收益倍数</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大于150%。</w:t>
      </w:r>
    </w:p>
    <w:p w14:paraId="60643CB5">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案例基金应在2017年1月1日之后设立。</w:t>
      </w:r>
      <w:r>
        <w:rPr>
          <w:rFonts w:hint="eastAsia" w:ascii="仿宋_GB2312" w:hAnsi="仿宋_GB2312" w:eastAsia="仿宋_GB2312" w:cs="仿宋_GB2312"/>
          <w:kern w:val="2"/>
          <w:sz w:val="32"/>
          <w:szCs w:val="24"/>
          <w:shd w:val="clear"/>
        </w:rPr>
        <w:t>成立不足</w:t>
      </w:r>
      <w:r>
        <w:rPr>
          <w:rFonts w:hint="eastAsia" w:ascii="仿宋_GB2312" w:hAnsi="仿宋_GB2312" w:eastAsia="仿宋_GB2312" w:cs="仿宋_GB2312"/>
          <w:kern w:val="2"/>
          <w:sz w:val="32"/>
          <w:szCs w:val="24"/>
          <w:shd w:val="clear"/>
          <w:lang w:val="en-US" w:eastAsia="zh-CN"/>
        </w:rPr>
        <w:t>6</w:t>
      </w:r>
      <w:r>
        <w:rPr>
          <w:rFonts w:hint="eastAsia" w:ascii="仿宋_GB2312" w:hAnsi="仿宋_GB2312" w:eastAsia="仿宋_GB2312" w:cs="仿宋_GB2312"/>
          <w:kern w:val="2"/>
          <w:sz w:val="32"/>
          <w:szCs w:val="24"/>
          <w:shd w:val="clear"/>
        </w:rPr>
        <w:t>年的</w:t>
      </w:r>
      <w:r>
        <w:rPr>
          <w:rFonts w:hint="eastAsia" w:ascii="仿宋_GB2312" w:hAnsi="仿宋_GB2312" w:eastAsia="仿宋_GB2312" w:cs="仿宋_GB2312"/>
          <w:kern w:val="2"/>
          <w:sz w:val="32"/>
          <w:szCs w:val="24"/>
          <w:shd w:val="clear"/>
          <w:lang w:val="en-US" w:eastAsia="zh-CN"/>
        </w:rPr>
        <w:t>基金</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 xml:space="preserve">认定时点为申请机构向南控母基金提出申请之日的时点。    </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三</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管理机构的核心管理成员主导的单一项目投资金额为1000万元以上，且符合以下任一业绩条件的投资案例总计不少于三个（多个成员参与的同一项目不累计计算）</w:t>
      </w:r>
      <w:r>
        <w:rPr>
          <w:rFonts w:hint="eastAsia" w:ascii="仿宋_GB2312" w:hAnsi="仿宋_GB2312" w:eastAsia="仿宋_GB2312" w:cs="仿宋_GB2312"/>
          <w:kern w:val="2"/>
          <w:sz w:val="32"/>
          <w:szCs w:val="24"/>
          <w:shd w:val="clear"/>
        </w:rPr>
        <w:t>：</w:t>
      </w:r>
    </w:p>
    <w:p w14:paraId="226288D3">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lang w:val="en-US" w:eastAsia="zh-CN"/>
        </w:rPr>
        <w:t>1.项目于2021年1月1日之后退出，退出时的</w:t>
      </w:r>
      <w:r>
        <w:rPr>
          <w:rFonts w:hint="eastAsia" w:ascii="仿宋_GB2312" w:hAnsi="仿宋_GB2312" w:eastAsia="仿宋_GB2312" w:cs="仿宋_GB2312"/>
          <w:kern w:val="2"/>
          <w:sz w:val="32"/>
          <w:szCs w:val="24"/>
          <w:shd w:val="clear"/>
        </w:rPr>
        <w:t>投资回报率</w:t>
      </w:r>
      <w:r>
        <w:rPr>
          <w:rFonts w:hint="eastAsia" w:ascii="仿宋_GB2312" w:hAnsi="仿宋_GB2312" w:eastAsia="仿宋_GB2312" w:cs="仿宋_GB2312"/>
          <w:kern w:val="2"/>
          <w:sz w:val="32"/>
          <w:szCs w:val="24"/>
          <w:shd w:val="clear"/>
          <w:vertAlign w:val="superscript"/>
        </w:rPr>
        <w:footnoteReference w:id="3"/>
      </w:r>
      <w:r>
        <w:rPr>
          <w:rFonts w:hint="eastAsia" w:ascii="仿宋_GB2312" w:hAnsi="仿宋_GB2312" w:eastAsia="仿宋_GB2312" w:cs="仿宋_GB2312"/>
          <w:kern w:val="2"/>
          <w:sz w:val="32"/>
          <w:szCs w:val="24"/>
          <w:shd w:val="clear"/>
        </w:rPr>
        <w:t>超过100%</w:t>
      </w:r>
      <w:r>
        <w:rPr>
          <w:rFonts w:hint="eastAsia" w:ascii="仿宋_GB2312" w:hAnsi="仿宋_GB2312" w:eastAsia="仿宋_GB2312" w:cs="仿宋_GB2312"/>
          <w:kern w:val="2"/>
          <w:sz w:val="32"/>
          <w:szCs w:val="24"/>
          <w:shd w:val="clear"/>
          <w:lang w:eastAsia="zh-CN"/>
        </w:rPr>
        <w:t>；</w:t>
      </w:r>
    </w:p>
    <w:p w14:paraId="3A56AD46">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2.项目于2021年1月1日之后</w:t>
      </w:r>
      <w:r>
        <w:rPr>
          <w:rFonts w:hint="eastAsia" w:ascii="仿宋_GB2312" w:hAnsi="仿宋_GB2312" w:eastAsia="仿宋_GB2312" w:cs="仿宋_GB2312"/>
          <w:kern w:val="2"/>
          <w:sz w:val="32"/>
          <w:szCs w:val="24"/>
          <w:shd w:val="clear"/>
        </w:rPr>
        <w:t>完成A股（主板/创业板/科创板）IPO或重组上市</w:t>
      </w:r>
      <w:r>
        <w:rPr>
          <w:rFonts w:hint="eastAsia" w:ascii="仿宋_GB2312" w:hAnsi="仿宋_GB2312" w:eastAsia="仿宋_GB2312" w:cs="仿宋_GB2312"/>
          <w:kern w:val="2"/>
          <w:sz w:val="32"/>
          <w:szCs w:val="24"/>
          <w:shd w:val="clear"/>
          <w:lang w:eastAsia="zh-CN"/>
        </w:rPr>
        <w:t>。</w:t>
      </w:r>
    </w:p>
    <w:p w14:paraId="3558AE84">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若管理机构与申请机构为同一主体，则管理机构需</w:t>
      </w:r>
      <w:r>
        <w:rPr>
          <w:rFonts w:hint="eastAsia" w:ascii="仿宋_GB2312" w:hAnsi="仿宋_GB2312" w:eastAsia="仿宋_GB2312" w:cs="仿宋_GB2312"/>
          <w:kern w:val="2"/>
          <w:sz w:val="32"/>
          <w:szCs w:val="24"/>
          <w:shd w:val="clear"/>
          <w:lang w:val="en-US" w:eastAsia="zh-CN"/>
        </w:rPr>
        <w:t>同时</w:t>
      </w:r>
      <w:r>
        <w:rPr>
          <w:rFonts w:hint="eastAsia" w:ascii="仿宋_GB2312" w:hAnsi="仿宋_GB2312" w:eastAsia="仿宋_GB2312" w:cs="仿宋_GB2312"/>
          <w:kern w:val="2"/>
          <w:sz w:val="32"/>
          <w:szCs w:val="24"/>
          <w:shd w:val="clear"/>
        </w:rPr>
        <w:t>符合申</w:t>
      </w:r>
      <w:r>
        <w:rPr>
          <w:rFonts w:hint="eastAsia" w:ascii="仿宋_GB2312" w:hAnsi="仿宋_GB2312" w:eastAsia="仿宋_GB2312" w:cs="仿宋_GB2312"/>
          <w:kern w:val="2"/>
          <w:sz w:val="32"/>
          <w:szCs w:val="24"/>
          <w:shd w:val="clear"/>
          <w:lang w:val="en-US" w:eastAsia="zh-CN"/>
        </w:rPr>
        <w:t>请</w:t>
      </w:r>
      <w:r>
        <w:rPr>
          <w:rFonts w:hint="eastAsia" w:ascii="仿宋_GB2312" w:hAnsi="仿宋_GB2312" w:eastAsia="仿宋_GB2312" w:cs="仿宋_GB2312"/>
          <w:kern w:val="2"/>
          <w:sz w:val="32"/>
          <w:szCs w:val="24"/>
          <w:shd w:val="clear"/>
        </w:rPr>
        <w:t>机构各项要求。若管理机构与申请机构非同一主体，则需提供</w:t>
      </w:r>
      <w:r>
        <w:rPr>
          <w:rFonts w:hint="eastAsia" w:ascii="仿宋_GB2312" w:hAnsi="仿宋_GB2312" w:eastAsia="仿宋_GB2312" w:cs="仿宋_GB2312"/>
          <w:kern w:val="2"/>
          <w:sz w:val="32"/>
          <w:szCs w:val="24"/>
          <w:shd w:val="clear"/>
          <w:lang w:val="en-US" w:eastAsia="zh-CN"/>
        </w:rPr>
        <w:t>符合第三条要求的</w:t>
      </w:r>
      <w:r>
        <w:rPr>
          <w:rFonts w:hint="eastAsia" w:ascii="仿宋_GB2312" w:hAnsi="仿宋_GB2312" w:eastAsia="仿宋_GB2312" w:cs="仿宋_GB2312"/>
          <w:kern w:val="2"/>
          <w:sz w:val="32"/>
          <w:szCs w:val="24"/>
          <w:shd w:val="clear"/>
        </w:rPr>
        <w:t>关联关系书面说明及证明。</w:t>
      </w:r>
    </w:p>
    <w:p w14:paraId="5AAC12CB">
      <w:pPr>
        <w:pStyle w:val="8"/>
        <w:widowControl/>
        <w:shd w:val="clear" w:color="auto" w:fill="FFFFFF"/>
        <w:wordWrap w:val="0"/>
        <w:spacing w:beforeAutospacing="0" w:afterAutospacing="0" w:line="520" w:lineRule="exact"/>
        <w:ind w:firstLine="640" w:firstLineChars="200"/>
        <w:rPr>
          <w:rFonts w:ascii="仿宋_GB2312" w:hAnsi="仿宋_GB2312" w:eastAsia="仿宋_GB2312" w:cs="仿宋_GB2312"/>
          <w:color w:val="444444"/>
          <w:sz w:val="32"/>
          <w:szCs w:val="32"/>
          <w:highlight w:val="none"/>
          <w:shd w:val="clear" w:color="auto" w:fill="FFFFFF"/>
        </w:rPr>
      </w:pPr>
    </w:p>
    <w:p w14:paraId="7C63BB2C">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第四章 子基金方案要求</w:t>
      </w:r>
    </w:p>
    <w:p w14:paraId="6FA87C3C">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设立规模</w:t>
      </w:r>
      <w:r>
        <w:rPr>
          <w:rFonts w:hint="eastAsia" w:ascii="仿宋_GB2312" w:hAnsi="仿宋_GB2312" w:eastAsia="仿宋_GB2312" w:cs="仿宋_GB2312"/>
          <w:kern w:val="2"/>
          <w:sz w:val="32"/>
          <w:szCs w:val="24"/>
          <w:shd w:val="clear"/>
        </w:rPr>
        <w:t>原则上不少于1亿元人民币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申请机构、</w:t>
      </w: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及</w:t>
      </w:r>
      <w:r>
        <w:rPr>
          <w:rFonts w:hint="eastAsia" w:ascii="仿宋_GB2312" w:hAnsi="仿宋_GB2312" w:eastAsia="仿宋_GB2312" w:cs="仿宋_GB2312"/>
          <w:kern w:val="2"/>
          <w:sz w:val="32"/>
          <w:szCs w:val="24"/>
          <w:shd w:val="clear"/>
        </w:rPr>
        <w:t>其关联方对子基金的出资比例合计不低于10%。除子基金</w:t>
      </w:r>
      <w:r>
        <w:rPr>
          <w:rFonts w:hint="eastAsia" w:ascii="仿宋_GB2312" w:hAnsi="仿宋_GB2312" w:eastAsia="仿宋_GB2312" w:cs="仿宋_GB2312"/>
          <w:kern w:val="2"/>
          <w:sz w:val="32"/>
          <w:szCs w:val="24"/>
          <w:shd w:val="clear"/>
          <w:lang w:val="en-US" w:eastAsia="zh-CN"/>
        </w:rPr>
        <w:t>申请机构、</w:t>
      </w:r>
      <w:r>
        <w:rPr>
          <w:rFonts w:hint="eastAsia" w:ascii="仿宋_GB2312" w:hAnsi="仿宋_GB2312" w:eastAsia="仿宋_GB2312" w:cs="仿宋_GB2312"/>
          <w:kern w:val="2"/>
          <w:sz w:val="32"/>
          <w:szCs w:val="24"/>
          <w:shd w:val="clear"/>
        </w:rPr>
        <w:t>管理机构</w:t>
      </w:r>
      <w:r>
        <w:rPr>
          <w:rFonts w:hint="eastAsia" w:ascii="仿宋_GB2312" w:hAnsi="仿宋_GB2312" w:eastAsia="仿宋_GB2312" w:cs="仿宋_GB2312"/>
          <w:kern w:val="2"/>
          <w:sz w:val="32"/>
          <w:szCs w:val="24"/>
          <w:shd w:val="clear"/>
          <w:lang w:val="en-US" w:eastAsia="zh-CN"/>
        </w:rPr>
        <w:t>及</w:t>
      </w:r>
      <w:r>
        <w:rPr>
          <w:rFonts w:hint="eastAsia" w:ascii="仿宋_GB2312" w:hAnsi="仿宋_GB2312" w:eastAsia="仿宋_GB2312" w:cs="仿宋_GB2312"/>
          <w:kern w:val="2"/>
          <w:sz w:val="32"/>
          <w:szCs w:val="24"/>
          <w:shd w:val="clear"/>
        </w:rPr>
        <w:t>其关联方外的单个机构出资人出资额不低于1000万元人民币（关联方合并计算），除子基金管理团队外的单个自然人出资人出资额不低于500万元人民币。</w:t>
      </w:r>
    </w:p>
    <w:p w14:paraId="600B2123">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lang w:val="en-US" w:eastAsia="zh-CN"/>
        </w:rPr>
        <w:t>以下关系</w:t>
      </w:r>
      <w:r>
        <w:rPr>
          <w:rFonts w:hint="eastAsia" w:ascii="仿宋_GB2312" w:hAnsi="仿宋_GB2312" w:eastAsia="仿宋_GB2312" w:cs="仿宋_GB2312"/>
          <w:kern w:val="2"/>
          <w:sz w:val="32"/>
          <w:szCs w:val="24"/>
          <w:shd w:val="clear"/>
        </w:rPr>
        <w:t>构成关联方</w:t>
      </w:r>
      <w:r>
        <w:rPr>
          <w:rFonts w:hint="eastAsia" w:ascii="仿宋_GB2312" w:hAnsi="仿宋_GB2312" w:eastAsia="仿宋_GB2312" w:cs="仿宋_GB2312"/>
          <w:kern w:val="2"/>
          <w:sz w:val="32"/>
          <w:szCs w:val="24"/>
          <w:shd w:val="clear"/>
          <w:lang w:eastAsia="zh-CN"/>
        </w:rPr>
        <w:t>：</w:t>
      </w:r>
    </w:p>
    <w:p w14:paraId="06E75E06">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（一）</w:t>
      </w:r>
      <w:r>
        <w:rPr>
          <w:rFonts w:hint="eastAsia" w:ascii="仿宋_GB2312" w:hAnsi="仿宋_GB2312" w:eastAsia="仿宋_GB2312" w:cs="仿宋_GB2312"/>
          <w:kern w:val="2"/>
          <w:sz w:val="32"/>
          <w:szCs w:val="24"/>
          <w:shd w:val="clear"/>
          <w:lang w:val="en-US" w:eastAsia="zh-CN"/>
        </w:rPr>
        <w:t>一方为另一方控股、实际控制或施加重大影响；</w:t>
      </w:r>
    </w:p>
    <w:p w14:paraId="047DA135">
      <w:pPr>
        <w:pStyle w:val="8"/>
        <w:widowControl/>
        <w:numPr>
          <w:ilvl w:val="-1"/>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（二）</w:t>
      </w:r>
      <w:r>
        <w:rPr>
          <w:rFonts w:hint="eastAsia" w:ascii="仿宋_GB2312" w:hAnsi="仿宋_GB2312" w:eastAsia="仿宋_GB2312" w:cs="仿宋_GB2312"/>
          <w:kern w:val="2"/>
          <w:sz w:val="32"/>
          <w:szCs w:val="24"/>
          <w:shd w:val="clear"/>
          <w:lang w:val="en-US" w:eastAsia="zh-CN"/>
        </w:rPr>
        <w:t>两方或两方以上</w:t>
      </w:r>
      <w:r>
        <w:rPr>
          <w:rFonts w:hint="eastAsia" w:ascii="仿宋_GB2312" w:hAnsi="仿宋_GB2312" w:eastAsia="仿宋_GB2312" w:cs="仿宋_GB2312"/>
          <w:kern w:val="2"/>
          <w:sz w:val="32"/>
          <w:szCs w:val="24"/>
          <w:shd w:val="clear"/>
        </w:rPr>
        <w:t>受同一</w:t>
      </w:r>
      <w:r>
        <w:rPr>
          <w:rFonts w:hint="eastAsia" w:ascii="仿宋_GB2312" w:hAnsi="仿宋_GB2312" w:eastAsia="仿宋_GB2312" w:cs="仿宋_GB2312"/>
          <w:kern w:val="2"/>
          <w:sz w:val="32"/>
          <w:szCs w:val="24"/>
          <w:shd w:val="clear"/>
          <w:lang w:val="en-US" w:eastAsia="zh-CN"/>
        </w:rPr>
        <w:t>实际控制人</w:t>
      </w:r>
      <w:r>
        <w:rPr>
          <w:rFonts w:hint="eastAsia" w:ascii="仿宋_GB2312" w:hAnsi="仿宋_GB2312" w:eastAsia="仿宋_GB2312" w:cs="仿宋_GB2312"/>
          <w:kern w:val="2"/>
          <w:sz w:val="32"/>
          <w:szCs w:val="24"/>
          <w:shd w:val="clear"/>
        </w:rPr>
        <w:t>控制</w:t>
      </w:r>
      <w:r>
        <w:rPr>
          <w:rFonts w:hint="eastAsia" w:ascii="仿宋_GB2312" w:hAnsi="仿宋_GB2312" w:eastAsia="仿宋_GB2312" w:cs="仿宋_GB2312"/>
          <w:kern w:val="2"/>
          <w:sz w:val="32"/>
          <w:szCs w:val="24"/>
          <w:shd w:val="clear"/>
          <w:lang w:eastAsia="zh-CN"/>
        </w:rPr>
        <w:t>；</w:t>
      </w:r>
    </w:p>
    <w:p w14:paraId="42AF2943">
      <w:pPr>
        <w:pStyle w:val="8"/>
        <w:widowControl/>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rPr>
      </w:pPr>
      <w:r>
        <w:rPr>
          <w:rFonts w:hint="eastAsia" w:ascii="仿宋_GB2312" w:hAnsi="仿宋_GB2312" w:eastAsia="仿宋_GB2312" w:cs="仿宋_GB2312"/>
          <w:kern w:val="2"/>
          <w:sz w:val="32"/>
          <w:szCs w:val="24"/>
          <w:shd w:val="clear"/>
        </w:rPr>
        <w:t>（三）</w:t>
      </w:r>
      <w:r>
        <w:rPr>
          <w:rFonts w:hint="eastAsia" w:ascii="仿宋_GB2312" w:hAnsi="仿宋_GB2312" w:eastAsia="仿宋_GB2312" w:cs="仿宋_GB2312"/>
          <w:kern w:val="2"/>
          <w:sz w:val="32"/>
          <w:szCs w:val="24"/>
          <w:shd w:val="clear"/>
          <w:lang w:val="en-US" w:eastAsia="zh-CN"/>
        </w:rPr>
        <w:t>一方是另一方的</w:t>
      </w:r>
      <w:r>
        <w:rPr>
          <w:rFonts w:hint="eastAsia" w:ascii="仿宋_GB2312" w:hAnsi="仿宋_GB2312" w:eastAsia="仿宋_GB2312" w:cs="仿宋_GB2312"/>
          <w:kern w:val="2"/>
          <w:sz w:val="32"/>
          <w:szCs w:val="24"/>
          <w:shd w:val="clear"/>
        </w:rPr>
        <w:t>关键管理人员</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或者是由另一方</w:t>
      </w:r>
      <w:r>
        <w:rPr>
          <w:rFonts w:hint="eastAsia" w:ascii="仿宋_GB2312" w:hAnsi="仿宋_GB2312" w:eastAsia="仿宋_GB2312" w:cs="仿宋_GB2312"/>
          <w:kern w:val="2"/>
          <w:sz w:val="32"/>
          <w:szCs w:val="24"/>
          <w:shd w:val="clear"/>
        </w:rPr>
        <w:t>关键管理人员</w:t>
      </w:r>
      <w:r>
        <w:rPr>
          <w:rFonts w:hint="eastAsia" w:ascii="仿宋_GB2312" w:hAnsi="仿宋_GB2312" w:eastAsia="仿宋_GB2312" w:cs="仿宋_GB2312"/>
          <w:kern w:val="2"/>
          <w:sz w:val="32"/>
          <w:szCs w:val="24"/>
          <w:shd w:val="clear"/>
          <w:lang w:val="en-US" w:eastAsia="zh-CN"/>
        </w:rPr>
        <w:t>组成的出资主体。</w:t>
      </w:r>
    </w:p>
    <w:p w14:paraId="14B8A740">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申请母基金出资的</w:t>
      </w:r>
      <w:r>
        <w:rPr>
          <w:rFonts w:hint="eastAsia" w:ascii="仿宋_GB2312" w:hAnsi="仿宋_GB2312" w:eastAsia="仿宋_GB2312" w:cs="仿宋_GB2312"/>
          <w:kern w:val="2"/>
          <w:sz w:val="32"/>
          <w:szCs w:val="24"/>
          <w:shd w:val="clear"/>
        </w:rPr>
        <w:t>最高</w:t>
      </w:r>
      <w:r>
        <w:rPr>
          <w:rFonts w:hint="eastAsia" w:ascii="仿宋_GB2312" w:hAnsi="仿宋_GB2312" w:eastAsia="仿宋_GB2312" w:cs="仿宋_GB2312"/>
          <w:kern w:val="2"/>
          <w:sz w:val="32"/>
          <w:szCs w:val="24"/>
          <w:shd w:val="clear"/>
          <w:lang w:val="en-US" w:eastAsia="zh-CN"/>
        </w:rPr>
        <w:t>出资</w:t>
      </w:r>
      <w:r>
        <w:rPr>
          <w:rFonts w:hint="eastAsia" w:ascii="仿宋_GB2312" w:hAnsi="仿宋_GB2312" w:eastAsia="仿宋_GB2312" w:cs="仿宋_GB2312"/>
          <w:kern w:val="2"/>
          <w:sz w:val="32"/>
          <w:szCs w:val="24"/>
          <w:shd w:val="clear"/>
        </w:rPr>
        <w:t>额原则上不超过</w:t>
      </w:r>
      <w:r>
        <w:rPr>
          <w:rFonts w:hint="eastAsia" w:ascii="仿宋_GB2312" w:hAnsi="仿宋_GB2312" w:eastAsia="仿宋_GB2312" w:cs="仿宋_GB2312"/>
          <w:kern w:val="2"/>
          <w:sz w:val="32"/>
          <w:szCs w:val="24"/>
          <w:shd w:val="clear"/>
          <w:lang w:val="en-US" w:eastAsia="zh-CN"/>
        </w:rPr>
        <w:t>5</w:t>
      </w:r>
      <w:r>
        <w:rPr>
          <w:rFonts w:hint="eastAsia" w:ascii="仿宋_GB2312" w:hAnsi="仿宋_GB2312" w:eastAsia="仿宋_GB2312" w:cs="仿宋_GB2312"/>
          <w:kern w:val="2"/>
          <w:sz w:val="32"/>
          <w:szCs w:val="24"/>
          <w:shd w:val="clear"/>
        </w:rPr>
        <w:t>000万元人民币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南控母基金出资</w:t>
      </w:r>
      <w:r>
        <w:rPr>
          <w:rFonts w:hint="eastAsia" w:ascii="仿宋_GB2312" w:hAnsi="仿宋_GB2312" w:eastAsia="仿宋_GB2312" w:cs="仿宋_GB2312"/>
          <w:kern w:val="2"/>
          <w:sz w:val="32"/>
          <w:szCs w:val="24"/>
          <w:shd w:val="clear"/>
        </w:rPr>
        <w:t>比例原则上不超过子基金</w:t>
      </w:r>
      <w:r>
        <w:rPr>
          <w:rFonts w:hint="eastAsia" w:ascii="仿宋_GB2312" w:hAnsi="仿宋_GB2312" w:eastAsia="仿宋_GB2312" w:cs="仿宋_GB2312"/>
          <w:kern w:val="2"/>
          <w:sz w:val="32"/>
          <w:szCs w:val="24"/>
          <w:shd w:val="clear"/>
          <w:lang w:val="en-US" w:eastAsia="zh-CN"/>
        </w:rPr>
        <w:t>规模</w:t>
      </w:r>
      <w:r>
        <w:rPr>
          <w:rFonts w:hint="eastAsia" w:ascii="仿宋_GB2312" w:hAnsi="仿宋_GB2312" w:eastAsia="仿宋_GB2312" w:cs="仿宋_GB2312"/>
          <w:kern w:val="2"/>
          <w:sz w:val="32"/>
          <w:szCs w:val="24"/>
          <w:shd w:val="clear"/>
        </w:rPr>
        <w:t>的</w:t>
      </w:r>
      <w:r>
        <w:rPr>
          <w:rFonts w:hint="eastAsia" w:ascii="仿宋_GB2312" w:hAnsi="仿宋_GB2312" w:eastAsia="仿宋_GB2312" w:cs="仿宋_GB2312"/>
          <w:kern w:val="2"/>
          <w:sz w:val="32"/>
          <w:szCs w:val="24"/>
          <w:shd w:val="clear"/>
          <w:lang w:val="en-US" w:eastAsia="zh-CN"/>
        </w:rPr>
        <w:t>2</w:t>
      </w:r>
      <w:r>
        <w:rPr>
          <w:rFonts w:hint="eastAsia" w:ascii="仿宋_GB2312" w:hAnsi="仿宋_GB2312" w:eastAsia="仿宋_GB2312" w:cs="仿宋_GB2312"/>
          <w:kern w:val="2"/>
          <w:sz w:val="32"/>
          <w:szCs w:val="24"/>
          <w:shd w:val="clear"/>
        </w:rPr>
        <w:t>0％，</w:t>
      </w:r>
      <w:r>
        <w:rPr>
          <w:rFonts w:hint="eastAsia" w:ascii="仿宋_GB2312" w:hAnsi="仿宋_GB2312" w:eastAsia="仿宋_GB2312" w:cs="仿宋_GB2312"/>
          <w:kern w:val="2"/>
          <w:sz w:val="32"/>
          <w:szCs w:val="24"/>
          <w:shd w:val="clear"/>
          <w:lang w:val="en-US" w:eastAsia="zh-CN"/>
        </w:rPr>
        <w:t>且</w:t>
      </w:r>
      <w:r>
        <w:rPr>
          <w:rFonts w:hint="eastAsia" w:ascii="仿宋_GB2312" w:hAnsi="仿宋_GB2312" w:eastAsia="仿宋_GB2312" w:cs="仿宋_GB2312"/>
          <w:kern w:val="2"/>
          <w:sz w:val="32"/>
          <w:szCs w:val="24"/>
          <w:shd w:val="clear"/>
        </w:rPr>
        <w:t>不成为子基金的第一大出资人。</w:t>
      </w:r>
    </w:p>
    <w:p w14:paraId="61327598">
      <w:pPr>
        <w:widowControl w:val="0"/>
        <w:numPr>
          <w:ilvl w:val="0"/>
          <w:numId w:val="1"/>
        </w:numPr>
        <w:wordWrap/>
        <w:ind w:firstLine="640" w:firstLineChars="200"/>
        <w:rPr>
          <w:rFonts w:hint="eastAsia" w:ascii="仿宋_GB2312" w:hAnsi="仿宋_GB2312" w:eastAsia="仿宋_GB2312" w:cs="仿宋_GB2312"/>
          <w:kern w:val="2"/>
          <w:sz w:val="32"/>
          <w:szCs w:val="24"/>
          <w:u w:val="none"/>
          <w:shd w:val="clear"/>
        </w:rPr>
      </w:pPr>
      <w:r>
        <w:rPr>
          <w:rFonts w:hint="eastAsia" w:ascii="仿宋_GB2312" w:hAnsi="仿宋_GB2312" w:eastAsia="仿宋_GB2312" w:cs="仿宋_GB2312"/>
          <w:kern w:val="2"/>
          <w:sz w:val="32"/>
          <w:szCs w:val="24"/>
          <w:u w:val="none"/>
          <w:shd w:val="clear"/>
        </w:rPr>
        <w:t>子基金申请机构在提交基金申报方案时，须至少已经募集到拟设立子基金总规模30%的资金（不含母基金出资部分），并提供拟出资人的出资</w:t>
      </w:r>
      <w:r>
        <w:rPr>
          <w:rFonts w:hint="eastAsia" w:ascii="仿宋_GB2312" w:hAnsi="仿宋_GB2312" w:eastAsia="仿宋_GB2312" w:cs="仿宋_GB2312"/>
          <w:kern w:val="2"/>
          <w:sz w:val="32"/>
          <w:szCs w:val="24"/>
          <w:u w:val="none"/>
          <w:shd w:val="clear"/>
          <w:lang w:val="en-US" w:eastAsia="zh-CN"/>
        </w:rPr>
        <w:t>情况说明</w:t>
      </w:r>
      <w:r>
        <w:rPr>
          <w:rFonts w:hint="eastAsia" w:ascii="仿宋_GB2312" w:hAnsi="仿宋_GB2312" w:eastAsia="仿宋_GB2312" w:cs="仿宋_GB2312"/>
          <w:kern w:val="2"/>
          <w:sz w:val="32"/>
          <w:szCs w:val="24"/>
          <w:u w:val="none"/>
          <w:shd w:val="clear"/>
        </w:rPr>
        <w:t>等材料。</w:t>
      </w:r>
      <w:r>
        <w:rPr>
          <w:rFonts w:hint="eastAsia" w:ascii="仿宋_GB2312" w:hAnsi="仿宋_GB2312" w:eastAsia="仿宋_GB2312" w:cs="仿宋_GB2312"/>
          <w:kern w:val="2"/>
          <w:sz w:val="32"/>
          <w:szCs w:val="24"/>
          <w:shd w:val="clear"/>
        </w:rPr>
        <w:t>南控母基金原则</w:t>
      </w:r>
      <w:r>
        <w:rPr>
          <w:rFonts w:hint="eastAsia" w:ascii="仿宋_GB2312" w:hAnsi="仿宋_GB2312" w:eastAsia="仿宋_GB2312" w:cs="仿宋_GB2312"/>
          <w:kern w:val="2"/>
          <w:sz w:val="32"/>
          <w:szCs w:val="24"/>
          <w:shd w:val="clear"/>
          <w:lang w:val="en-US" w:eastAsia="zh-CN"/>
        </w:rPr>
        <w:t>上</w:t>
      </w:r>
      <w:r>
        <w:rPr>
          <w:rFonts w:hint="eastAsia" w:ascii="仿宋_GB2312" w:hAnsi="仿宋_GB2312" w:eastAsia="仿宋_GB2312" w:cs="仿宋_GB2312"/>
          <w:kern w:val="2"/>
          <w:sz w:val="32"/>
          <w:szCs w:val="24"/>
          <w:shd w:val="clear"/>
        </w:rPr>
        <w:t>按子基金投资节奏进行出资实缴，且有权在子基金其他投资人实缴出资后</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lang w:val="en-US" w:eastAsia="zh-CN"/>
        </w:rPr>
        <w:t>政府引导基金及同类型国资基金除外</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，再履行对应出资义务。</w:t>
      </w:r>
    </w:p>
    <w:p w14:paraId="1DEFFC42">
      <w:pPr>
        <w:widowControl w:val="0"/>
        <w:numPr>
          <w:ilvl w:val="0"/>
          <w:numId w:val="1"/>
        </w:numPr>
        <w:wordWrap/>
        <w:ind w:firstLine="640" w:firstLineChars="200"/>
        <w:rPr>
          <w:rFonts w:hint="eastAsia" w:ascii="仿宋_GB2312" w:hAnsi="仿宋_GB2312" w:eastAsia="仿宋_GB2312" w:cs="仿宋_GB2312"/>
          <w:kern w:val="2"/>
          <w:sz w:val="32"/>
          <w:szCs w:val="24"/>
          <w:shd w:val="clear"/>
          <w:lang w:eastAsia="zh-CN"/>
        </w:rPr>
      </w:pPr>
      <w:r>
        <w:rPr>
          <w:rFonts w:hint="eastAsia" w:ascii="仿宋_GB2312" w:hAnsi="仿宋_GB2312" w:eastAsia="仿宋_GB2312" w:cs="仿宋_GB2312"/>
          <w:kern w:val="2"/>
          <w:sz w:val="32"/>
          <w:szCs w:val="24"/>
          <w:shd w:val="clear"/>
        </w:rPr>
        <w:t>子基金投资期不超过</w:t>
      </w:r>
      <w:r>
        <w:rPr>
          <w:rFonts w:hint="eastAsia" w:ascii="仿宋_GB2312" w:hAnsi="仿宋_GB2312" w:eastAsia="仿宋_GB2312" w:cs="仿宋_GB2312"/>
          <w:kern w:val="2"/>
          <w:sz w:val="32"/>
          <w:szCs w:val="24"/>
          <w:shd w:val="clear"/>
          <w:lang w:val="en-US" w:eastAsia="zh-CN"/>
        </w:rPr>
        <w:t>6</w:t>
      </w:r>
      <w:r>
        <w:rPr>
          <w:rFonts w:hint="eastAsia" w:ascii="仿宋_GB2312" w:hAnsi="仿宋_GB2312" w:eastAsia="仿宋_GB2312" w:cs="仿宋_GB2312"/>
          <w:kern w:val="2"/>
          <w:sz w:val="32"/>
          <w:szCs w:val="24"/>
          <w:shd w:val="clear"/>
        </w:rPr>
        <w:t>年</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存续期限</w:t>
      </w:r>
      <w:r>
        <w:rPr>
          <w:rFonts w:hint="eastAsia" w:ascii="仿宋_GB2312" w:hAnsi="仿宋_GB2312" w:eastAsia="仿宋_GB2312" w:cs="仿宋_GB2312"/>
          <w:kern w:val="2"/>
          <w:sz w:val="32"/>
          <w:szCs w:val="24"/>
          <w:shd w:val="clear"/>
          <w:lang w:val="en-US" w:eastAsia="zh-CN"/>
        </w:rPr>
        <w:t>不超过南控母基金存续期限</w:t>
      </w:r>
      <w:r>
        <w:rPr>
          <w:rFonts w:hint="eastAsia" w:ascii="仿宋_GB2312" w:hAnsi="仿宋_GB2312" w:eastAsia="仿宋_GB2312" w:cs="仿宋_GB2312"/>
          <w:kern w:val="2"/>
          <w:sz w:val="32"/>
          <w:szCs w:val="24"/>
          <w:shd w:val="clear"/>
          <w:lang w:eastAsia="zh-CN"/>
        </w:rPr>
        <w:t>。</w:t>
      </w:r>
    </w:p>
    <w:p w14:paraId="58B14579">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子基金投资期收取的管理费率每年最高不超过实缴金额的2%，子基金退出期收取的管理费率每年最高不超过未退出本金总额的2%，且对南控母基金收取管理费的标准不得高于其他出资人。</w:t>
      </w:r>
    </w:p>
    <w:p w14:paraId="21DDBF5F">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子基金投资项目退出后，投资回收资金不得再用于对外投资，须及时按合伙协议（或公司章程）约定向投资人进行分配。原则上，子基金的门槛收益率</w:t>
      </w:r>
      <w:r>
        <w:rPr>
          <w:rFonts w:hint="eastAsia" w:ascii="仿宋_GB2312" w:hAnsi="仿宋_GB2312" w:eastAsia="仿宋_GB2312" w:cs="仿宋_GB2312"/>
          <w:kern w:val="2"/>
          <w:sz w:val="32"/>
          <w:szCs w:val="24"/>
          <w:shd w:val="clear"/>
          <w:vertAlign w:val="superscript"/>
        </w:rPr>
        <w:footnoteReference w:id="4"/>
      </w:r>
      <w:r>
        <w:rPr>
          <w:rFonts w:hint="eastAsia" w:ascii="仿宋_GB2312" w:hAnsi="仿宋_GB2312" w:eastAsia="仿宋_GB2312" w:cs="仿宋_GB2312"/>
          <w:kern w:val="2"/>
          <w:sz w:val="32"/>
          <w:szCs w:val="24"/>
          <w:shd w:val="clear"/>
        </w:rPr>
        <w:t>不低于</w:t>
      </w:r>
      <w:r>
        <w:rPr>
          <w:rFonts w:hint="eastAsia" w:ascii="仿宋_GB2312" w:hAnsi="仿宋_GB2312" w:eastAsia="仿宋_GB2312" w:cs="仿宋_GB2312"/>
          <w:kern w:val="2"/>
          <w:sz w:val="32"/>
          <w:szCs w:val="24"/>
          <w:shd w:val="clear"/>
          <w:lang w:val="en-US" w:eastAsia="zh-CN"/>
        </w:rPr>
        <w:t>6</w:t>
      </w:r>
      <w:r>
        <w:rPr>
          <w:rFonts w:hint="eastAsia" w:ascii="仿宋_GB2312" w:hAnsi="仿宋_GB2312" w:eastAsia="仿宋_GB2312" w:cs="仿宋_GB2312"/>
          <w:kern w:val="2"/>
          <w:sz w:val="32"/>
          <w:szCs w:val="24"/>
          <w:shd w:val="clear"/>
        </w:rPr>
        <w:t>%（单利）。</w:t>
      </w:r>
    </w:p>
    <w:p w14:paraId="60D831DD">
      <w:pPr>
        <w:widowControl w:val="0"/>
        <w:numPr>
          <w:ilvl w:val="0"/>
          <w:numId w:val="1"/>
        </w:numPr>
        <w:wordWrap/>
        <w:ind w:firstLine="640" w:firstLineChars="200"/>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应当</w:t>
      </w:r>
      <w:r>
        <w:rPr>
          <w:rFonts w:hint="eastAsia" w:ascii="仿宋_GB2312" w:hAnsi="仿宋_GB2312" w:eastAsia="仿宋_GB2312" w:cs="仿宋_GB2312"/>
          <w:kern w:val="2"/>
          <w:sz w:val="32"/>
          <w:szCs w:val="24"/>
          <w:shd w:val="clear"/>
        </w:rPr>
        <w:t>已经具有一定数量的项目储备并制定了相应的投资计划。</w:t>
      </w:r>
      <w:r>
        <w:rPr>
          <w:rFonts w:hint="eastAsia" w:ascii="仿宋_GB2312" w:hAnsi="仿宋_GB2312" w:eastAsia="仿宋_GB2312" w:cs="仿宋_GB2312"/>
          <w:kern w:val="2"/>
          <w:sz w:val="32"/>
          <w:szCs w:val="24"/>
          <w:shd w:val="clear"/>
          <w:lang w:val="en-US" w:eastAsia="zh-CN"/>
        </w:rPr>
        <w:t>子基金原则上应直接投资具体项目，除需通过设立项目基金方式投资具体项目外，子基金不可再投资其他股权投资基金。</w:t>
      </w:r>
    </w:p>
    <w:p w14:paraId="0DAC610C">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子基金</w:t>
      </w:r>
      <w:r>
        <w:rPr>
          <w:rFonts w:hint="eastAsia" w:ascii="仿宋_GB2312" w:hAnsi="仿宋_GB2312" w:eastAsia="仿宋_GB2312" w:cs="仿宋_GB2312"/>
          <w:kern w:val="2"/>
          <w:sz w:val="32"/>
          <w:szCs w:val="24"/>
          <w:shd w:val="clear"/>
          <w:lang w:val="en-US" w:eastAsia="zh-CN"/>
        </w:rPr>
        <w:t>或子基金管理机构投资于南海区的金额应高于南控母基金对子基金实缴出资金额，具体认定标准由南控母基金与子基金申请机构共同协商确定。</w:t>
      </w:r>
    </w:p>
    <w:p w14:paraId="14B645C5">
      <w:pPr>
        <w:widowControl w:val="0"/>
        <w:numPr>
          <w:ilvl w:val="0"/>
          <w:numId w:val="1"/>
        </w:numPr>
        <w:wordWrap/>
        <w:ind w:firstLine="640" w:firstLineChars="200"/>
        <w:rPr>
          <w:rFonts w:hint="eastAsia" w:ascii="仿宋_GB2312" w:hAnsi="仿宋_GB2312" w:eastAsia="仿宋_GB2312" w:cs="仿宋_GB2312"/>
          <w:kern w:val="2"/>
          <w:sz w:val="32"/>
          <w:szCs w:val="24"/>
        </w:rPr>
      </w:pPr>
      <w:r>
        <w:rPr>
          <w:rFonts w:hint="eastAsia" w:ascii="仿宋_GB2312" w:hAnsi="仿宋_GB2312" w:eastAsia="仿宋_GB2312" w:cs="仿宋_GB2312"/>
          <w:b w:val="0"/>
          <w:bCs w:val="0"/>
          <w:kern w:val="2"/>
          <w:sz w:val="32"/>
          <w:szCs w:val="24"/>
          <w:shd w:val="clear"/>
        </w:rPr>
        <w:t>子基金不得从事以下业务：</w:t>
      </w:r>
    </w:p>
    <w:p w14:paraId="7E1A4C4F">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（一）从事股权质押、担保、抵押、委托贷款等业务；</w:t>
      </w:r>
    </w:p>
    <w:p w14:paraId="221B0A29">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（二）投资期货、房地产、证券投资基金、企业债、信托产品、非保本型理财产品</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通过银行存款、国债、货币基金、固定收益类理财产品等方式进行临时投资除外</w:t>
      </w:r>
      <w:r>
        <w:rPr>
          <w:rFonts w:hint="eastAsia" w:ascii="仿宋_GB2312" w:hAnsi="仿宋_GB2312" w:eastAsia="仿宋_GB2312" w:cs="仿宋_GB2312"/>
          <w:kern w:val="2"/>
          <w:sz w:val="32"/>
          <w:szCs w:val="24"/>
          <w:shd w:val="clear"/>
          <w:lang w:eastAsia="zh-CN"/>
        </w:rPr>
        <w:t>）</w:t>
      </w:r>
      <w:r>
        <w:rPr>
          <w:rFonts w:hint="eastAsia" w:ascii="仿宋_GB2312" w:hAnsi="仿宋_GB2312" w:eastAsia="仿宋_GB2312" w:cs="仿宋_GB2312"/>
          <w:kern w:val="2"/>
          <w:sz w:val="32"/>
          <w:szCs w:val="24"/>
          <w:shd w:val="clear"/>
        </w:rPr>
        <w:t>、保险计划及其他金融衍生品；</w:t>
      </w:r>
    </w:p>
    <w:p w14:paraId="353E43D3">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w:t>
      </w:r>
      <w:r>
        <w:rPr>
          <w:rFonts w:hint="eastAsia" w:ascii="仿宋_GB2312" w:hAnsi="仿宋_GB2312" w:eastAsia="仿宋_GB2312" w:cs="仿宋_GB2312"/>
          <w:kern w:val="2"/>
          <w:sz w:val="32"/>
          <w:szCs w:val="24"/>
          <w:shd w:val="clear"/>
          <w:lang w:val="en-US" w:eastAsia="zh-CN"/>
        </w:rPr>
        <w:t>三</w:t>
      </w:r>
      <w:r>
        <w:rPr>
          <w:rFonts w:hint="eastAsia" w:ascii="仿宋_GB2312" w:hAnsi="仿宋_GB2312" w:eastAsia="仿宋_GB2312" w:cs="仿宋_GB2312"/>
          <w:kern w:val="2"/>
          <w:sz w:val="32"/>
          <w:szCs w:val="24"/>
          <w:shd w:val="clear"/>
        </w:rPr>
        <w:t>）发行信托或集合理财产品募集资金；</w:t>
      </w:r>
    </w:p>
    <w:p w14:paraId="160F7405">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（四）向任何第三方提供赞助、捐赠；</w:t>
      </w:r>
    </w:p>
    <w:p w14:paraId="3BDF2428">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（五）吸收或变相吸收存款，或向第三方提供贷款和资金拆借</w:t>
      </w:r>
      <w:r>
        <w:rPr>
          <w:rFonts w:hint="eastAsia" w:ascii="仿宋_GB2312" w:hAnsi="仿宋_GB2312" w:eastAsia="仿宋_GB2312" w:cs="仿宋_GB2312"/>
          <w:kern w:val="2"/>
          <w:sz w:val="32"/>
          <w:szCs w:val="24"/>
          <w:highlight w:val="none"/>
          <w:shd w:val="clear"/>
          <w:lang w:eastAsia="zh-CN"/>
        </w:rPr>
        <w:t>（</w:t>
      </w:r>
      <w:r>
        <w:rPr>
          <w:rFonts w:hint="eastAsia" w:ascii="仿宋_GB2312" w:hAnsi="仿宋_GB2312" w:eastAsia="仿宋_GB2312" w:cs="仿宋_GB2312"/>
          <w:kern w:val="2"/>
          <w:sz w:val="32"/>
          <w:szCs w:val="24"/>
          <w:highlight w:val="none"/>
          <w:shd w:val="clear"/>
          <w:lang w:val="en-US" w:eastAsia="zh-CN"/>
        </w:rPr>
        <w:t>法律法规、行业协会自律规则未禁止的、以股权投资为目的借款、担保除外）</w:t>
      </w:r>
      <w:r>
        <w:rPr>
          <w:rFonts w:hint="eastAsia" w:ascii="仿宋_GB2312" w:hAnsi="仿宋_GB2312" w:eastAsia="仿宋_GB2312" w:cs="仿宋_GB2312"/>
          <w:kern w:val="2"/>
          <w:sz w:val="32"/>
          <w:szCs w:val="24"/>
          <w:shd w:val="clear"/>
        </w:rPr>
        <w:t>；</w:t>
      </w:r>
    </w:p>
    <w:p w14:paraId="6FE76B75">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（六）进行承担无限连带责任的对外投资；</w:t>
      </w:r>
    </w:p>
    <w:p w14:paraId="10FEA511">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w:t>
      </w:r>
      <w:r>
        <w:rPr>
          <w:rFonts w:hint="eastAsia" w:ascii="仿宋_GB2312" w:hAnsi="仿宋_GB2312" w:eastAsia="仿宋_GB2312" w:cs="仿宋_GB2312"/>
          <w:kern w:val="2"/>
          <w:sz w:val="32"/>
          <w:szCs w:val="24"/>
          <w:shd w:val="clear"/>
          <w:lang w:val="en-US" w:eastAsia="zh-CN"/>
        </w:rPr>
        <w:t>七</w:t>
      </w:r>
      <w:r>
        <w:rPr>
          <w:rFonts w:hint="eastAsia" w:ascii="仿宋_GB2312" w:hAnsi="仿宋_GB2312" w:eastAsia="仿宋_GB2312" w:cs="仿宋_GB2312"/>
          <w:kern w:val="2"/>
          <w:sz w:val="32"/>
          <w:szCs w:val="24"/>
          <w:shd w:val="clear"/>
        </w:rPr>
        <w:t>）其他国家法律法规禁止从事的业务。</w:t>
      </w:r>
    </w:p>
    <w:p w14:paraId="2E19FA67">
      <w:pPr>
        <w:widowControl w:val="0"/>
        <w:numPr>
          <w:ilvl w:val="0"/>
          <w:numId w:val="1"/>
        </w:numPr>
        <w:wordWrap/>
        <w:ind w:firstLine="640" w:firstLineChars="200"/>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申请南控母基金对现有股权投资基金进行增资或受让股权投资基金份额（合伙企业财产份额）的，除需符合上述条件外，还应满足以下条件：</w:t>
      </w:r>
    </w:p>
    <w:p w14:paraId="3CE554C7">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（一）子基金已按有关法律法规设立；</w:t>
      </w:r>
    </w:p>
    <w:p w14:paraId="086A89E8">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highlight w:val="none"/>
          <w:shd w:val="clear"/>
        </w:rPr>
      </w:pPr>
      <w:r>
        <w:rPr>
          <w:rFonts w:hint="eastAsia" w:ascii="仿宋_GB2312" w:hAnsi="仿宋_GB2312" w:eastAsia="仿宋_GB2312" w:cs="仿宋_GB2312"/>
          <w:kern w:val="2"/>
          <w:sz w:val="32"/>
          <w:szCs w:val="24"/>
          <w:highlight w:val="none"/>
          <w:shd w:val="clear"/>
          <w:lang w:bidi="zh-TW"/>
        </w:rPr>
        <w:t>（二）子基金全体出资人首期出资或首期认缴出资已经实际缴纳到位</w:t>
      </w:r>
      <w:r>
        <w:rPr>
          <w:rFonts w:hint="eastAsia" w:ascii="仿宋_GB2312" w:hAnsi="仿宋_GB2312" w:eastAsia="仿宋_GB2312" w:cs="仿宋_GB2312"/>
          <w:kern w:val="2"/>
          <w:sz w:val="32"/>
          <w:szCs w:val="24"/>
          <w:highlight w:val="none"/>
          <w:shd w:val="clear"/>
          <w:lang w:eastAsia="zh-CN" w:bidi="zh-TW"/>
        </w:rPr>
        <w:t>。</w:t>
      </w:r>
    </w:p>
    <w:p w14:paraId="304644B8">
      <w:pPr>
        <w:widowControl w:val="0"/>
        <w:numPr>
          <w:ilvl w:val="0"/>
          <w:numId w:val="1"/>
        </w:numPr>
        <w:wordWrap/>
        <w:ind w:firstLine="640" w:firstLineChars="200"/>
        <w:rPr>
          <w:rFonts w:hint="eastAsia" w:ascii="仿宋_GB2312" w:hAnsi="仿宋_GB2312" w:eastAsia="仿宋_GB2312" w:cs="仿宋_GB2312"/>
          <w:kern w:val="2"/>
          <w:sz w:val="32"/>
          <w:szCs w:val="24"/>
          <w:highlight w:val="none"/>
          <w:shd w:val="clear"/>
        </w:rPr>
      </w:pPr>
      <w:r>
        <w:rPr>
          <w:rFonts w:hint="eastAsia" w:ascii="仿宋_GB2312" w:hAnsi="仿宋_GB2312" w:eastAsia="仿宋_GB2312" w:cs="仿宋_GB2312"/>
          <w:kern w:val="2"/>
          <w:sz w:val="32"/>
          <w:szCs w:val="24"/>
          <w:highlight w:val="none"/>
          <w:shd w:val="clear"/>
        </w:rPr>
        <w:t>子基金管理机构应当建立子</w:t>
      </w:r>
      <w:bookmarkStart w:id="0" w:name="_GoBack"/>
      <w:bookmarkEnd w:id="0"/>
      <w:r>
        <w:rPr>
          <w:rFonts w:hint="eastAsia" w:ascii="仿宋_GB2312" w:hAnsi="仿宋_GB2312" w:eastAsia="仿宋_GB2312" w:cs="仿宋_GB2312"/>
          <w:kern w:val="2"/>
          <w:sz w:val="32"/>
          <w:szCs w:val="24"/>
          <w:highlight w:val="none"/>
          <w:shd w:val="clear"/>
        </w:rPr>
        <w:t>基金重大事项披露制度。子基金须定期向南控母基金提交子基金运营报告、经审计的子基金财务报告和银行托管报告</w:t>
      </w:r>
      <w:r>
        <w:rPr>
          <w:rFonts w:hint="eastAsia" w:ascii="仿宋_GB2312" w:hAnsi="仿宋_GB2312" w:eastAsia="仿宋_GB2312" w:cs="仿宋_GB2312"/>
          <w:kern w:val="2"/>
          <w:sz w:val="32"/>
          <w:szCs w:val="24"/>
          <w:highlight w:val="none"/>
          <w:shd w:val="clear"/>
        </w:rPr>
        <w:t>、</w:t>
      </w:r>
      <w:r>
        <w:rPr>
          <w:rFonts w:hint="eastAsia" w:ascii="仿宋_GB2312" w:hAnsi="仿宋_GB2312" w:eastAsia="仿宋_GB2312" w:cs="仿宋_GB2312"/>
          <w:kern w:val="2"/>
          <w:sz w:val="32"/>
          <w:szCs w:val="24"/>
          <w:highlight w:val="none"/>
          <w:shd w:val="clear"/>
          <w:lang w:val="en-US" w:eastAsia="zh-CN"/>
        </w:rPr>
        <w:t>项目材料</w:t>
      </w:r>
      <w:r>
        <w:rPr>
          <w:rFonts w:hint="eastAsia" w:ascii="仿宋_GB2312" w:hAnsi="仿宋_GB2312" w:eastAsia="仿宋_GB2312" w:cs="仿宋_GB2312"/>
          <w:kern w:val="2"/>
          <w:sz w:val="32"/>
          <w:szCs w:val="24"/>
          <w:highlight w:val="none"/>
          <w:shd w:val="clear"/>
        </w:rPr>
        <w:t>及其他合规材料备案等，并配合南控母基金</w:t>
      </w:r>
      <w:r>
        <w:rPr>
          <w:rFonts w:hint="eastAsia" w:ascii="仿宋_GB2312" w:hAnsi="仿宋_GB2312" w:eastAsia="仿宋_GB2312" w:cs="仿宋_GB2312"/>
          <w:kern w:val="2"/>
          <w:sz w:val="32"/>
          <w:szCs w:val="24"/>
          <w:highlight w:val="none"/>
          <w:shd w:val="clear"/>
          <w:lang w:val="en-US" w:eastAsia="zh-CN"/>
        </w:rPr>
        <w:t>开展上级单位要求的专项检查或审计等</w:t>
      </w:r>
      <w:r>
        <w:rPr>
          <w:rFonts w:hint="eastAsia" w:ascii="仿宋_GB2312" w:hAnsi="仿宋_GB2312" w:eastAsia="仿宋_GB2312" w:cs="仿宋_GB2312"/>
          <w:kern w:val="2"/>
          <w:sz w:val="32"/>
          <w:szCs w:val="24"/>
          <w:highlight w:val="none"/>
          <w:shd w:val="clear"/>
        </w:rPr>
        <w:t>相关工作。</w:t>
      </w:r>
    </w:p>
    <w:p w14:paraId="021CCE0F">
      <w:pPr>
        <w:widowControl w:val="0"/>
        <w:numPr>
          <w:ilvl w:val="0"/>
          <w:numId w:val="1"/>
        </w:numPr>
        <w:wordWrap/>
        <w:ind w:firstLine="640" w:firstLineChars="200"/>
        <w:rPr>
          <w:rFonts w:hint="eastAsia" w:ascii="仿宋_GB2312" w:hAnsi="仿宋_GB2312" w:eastAsia="仿宋_GB2312" w:cs="仿宋_GB2312"/>
          <w:kern w:val="2"/>
          <w:sz w:val="32"/>
          <w:szCs w:val="24"/>
          <w:highlight w:val="none"/>
          <w:shd w:val="clear"/>
        </w:rPr>
      </w:pPr>
      <w:r>
        <w:rPr>
          <w:rFonts w:hint="eastAsia" w:ascii="仿宋_GB2312" w:hAnsi="仿宋_GB2312" w:eastAsia="仿宋_GB2312" w:cs="仿宋_GB2312"/>
          <w:kern w:val="2"/>
          <w:sz w:val="32"/>
          <w:szCs w:val="24"/>
          <w:highlight w:val="none"/>
          <w:shd w:val="clear"/>
        </w:rPr>
        <w:t>南控母基金将定期进行非现场核查、现场走访等形式的投后管理工作，</w:t>
      </w:r>
      <w:r>
        <w:rPr>
          <w:rFonts w:hint="eastAsia" w:ascii="仿宋_GB2312" w:hAnsi="仿宋_GB2312" w:eastAsia="仿宋_GB2312" w:cs="仿宋_GB2312"/>
          <w:kern w:val="2"/>
          <w:sz w:val="32"/>
          <w:szCs w:val="24"/>
          <w:highlight w:val="none"/>
          <w:shd w:val="clear"/>
          <w:lang w:val="en-US" w:eastAsia="zh-CN"/>
        </w:rPr>
        <w:t>及</w:t>
      </w:r>
      <w:r>
        <w:rPr>
          <w:rFonts w:hint="eastAsia" w:ascii="仿宋_GB2312" w:hAnsi="仿宋_GB2312" w:eastAsia="仿宋_GB2312" w:cs="仿宋_GB2312"/>
          <w:kern w:val="2"/>
          <w:sz w:val="32"/>
          <w:szCs w:val="24"/>
          <w:highlight w:val="none"/>
          <w:shd w:val="clear"/>
        </w:rPr>
        <w:t>视工作需要委托专业机构对子基金进行审计</w:t>
      </w:r>
      <w:r>
        <w:rPr>
          <w:rFonts w:hint="eastAsia" w:ascii="仿宋_GB2312" w:hAnsi="仿宋_GB2312" w:eastAsia="仿宋_GB2312" w:cs="仿宋_GB2312"/>
          <w:kern w:val="2"/>
          <w:sz w:val="32"/>
          <w:szCs w:val="24"/>
          <w:highlight w:val="none"/>
          <w:shd w:val="clear"/>
          <w:lang w:eastAsia="zh-CN"/>
        </w:rPr>
        <w:t>，</w:t>
      </w:r>
      <w:r>
        <w:rPr>
          <w:rFonts w:hint="eastAsia" w:ascii="仿宋_GB2312" w:hAnsi="仿宋_GB2312" w:eastAsia="仿宋_GB2312" w:cs="仿宋_GB2312"/>
          <w:kern w:val="2"/>
          <w:sz w:val="32"/>
          <w:szCs w:val="24"/>
          <w:highlight w:val="none"/>
          <w:shd w:val="clear"/>
        </w:rPr>
        <w:t>子基金管理</w:t>
      </w:r>
      <w:r>
        <w:rPr>
          <w:rFonts w:hint="eastAsia" w:ascii="仿宋_GB2312" w:hAnsi="仿宋_GB2312" w:eastAsia="仿宋_GB2312" w:cs="仿宋_GB2312"/>
          <w:kern w:val="2"/>
          <w:sz w:val="32"/>
          <w:szCs w:val="24"/>
          <w:highlight w:val="none"/>
          <w:shd w:val="clear"/>
          <w:lang w:val="en-US" w:eastAsia="zh-CN"/>
        </w:rPr>
        <w:t>机构</w:t>
      </w:r>
      <w:r>
        <w:rPr>
          <w:rFonts w:hint="eastAsia" w:ascii="仿宋_GB2312" w:hAnsi="仿宋_GB2312" w:eastAsia="仿宋_GB2312" w:cs="仿宋_GB2312"/>
          <w:kern w:val="2"/>
          <w:sz w:val="32"/>
          <w:szCs w:val="24"/>
          <w:highlight w:val="none"/>
          <w:shd w:val="clear"/>
        </w:rPr>
        <w:t>需予以配合。</w:t>
      </w:r>
    </w:p>
    <w:p w14:paraId="40B5DECD">
      <w:pPr>
        <w:widowControl w:val="0"/>
        <w:numPr>
          <w:ilvl w:val="0"/>
          <w:numId w:val="1"/>
        </w:numPr>
        <w:wordWrap/>
        <w:ind w:firstLine="640" w:firstLineChars="200"/>
        <w:rPr>
          <w:rFonts w:hint="eastAsia" w:ascii="仿宋_GB2312" w:hAnsi="仿宋_GB2312" w:eastAsia="仿宋_GB2312" w:cs="仿宋_GB2312"/>
          <w:kern w:val="2"/>
          <w:sz w:val="32"/>
          <w:szCs w:val="24"/>
          <w:highlight w:val="none"/>
        </w:rPr>
      </w:pPr>
      <w:r>
        <w:rPr>
          <w:rFonts w:hint="eastAsia" w:ascii="仿宋_GB2312" w:hAnsi="仿宋_GB2312" w:eastAsia="仿宋_GB2312" w:cs="仿宋_GB2312"/>
          <w:b w:val="0"/>
          <w:bCs w:val="0"/>
          <w:kern w:val="2"/>
          <w:sz w:val="32"/>
          <w:szCs w:val="24"/>
          <w:highlight w:val="none"/>
          <w:shd w:val="clear"/>
        </w:rPr>
        <w:t>有下列情况之一的，</w:t>
      </w:r>
      <w:r>
        <w:rPr>
          <w:rFonts w:hint="eastAsia" w:ascii="仿宋_GB2312" w:hAnsi="仿宋_GB2312" w:eastAsia="仿宋_GB2312" w:cs="仿宋_GB2312"/>
          <w:b w:val="0"/>
          <w:bCs w:val="0"/>
          <w:kern w:val="2"/>
          <w:sz w:val="32"/>
          <w:szCs w:val="24"/>
          <w:highlight w:val="none"/>
          <w:shd w:val="clear"/>
          <w:lang w:val="en-US" w:eastAsia="zh-CN"/>
        </w:rPr>
        <w:t>南控</w:t>
      </w:r>
      <w:r>
        <w:rPr>
          <w:rFonts w:hint="eastAsia" w:ascii="仿宋_GB2312" w:hAnsi="仿宋_GB2312" w:eastAsia="仿宋_GB2312" w:cs="仿宋_GB2312"/>
          <w:b w:val="0"/>
          <w:bCs w:val="0"/>
          <w:kern w:val="2"/>
          <w:sz w:val="32"/>
          <w:szCs w:val="24"/>
          <w:highlight w:val="none"/>
          <w:shd w:val="clear"/>
        </w:rPr>
        <w:t>母基金有权要求终止合作或提前退出：</w:t>
      </w:r>
    </w:p>
    <w:p w14:paraId="78D382C2">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（一）子基金未按照子基金章程、合伙协议或其他约束性文件的约定投资且未能有效整改的；</w:t>
      </w:r>
    </w:p>
    <w:p w14:paraId="20CCE4F9">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（二）南控母基金与子基金管理机构签订投资或合作协议后，子基金管理机构未在6个月内完成子基金工商设立登记的；</w:t>
      </w:r>
    </w:p>
    <w:p w14:paraId="12C4D510">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（三）子基金完成工商设立登记后，子基金其他出资人未在6个月内完成首期出资的；</w:t>
      </w:r>
    </w:p>
    <w:p w14:paraId="3748F882">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（四）南控母基金出资资金拨付至子基金账户后，子基金未开展投资业务（至少完成一个项目投资）超过1年的；</w:t>
      </w:r>
    </w:p>
    <w:p w14:paraId="2096E721">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（五）子基金运营有违法违规行为并被依法查处的；</w:t>
      </w:r>
    </w:p>
    <w:p w14:paraId="6F3CE5BA">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（六）子基金管理机构发生实质性变化，已不符合本办法所述规定，且未经子基金相关权力机构审议通过的。实质变化包括但不限于：</w:t>
      </w:r>
    </w:p>
    <w:p w14:paraId="3D9AA648">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rPr>
      </w:pPr>
      <w:r>
        <w:rPr>
          <w:rFonts w:hint="eastAsia" w:ascii="仿宋_GB2312" w:hAnsi="仿宋_GB2312" w:eastAsia="仿宋_GB2312" w:cs="仿宋_GB2312"/>
          <w:kern w:val="2"/>
          <w:sz w:val="32"/>
          <w:szCs w:val="24"/>
          <w:shd w:val="clear"/>
        </w:rPr>
        <w:t>1.子基金管理机构的主要股东（公司制）或普通合伙人（合伙制）发生实质性变化；</w:t>
      </w:r>
    </w:p>
    <w:p w14:paraId="5CB9338A">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2.锁定的子基金投委会委员或管理团队核心人员半数（含）以上发生变化等情况。</w:t>
      </w:r>
    </w:p>
    <w:p w14:paraId="6C78B561">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rPr>
      </w:pPr>
      <w:r>
        <w:rPr>
          <w:rFonts w:hint="eastAsia" w:ascii="仿宋_GB2312" w:hAnsi="仿宋_GB2312" w:eastAsia="仿宋_GB2312" w:cs="仿宋_GB2312"/>
          <w:kern w:val="2"/>
          <w:sz w:val="32"/>
          <w:szCs w:val="24"/>
          <w:shd w:val="clear"/>
        </w:rPr>
        <w:t>（七）南控母基金委托专业机构对子基金进行审计，子基金或管理</w:t>
      </w:r>
      <w:r>
        <w:rPr>
          <w:rFonts w:hint="eastAsia" w:ascii="仿宋_GB2312" w:hAnsi="仿宋_GB2312" w:eastAsia="仿宋_GB2312" w:cs="仿宋_GB2312"/>
          <w:kern w:val="2"/>
          <w:sz w:val="32"/>
          <w:szCs w:val="24"/>
          <w:shd w:val="clear"/>
          <w:lang w:val="en-US" w:eastAsia="zh-CN"/>
        </w:rPr>
        <w:t>机构</w:t>
      </w:r>
      <w:r>
        <w:rPr>
          <w:rFonts w:hint="eastAsia" w:ascii="仿宋_GB2312" w:hAnsi="仿宋_GB2312" w:eastAsia="仿宋_GB2312" w:cs="仿宋_GB2312"/>
          <w:kern w:val="2"/>
          <w:sz w:val="32"/>
          <w:szCs w:val="24"/>
          <w:shd w:val="clear"/>
        </w:rPr>
        <w:t>拒不配合的。</w:t>
      </w:r>
    </w:p>
    <w:p w14:paraId="6257D14B">
      <w:pPr>
        <w:widowControl w:val="0"/>
        <w:numPr>
          <w:ilvl w:val="0"/>
          <w:numId w:val="1"/>
        </w:numPr>
        <w:wordWrap/>
        <w:ind w:firstLine="640" w:firstLineChars="200"/>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鼓励子基金以下行为：</w:t>
      </w:r>
    </w:p>
    <w:p w14:paraId="5D304B1E">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（一）向南控母基金及其关联方分享股权项目的跟随投资机会（包括同一轮次的联合投资）；</w:t>
      </w:r>
    </w:p>
    <w:p w14:paraId="0B124682">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（二）申请时已有投资意向较为明确的南海区本地项目或返投南海项目；</w:t>
      </w:r>
    </w:p>
    <w:p w14:paraId="6D54202C">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（三）在南海区注册。</w:t>
      </w:r>
    </w:p>
    <w:p w14:paraId="462C0008">
      <w:pPr>
        <w:pStyle w:val="8"/>
        <w:widowControl/>
        <w:numPr>
          <w:ilvl w:val="0"/>
          <w:numId w:val="0"/>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rPr>
      </w:pPr>
      <w:r>
        <w:rPr>
          <w:rFonts w:hint="eastAsia" w:ascii="仿宋_GB2312" w:hAnsi="仿宋_GB2312" w:eastAsia="仿宋_GB2312" w:cs="仿宋_GB2312"/>
          <w:kern w:val="2"/>
          <w:sz w:val="32"/>
          <w:szCs w:val="24"/>
          <w:shd w:val="clear"/>
          <w:lang w:val="en-US" w:eastAsia="zh-CN"/>
        </w:rPr>
        <w:t>满足上述任一条件，子基金申请母基金出资的最高出资额不超过1亿元人民币，南控母基金出资比例原则上不超过子基金规模的30％。</w:t>
      </w:r>
    </w:p>
    <w:p w14:paraId="2F25FDAF">
      <w:pPr>
        <w:pStyle w:val="8"/>
        <w:widowControl/>
        <w:shd w:val="clear" w:color="auto" w:fill="FFFFFF"/>
        <w:wordWrap w:val="0"/>
        <w:spacing w:beforeAutospacing="0" w:afterAutospacing="0" w:line="520" w:lineRule="exact"/>
        <w:jc w:val="both"/>
        <w:rPr>
          <w:rFonts w:hint="default" w:ascii="黑体" w:hAnsi="黑体" w:eastAsia="黑体" w:cs="黑体"/>
          <w:color w:val="444444"/>
          <w:sz w:val="32"/>
          <w:szCs w:val="32"/>
          <w:highlight w:val="none"/>
          <w:shd w:val="clear" w:color="auto" w:fill="FFFFFF"/>
          <w:lang w:val="en-US" w:eastAsia="zh-CN"/>
        </w:rPr>
      </w:pPr>
    </w:p>
    <w:p w14:paraId="1E54BF31">
      <w:pPr>
        <w:adjustRightInd w:val="0"/>
        <w:snapToGrid w:val="0"/>
        <w:spacing w:line="560" w:lineRule="exact"/>
        <w:jc w:val="center"/>
        <w:rPr>
          <w:rFonts w:hint="eastAsia" w:ascii="黑体" w:hAnsi="黑体" w:eastAsia="黑体" w:cs="黑体"/>
          <w:sz w:val="32"/>
          <w:szCs w:val="32"/>
          <w:shd w:val="clear"/>
        </w:rPr>
      </w:pPr>
      <w:r>
        <w:rPr>
          <w:rFonts w:hint="eastAsia" w:ascii="黑体" w:hAnsi="黑体" w:eastAsia="黑体" w:cs="黑体"/>
          <w:sz w:val="32"/>
          <w:szCs w:val="32"/>
          <w:shd w:val="clear"/>
        </w:rPr>
        <w:t>第五章 附则</w:t>
      </w:r>
    </w:p>
    <w:p w14:paraId="59E7D73C">
      <w:pPr>
        <w:widowControl w:val="0"/>
        <w:numPr>
          <w:ilvl w:val="0"/>
          <w:numId w:val="1"/>
        </w:numPr>
        <w:wordWrap/>
        <w:ind w:firstLine="640" w:firstLineChars="200"/>
        <w:rPr>
          <w:rFonts w:hint="eastAsia" w:ascii="仿宋_GB2312" w:hAnsi="仿宋_GB2312" w:eastAsia="仿宋_GB2312" w:cs="仿宋_GB2312"/>
          <w:kern w:val="2"/>
          <w:sz w:val="32"/>
          <w:szCs w:val="24"/>
          <w:shd w:val="clear"/>
          <w:lang w:eastAsia="zh-CN" w:bidi="zh-TW"/>
        </w:rPr>
      </w:pPr>
      <w:r>
        <w:rPr>
          <w:rFonts w:hint="eastAsia" w:ascii="仿宋_GB2312" w:hAnsi="仿宋_GB2312" w:eastAsia="仿宋_GB2312" w:cs="仿宋_GB2312"/>
          <w:kern w:val="2"/>
          <w:sz w:val="32"/>
          <w:szCs w:val="24"/>
          <w:shd w:val="clear"/>
          <w:lang w:bidi="zh-TW"/>
        </w:rPr>
        <w:t>南控母基金</w:t>
      </w:r>
      <w:r>
        <w:rPr>
          <w:rFonts w:hint="eastAsia" w:ascii="仿宋_GB2312" w:hAnsi="仿宋_GB2312" w:eastAsia="仿宋_GB2312" w:cs="仿宋_GB2312"/>
          <w:kern w:val="2"/>
          <w:sz w:val="32"/>
          <w:szCs w:val="24"/>
          <w:shd w:val="clear"/>
          <w:lang w:val="en-US" w:eastAsia="zh-CN" w:bidi="zh-TW"/>
        </w:rPr>
        <w:t>通过定期申报通道（即公开比选、统一评审）遴选子基金管理机构的，不适用本办法，实施方案</w:t>
      </w:r>
      <w:r>
        <w:rPr>
          <w:rFonts w:hint="eastAsia" w:ascii="仿宋_GB2312" w:hAnsi="仿宋_GB2312" w:eastAsia="仿宋_GB2312" w:cs="仿宋_GB2312"/>
          <w:kern w:val="2"/>
          <w:sz w:val="32"/>
          <w:szCs w:val="24"/>
          <w:shd w:val="clear"/>
          <w:lang w:bidi="zh-TW"/>
        </w:rPr>
        <w:t>另行</w:t>
      </w:r>
      <w:r>
        <w:rPr>
          <w:rFonts w:hint="eastAsia" w:ascii="仿宋_GB2312" w:hAnsi="仿宋_GB2312" w:eastAsia="仿宋_GB2312" w:cs="仿宋_GB2312"/>
          <w:kern w:val="2"/>
          <w:sz w:val="32"/>
          <w:szCs w:val="24"/>
          <w:shd w:val="clear"/>
          <w:lang w:val="en-US" w:eastAsia="zh-CN" w:bidi="zh-TW"/>
        </w:rPr>
        <w:t>制定</w:t>
      </w:r>
      <w:r>
        <w:rPr>
          <w:rFonts w:hint="eastAsia" w:ascii="仿宋_GB2312" w:hAnsi="仿宋_GB2312" w:eastAsia="仿宋_GB2312" w:cs="仿宋_GB2312"/>
          <w:kern w:val="2"/>
          <w:sz w:val="32"/>
          <w:szCs w:val="24"/>
          <w:shd w:val="clear"/>
          <w:lang w:eastAsia="zh-CN" w:bidi="zh-TW"/>
        </w:rPr>
        <w:t>。</w:t>
      </w:r>
    </w:p>
    <w:p w14:paraId="2A84A73F">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val="en-US" w:eastAsia="zh-CN" w:bidi="zh-TW"/>
        </w:rPr>
      </w:pPr>
      <w:r>
        <w:rPr>
          <w:rFonts w:hint="eastAsia" w:ascii="仿宋_GB2312" w:hAnsi="仿宋_GB2312" w:eastAsia="仿宋_GB2312" w:cs="仿宋_GB2312"/>
          <w:kern w:val="2"/>
          <w:sz w:val="32"/>
          <w:szCs w:val="24"/>
          <w:shd w:val="clear"/>
          <w:lang w:val="en-US" w:eastAsia="zh-CN" w:bidi="zh-TW"/>
        </w:rPr>
        <w:t>本办法要求的规模条件、经验条件所涵盖的基金均指股权投资基金（不含基础设施投资、另类投资等）。</w:t>
      </w:r>
    </w:p>
    <w:p w14:paraId="5269570B">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本办法解释权归属于南控基金公司。</w:t>
      </w:r>
    </w:p>
    <w:p w14:paraId="464982E6">
      <w:pPr>
        <w:pStyle w:val="8"/>
        <w:widowControl/>
        <w:numPr>
          <w:ilvl w:val="0"/>
          <w:numId w:val="1"/>
        </w:numPr>
        <w:shd w:val="clear" w:color="auto" w:fill="FFFFFF"/>
        <w:wordWrap w:val="0"/>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24"/>
          <w:shd w:val="clear"/>
          <w:lang w:bidi="zh-TW"/>
        </w:rPr>
      </w:pPr>
      <w:r>
        <w:rPr>
          <w:rFonts w:hint="eastAsia" w:ascii="仿宋_GB2312" w:hAnsi="仿宋_GB2312" w:eastAsia="仿宋_GB2312" w:cs="仿宋_GB2312"/>
          <w:kern w:val="2"/>
          <w:sz w:val="32"/>
          <w:szCs w:val="24"/>
          <w:shd w:val="clear"/>
          <w:lang w:bidi="zh-TW"/>
        </w:rPr>
        <w:t>本办法</w:t>
      </w:r>
      <w:r>
        <w:rPr>
          <w:rFonts w:hint="eastAsia" w:ascii="仿宋_GB2312" w:hAnsi="仿宋_GB2312" w:eastAsia="仿宋_GB2312" w:cs="仿宋_GB2312"/>
          <w:kern w:val="2"/>
          <w:sz w:val="32"/>
          <w:szCs w:val="24"/>
          <w:shd w:val="clear"/>
          <w:lang w:val="en-US" w:eastAsia="zh-CN" w:bidi="zh-TW"/>
        </w:rPr>
        <w:t>自2026年6月18日</w:t>
      </w:r>
      <w:r>
        <w:rPr>
          <w:rFonts w:hint="eastAsia" w:ascii="仿宋_GB2312" w:hAnsi="仿宋_GB2312" w:eastAsia="仿宋_GB2312" w:cs="仿宋_GB2312"/>
          <w:kern w:val="2"/>
          <w:sz w:val="32"/>
          <w:szCs w:val="24"/>
          <w:shd w:val="clear"/>
          <w:lang w:bidi="zh-TW"/>
        </w:rPr>
        <w:t>起实施。</w:t>
      </w:r>
    </w:p>
    <w:p w14:paraId="66B79A41">
      <w:pPr>
        <w:pStyle w:val="8"/>
        <w:widowControl/>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444444"/>
          <w:sz w:val="32"/>
          <w:szCs w:val="32"/>
          <w:highlight w:val="none"/>
          <w:shd w:val="clear" w:color="auto" w:fill="FFFFFF"/>
        </w:rPr>
      </w:pPr>
    </w:p>
    <w:p w14:paraId="407D6C21">
      <w:pPr>
        <w:pStyle w:val="8"/>
        <w:widowControl/>
        <w:shd w:val="clear" w:color="auto" w:fill="FFFFFF"/>
        <w:wordWrap w:val="0"/>
        <w:spacing w:beforeAutospacing="0" w:afterAutospacing="0" w:line="520" w:lineRule="exact"/>
        <w:rPr>
          <w:rFonts w:ascii="Helvetica" w:hAnsi="Helvetica" w:eastAsia="Helvetica" w:cs="Helvetica"/>
          <w:color w:val="444444"/>
          <w:sz w:val="32"/>
          <w:szCs w:val="32"/>
          <w:highlight w:val="none"/>
          <w:shd w:val="clear" w:color="auto" w:fill="FFFFFF"/>
        </w:rPr>
      </w:pPr>
    </w:p>
    <w:p w14:paraId="3DBF0D08">
      <w:pPr>
        <w:pStyle w:val="8"/>
        <w:widowControl/>
        <w:shd w:val="clear" w:color="auto" w:fill="FFFFFF"/>
        <w:wordWrap w:val="0"/>
        <w:spacing w:beforeAutospacing="0" w:afterAutospacing="0" w:line="520" w:lineRule="exact"/>
        <w:rPr>
          <w:rFonts w:ascii="Helvetica" w:hAnsi="Helvetica" w:eastAsia="Helvetica" w:cs="Helvetica"/>
          <w:color w:val="444444"/>
          <w:sz w:val="32"/>
          <w:szCs w:val="32"/>
          <w:highlight w:val="none"/>
          <w:shd w:val="clear" w:color="auto" w:fill="FFFFFF"/>
        </w:rPr>
      </w:pPr>
    </w:p>
    <w:p w14:paraId="37C1F282">
      <w:pPr>
        <w:pStyle w:val="8"/>
        <w:widowControl/>
        <w:shd w:val="clear" w:color="auto" w:fill="FFFFFF"/>
        <w:wordWrap w:val="0"/>
        <w:spacing w:beforeAutospacing="0" w:afterAutospacing="0" w:line="520" w:lineRule="exact"/>
        <w:ind w:firstLine="420"/>
        <w:rPr>
          <w:rStyle w:val="12"/>
          <w:rFonts w:ascii="Helvetica" w:hAnsi="Helvetica" w:eastAsia="Helvetica" w:cs="Helvetica"/>
          <w:color w:val="444444"/>
          <w:sz w:val="32"/>
          <w:szCs w:val="32"/>
          <w:highlight w:val="none"/>
          <w:shd w:val="clear" w:color="auto" w:fill="FFFFFF"/>
        </w:rPr>
      </w:pPr>
    </w:p>
    <w:p w14:paraId="7BB207D2">
      <w:pPr>
        <w:rPr>
          <w:highlight w:val="none"/>
        </w:rPr>
      </w:pPr>
    </w:p>
    <w:sectPr>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51510006">
    <w:panose1 w:val="020B07030202040202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42FF0B3">
      <w:pPr>
        <w:pStyle w:val="7"/>
        <w:snapToGrid w:val="0"/>
      </w:pPr>
      <w:r>
        <w:rPr>
          <w:rStyle w:val="15"/>
        </w:rPr>
        <w:footnoteRef/>
      </w:r>
      <w:r>
        <w:t xml:space="preserve"> </w:t>
      </w:r>
      <w:r>
        <w:rPr>
          <w:rFonts w:hint="eastAsia"/>
        </w:rPr>
        <w:t>定向申请</w:t>
      </w:r>
      <w:r>
        <w:rPr>
          <w:rFonts w:hint="eastAsia"/>
          <w:lang w:val="en-US" w:eastAsia="zh-CN"/>
        </w:rPr>
        <w:t>是指满足条件的申请机构通过常年申报窗口向南控母基金提出投资申请的行为。</w:t>
      </w:r>
    </w:p>
  </w:footnote>
  <w:footnote w:id="1">
    <w:p w14:paraId="3AA95684">
      <w:pPr>
        <w:pStyle w:val="7"/>
        <w:snapToGrid w:val="0"/>
        <w:rPr>
          <w:rFonts w:hint="default" w:eastAsiaTheme="minorEastAsia"/>
          <w:lang w:val="en-US" w:eastAsia="zh-CN"/>
        </w:rPr>
      </w:pPr>
      <w:r>
        <w:rPr>
          <w:rStyle w:val="15"/>
          <w:rFonts w:ascii="Times New Roman" w:hAnsi="Times New Roman" w:eastAsia="宋体" w:cs="Times New Roman"/>
        </w:rPr>
        <w:t xml:space="preserve">2 </w:t>
      </w:r>
      <w:r>
        <w:rPr>
          <w:rFonts w:hint="eastAsia"/>
          <w:lang w:val="en-US" w:eastAsia="zh-CN"/>
        </w:rPr>
        <w:t>累计管理规模是指所管理基金的累计实缴金额。</w:t>
      </w:r>
    </w:p>
    <w:p w14:paraId="591CFAB7">
      <w:pPr>
        <w:pStyle w:val="7"/>
        <w:snapToGrid w:val="0"/>
        <w:rPr>
          <w:rFonts w:hint="default" w:eastAsiaTheme="minorEastAsia"/>
          <w:lang w:val="en-US" w:eastAsia="zh-CN"/>
        </w:rPr>
      </w:pPr>
    </w:p>
  </w:footnote>
  <w:footnote w:id="2">
    <w:p w14:paraId="70D01C2A">
      <w:pPr>
        <w:pStyle w:val="7"/>
        <w:snapToGrid w:val="0"/>
        <w:rPr>
          <w:rFonts w:hint="default" w:eastAsiaTheme="minorEastAsia"/>
          <w:lang w:val="en-US" w:eastAsia="zh-CN"/>
        </w:rPr>
      </w:pPr>
      <w:r>
        <w:rPr>
          <w:rStyle w:val="15"/>
        </w:rPr>
        <w:footnoteRef/>
      </w:r>
      <w:r>
        <w:t xml:space="preserve"> </w:t>
      </w:r>
      <w:r>
        <w:rPr>
          <w:rFonts w:hint="eastAsia"/>
          <w:lang w:val="en-US" w:eastAsia="zh-CN"/>
        </w:rPr>
        <w:t>核心管理成员是指管理团队核心人员或管理机构派出到子基金的投委会委员。</w:t>
      </w:r>
    </w:p>
  </w:footnote>
  <w:footnote w:id="3">
    <w:p w14:paraId="3B88F477">
      <w:pPr>
        <w:pStyle w:val="7"/>
        <w:snapToGrid w:val="0"/>
        <w:rPr>
          <w:rFonts w:hint="default" w:eastAsiaTheme="minorEastAsia"/>
          <w:lang w:val="en-US" w:eastAsia="zh-CN"/>
        </w:rPr>
      </w:pPr>
      <w:r>
        <w:rPr>
          <w:rStyle w:val="15"/>
        </w:rPr>
        <w:footnoteRef/>
      </w:r>
      <w:r>
        <w:t xml:space="preserve"> </w:t>
      </w:r>
      <w:r>
        <w:rPr>
          <w:rFonts w:hint="eastAsia"/>
        </w:rPr>
        <w:t>投资回报率</w:t>
      </w:r>
      <w:r>
        <w:rPr>
          <w:rFonts w:hint="eastAsia"/>
          <w:lang w:val="en-US" w:eastAsia="zh-CN"/>
        </w:rPr>
        <w:t>=收回现金/投资本金-1。</w:t>
      </w:r>
    </w:p>
  </w:footnote>
  <w:footnote w:id="4">
    <w:p w14:paraId="06DC5664">
      <w:pPr>
        <w:pStyle w:val="7"/>
        <w:snapToGrid w:val="0"/>
        <w:rPr>
          <w:rFonts w:hint="default" w:eastAsiaTheme="minorEastAsia"/>
          <w:lang w:val="en-US" w:eastAsia="zh-CN"/>
        </w:rPr>
      </w:pPr>
      <w:r>
        <w:rPr>
          <w:rStyle w:val="15"/>
        </w:rPr>
        <w:footnoteRef/>
      </w:r>
      <w:r>
        <w:t xml:space="preserve"> </w:t>
      </w:r>
      <w:r>
        <w:rPr>
          <w:rFonts w:hint="eastAsia"/>
          <w:lang w:val="en-US" w:eastAsia="zh-CN"/>
        </w:rPr>
        <w:t>门槛收益率代表有限合伙人的优先收益，在达到该收益率前，管理机构不提取业绩报酬。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7F43D"/>
    <w:multiLevelType w:val="singleLevel"/>
    <w:tmpl w:val="9297F43D"/>
    <w:lvl w:ilvl="0" w:tentative="0">
      <w:start w:val="1"/>
      <w:numFmt w:val="chineseCounting"/>
      <w:suff w:val="nothing"/>
      <w:lvlText w:val="第%1条 "/>
      <w:lvlJc w:val="left"/>
      <w:pPr>
        <w:ind w:left="0" w:firstLine="420"/>
      </w:pPr>
      <w:rPr>
        <w:rFonts w:hint="eastAsia" w:eastAsia="仿宋"/>
        <w:b/>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hZTY4MDBlMzFjOGMzODlkNTJkZjAxMzVlNTA3ZTYifQ=="/>
  </w:docVars>
  <w:rsids>
    <w:rsidRoot w:val="00E03CF9"/>
    <w:rsid w:val="00054CBF"/>
    <w:rsid w:val="001C0804"/>
    <w:rsid w:val="00293AAE"/>
    <w:rsid w:val="002D70D3"/>
    <w:rsid w:val="00542396"/>
    <w:rsid w:val="005D386A"/>
    <w:rsid w:val="005F5E35"/>
    <w:rsid w:val="006663DE"/>
    <w:rsid w:val="006710D0"/>
    <w:rsid w:val="00717377"/>
    <w:rsid w:val="008F6F6E"/>
    <w:rsid w:val="00900D67"/>
    <w:rsid w:val="009C4605"/>
    <w:rsid w:val="009D052A"/>
    <w:rsid w:val="00A11B49"/>
    <w:rsid w:val="00A90094"/>
    <w:rsid w:val="00C64DEB"/>
    <w:rsid w:val="00C77EAB"/>
    <w:rsid w:val="00C929A2"/>
    <w:rsid w:val="00CC1D62"/>
    <w:rsid w:val="00D0249D"/>
    <w:rsid w:val="00D74573"/>
    <w:rsid w:val="00DC10D3"/>
    <w:rsid w:val="00DF3269"/>
    <w:rsid w:val="00E03CF9"/>
    <w:rsid w:val="00E06F3D"/>
    <w:rsid w:val="00E50A2D"/>
    <w:rsid w:val="00E548A6"/>
    <w:rsid w:val="00E60F86"/>
    <w:rsid w:val="00EE53E0"/>
    <w:rsid w:val="00F10716"/>
    <w:rsid w:val="00F76413"/>
    <w:rsid w:val="00FE3611"/>
    <w:rsid w:val="011E3A51"/>
    <w:rsid w:val="016A2B9E"/>
    <w:rsid w:val="016D708D"/>
    <w:rsid w:val="01700269"/>
    <w:rsid w:val="01D35BF1"/>
    <w:rsid w:val="02BE3A7E"/>
    <w:rsid w:val="0321400D"/>
    <w:rsid w:val="032D3A0D"/>
    <w:rsid w:val="03550708"/>
    <w:rsid w:val="037C11E5"/>
    <w:rsid w:val="043B5049"/>
    <w:rsid w:val="04463D2B"/>
    <w:rsid w:val="04D76A78"/>
    <w:rsid w:val="05432019"/>
    <w:rsid w:val="05736CB9"/>
    <w:rsid w:val="05801F0A"/>
    <w:rsid w:val="05A16883"/>
    <w:rsid w:val="05AD1B88"/>
    <w:rsid w:val="05C65FBA"/>
    <w:rsid w:val="05F61CD7"/>
    <w:rsid w:val="061867C2"/>
    <w:rsid w:val="06702586"/>
    <w:rsid w:val="06FC4B75"/>
    <w:rsid w:val="07F7429B"/>
    <w:rsid w:val="09147A7D"/>
    <w:rsid w:val="096C359A"/>
    <w:rsid w:val="0A2E42DB"/>
    <w:rsid w:val="0A546CFD"/>
    <w:rsid w:val="0A5A3016"/>
    <w:rsid w:val="0B61279E"/>
    <w:rsid w:val="0B74794C"/>
    <w:rsid w:val="0CD21176"/>
    <w:rsid w:val="0CEF64AF"/>
    <w:rsid w:val="0D4E6F1C"/>
    <w:rsid w:val="0E937BA3"/>
    <w:rsid w:val="0F162900"/>
    <w:rsid w:val="0F6E554F"/>
    <w:rsid w:val="0F97630B"/>
    <w:rsid w:val="10521CAA"/>
    <w:rsid w:val="10953945"/>
    <w:rsid w:val="10B63062"/>
    <w:rsid w:val="10E9131C"/>
    <w:rsid w:val="111E17F9"/>
    <w:rsid w:val="112A6783"/>
    <w:rsid w:val="115D6261"/>
    <w:rsid w:val="11866D7B"/>
    <w:rsid w:val="12CE1470"/>
    <w:rsid w:val="13541CD9"/>
    <w:rsid w:val="138E4DA7"/>
    <w:rsid w:val="14284ADD"/>
    <w:rsid w:val="14321751"/>
    <w:rsid w:val="145A32F0"/>
    <w:rsid w:val="14A01236"/>
    <w:rsid w:val="14E62A53"/>
    <w:rsid w:val="165C118C"/>
    <w:rsid w:val="168C1618"/>
    <w:rsid w:val="16CB1E6E"/>
    <w:rsid w:val="170138CF"/>
    <w:rsid w:val="172E0938"/>
    <w:rsid w:val="17377504"/>
    <w:rsid w:val="175C51BC"/>
    <w:rsid w:val="17927859"/>
    <w:rsid w:val="18FA5478"/>
    <w:rsid w:val="198173C3"/>
    <w:rsid w:val="19A42FCB"/>
    <w:rsid w:val="19AC242B"/>
    <w:rsid w:val="19BE5CBA"/>
    <w:rsid w:val="19BF16E6"/>
    <w:rsid w:val="1A433D66"/>
    <w:rsid w:val="1ACB1CC6"/>
    <w:rsid w:val="1AEC2118"/>
    <w:rsid w:val="1AFE39C6"/>
    <w:rsid w:val="1BA50C53"/>
    <w:rsid w:val="1BFD4988"/>
    <w:rsid w:val="1CE64BC5"/>
    <w:rsid w:val="1D3249F5"/>
    <w:rsid w:val="1D54573F"/>
    <w:rsid w:val="1ED41ADC"/>
    <w:rsid w:val="1F2F5445"/>
    <w:rsid w:val="1F9E5BF0"/>
    <w:rsid w:val="1FBB7770"/>
    <w:rsid w:val="1FDB3ED7"/>
    <w:rsid w:val="1FF53224"/>
    <w:rsid w:val="201A7289"/>
    <w:rsid w:val="203211B0"/>
    <w:rsid w:val="208D63E6"/>
    <w:rsid w:val="209E5928"/>
    <w:rsid w:val="21026122"/>
    <w:rsid w:val="21CB5418"/>
    <w:rsid w:val="21E424B1"/>
    <w:rsid w:val="22151481"/>
    <w:rsid w:val="22613C9E"/>
    <w:rsid w:val="22A917A5"/>
    <w:rsid w:val="24676B67"/>
    <w:rsid w:val="246A65D9"/>
    <w:rsid w:val="247E2A4A"/>
    <w:rsid w:val="24E011DB"/>
    <w:rsid w:val="251F61A7"/>
    <w:rsid w:val="26146B11"/>
    <w:rsid w:val="265A5BD7"/>
    <w:rsid w:val="26A36511"/>
    <w:rsid w:val="27020428"/>
    <w:rsid w:val="27284698"/>
    <w:rsid w:val="27B63403"/>
    <w:rsid w:val="27BE3FA7"/>
    <w:rsid w:val="28722A91"/>
    <w:rsid w:val="28D53904"/>
    <w:rsid w:val="28E479EF"/>
    <w:rsid w:val="28F3072E"/>
    <w:rsid w:val="2920429C"/>
    <w:rsid w:val="2970382C"/>
    <w:rsid w:val="299B7DC6"/>
    <w:rsid w:val="29D944B7"/>
    <w:rsid w:val="2A3F69A3"/>
    <w:rsid w:val="2AB21F59"/>
    <w:rsid w:val="2AE16F1C"/>
    <w:rsid w:val="2AE412F9"/>
    <w:rsid w:val="2B2106C7"/>
    <w:rsid w:val="2B446D06"/>
    <w:rsid w:val="2B993AA8"/>
    <w:rsid w:val="2BE2538B"/>
    <w:rsid w:val="2C5277D4"/>
    <w:rsid w:val="2C733AD6"/>
    <w:rsid w:val="2C790B88"/>
    <w:rsid w:val="2CD136E6"/>
    <w:rsid w:val="2D1B4181"/>
    <w:rsid w:val="2D1B7805"/>
    <w:rsid w:val="2D92328E"/>
    <w:rsid w:val="2E1F4D5C"/>
    <w:rsid w:val="2E47051C"/>
    <w:rsid w:val="2ECE1240"/>
    <w:rsid w:val="2EE819F2"/>
    <w:rsid w:val="2F1B0D1E"/>
    <w:rsid w:val="2F5E096F"/>
    <w:rsid w:val="2F7C399C"/>
    <w:rsid w:val="2F9432ED"/>
    <w:rsid w:val="2FD73F10"/>
    <w:rsid w:val="2FEA09BC"/>
    <w:rsid w:val="309B36C1"/>
    <w:rsid w:val="30B05F05"/>
    <w:rsid w:val="30C11E23"/>
    <w:rsid w:val="30C96206"/>
    <w:rsid w:val="31307046"/>
    <w:rsid w:val="317A3D89"/>
    <w:rsid w:val="318A157D"/>
    <w:rsid w:val="31E14105"/>
    <w:rsid w:val="329648E8"/>
    <w:rsid w:val="32CE1B91"/>
    <w:rsid w:val="32E8346A"/>
    <w:rsid w:val="339C2976"/>
    <w:rsid w:val="34337579"/>
    <w:rsid w:val="3464305B"/>
    <w:rsid w:val="3464423E"/>
    <w:rsid w:val="348558FB"/>
    <w:rsid w:val="34D40DB9"/>
    <w:rsid w:val="352C7C76"/>
    <w:rsid w:val="35AE0E97"/>
    <w:rsid w:val="36175ECB"/>
    <w:rsid w:val="367B6FB5"/>
    <w:rsid w:val="36826596"/>
    <w:rsid w:val="375A306E"/>
    <w:rsid w:val="3835324F"/>
    <w:rsid w:val="38486BFC"/>
    <w:rsid w:val="3A347BA7"/>
    <w:rsid w:val="3AAF4A54"/>
    <w:rsid w:val="3AF908AF"/>
    <w:rsid w:val="3B163BB0"/>
    <w:rsid w:val="3B1F2605"/>
    <w:rsid w:val="3B547DD5"/>
    <w:rsid w:val="3B952C18"/>
    <w:rsid w:val="3C5B0B23"/>
    <w:rsid w:val="3CB72D11"/>
    <w:rsid w:val="3CEB03DE"/>
    <w:rsid w:val="3D65170A"/>
    <w:rsid w:val="3D8F7C8C"/>
    <w:rsid w:val="3D9262EF"/>
    <w:rsid w:val="3E082447"/>
    <w:rsid w:val="3E0E5FDB"/>
    <w:rsid w:val="3E386BB2"/>
    <w:rsid w:val="3E7B1872"/>
    <w:rsid w:val="3EC44961"/>
    <w:rsid w:val="3EEA0902"/>
    <w:rsid w:val="3F426DA7"/>
    <w:rsid w:val="3F4343E8"/>
    <w:rsid w:val="3F553490"/>
    <w:rsid w:val="3FE32DBF"/>
    <w:rsid w:val="40BF075F"/>
    <w:rsid w:val="40E41D7C"/>
    <w:rsid w:val="41531C8B"/>
    <w:rsid w:val="41D376F9"/>
    <w:rsid w:val="41EC6700"/>
    <w:rsid w:val="42897915"/>
    <w:rsid w:val="42CB1347"/>
    <w:rsid w:val="43476B9D"/>
    <w:rsid w:val="43A510E9"/>
    <w:rsid w:val="43AD32A3"/>
    <w:rsid w:val="44125F9D"/>
    <w:rsid w:val="44202DBE"/>
    <w:rsid w:val="44275987"/>
    <w:rsid w:val="4440539A"/>
    <w:rsid w:val="44431580"/>
    <w:rsid w:val="44590C0A"/>
    <w:rsid w:val="44DE25EC"/>
    <w:rsid w:val="45C66412"/>
    <w:rsid w:val="460971AB"/>
    <w:rsid w:val="47370CD6"/>
    <w:rsid w:val="47630217"/>
    <w:rsid w:val="47834051"/>
    <w:rsid w:val="47865950"/>
    <w:rsid w:val="48126A4D"/>
    <w:rsid w:val="483E6094"/>
    <w:rsid w:val="48816294"/>
    <w:rsid w:val="48BF71D5"/>
    <w:rsid w:val="49437D1F"/>
    <w:rsid w:val="497175E6"/>
    <w:rsid w:val="49C64E72"/>
    <w:rsid w:val="49FB4A4D"/>
    <w:rsid w:val="4A1A684D"/>
    <w:rsid w:val="4A207973"/>
    <w:rsid w:val="4AA04835"/>
    <w:rsid w:val="4AB42918"/>
    <w:rsid w:val="4AFB0D07"/>
    <w:rsid w:val="4B475260"/>
    <w:rsid w:val="4B667DDC"/>
    <w:rsid w:val="4BA92EDF"/>
    <w:rsid w:val="4BCF016F"/>
    <w:rsid w:val="4CC43E58"/>
    <w:rsid w:val="4CD62E66"/>
    <w:rsid w:val="4D094DA2"/>
    <w:rsid w:val="4D21358B"/>
    <w:rsid w:val="4D3F35A8"/>
    <w:rsid w:val="4D722A68"/>
    <w:rsid w:val="4D902EEE"/>
    <w:rsid w:val="4E273766"/>
    <w:rsid w:val="4EE9271D"/>
    <w:rsid w:val="4FC43323"/>
    <w:rsid w:val="4FD95690"/>
    <w:rsid w:val="4FE30CD0"/>
    <w:rsid w:val="4FF46DCD"/>
    <w:rsid w:val="503E4E84"/>
    <w:rsid w:val="516B6209"/>
    <w:rsid w:val="51726E3B"/>
    <w:rsid w:val="51E06F6D"/>
    <w:rsid w:val="52CE1556"/>
    <w:rsid w:val="5345387F"/>
    <w:rsid w:val="537F18D6"/>
    <w:rsid w:val="5424149C"/>
    <w:rsid w:val="542B1BC3"/>
    <w:rsid w:val="542C4452"/>
    <w:rsid w:val="547277F2"/>
    <w:rsid w:val="54D45DB6"/>
    <w:rsid w:val="55480552"/>
    <w:rsid w:val="55AE4859"/>
    <w:rsid w:val="55B856D8"/>
    <w:rsid w:val="55D10548"/>
    <w:rsid w:val="564C56FD"/>
    <w:rsid w:val="56A32A57"/>
    <w:rsid w:val="56C412DB"/>
    <w:rsid w:val="56DA167E"/>
    <w:rsid w:val="575925A3"/>
    <w:rsid w:val="57DD5399"/>
    <w:rsid w:val="58361F13"/>
    <w:rsid w:val="5838323D"/>
    <w:rsid w:val="58B32187"/>
    <w:rsid w:val="58D37E8A"/>
    <w:rsid w:val="594363E9"/>
    <w:rsid w:val="59702099"/>
    <w:rsid w:val="598D29D8"/>
    <w:rsid w:val="59A3020E"/>
    <w:rsid w:val="59FE53B0"/>
    <w:rsid w:val="5A332E58"/>
    <w:rsid w:val="5A3F517B"/>
    <w:rsid w:val="5AFC3B3E"/>
    <w:rsid w:val="5B4377F2"/>
    <w:rsid w:val="5C14118E"/>
    <w:rsid w:val="5CA00C74"/>
    <w:rsid w:val="5D133DB6"/>
    <w:rsid w:val="5D5C4B9B"/>
    <w:rsid w:val="5D6B3AFB"/>
    <w:rsid w:val="5D9E3405"/>
    <w:rsid w:val="5DE7164B"/>
    <w:rsid w:val="5DE76FE9"/>
    <w:rsid w:val="5E2F641B"/>
    <w:rsid w:val="5F2A6742"/>
    <w:rsid w:val="5F4E2808"/>
    <w:rsid w:val="5F6B7317"/>
    <w:rsid w:val="5F6E1130"/>
    <w:rsid w:val="608368E3"/>
    <w:rsid w:val="60CD7D01"/>
    <w:rsid w:val="619C351D"/>
    <w:rsid w:val="619C7C5C"/>
    <w:rsid w:val="61B97197"/>
    <w:rsid w:val="61F45CEA"/>
    <w:rsid w:val="628A3F58"/>
    <w:rsid w:val="62D84CC4"/>
    <w:rsid w:val="63160215"/>
    <w:rsid w:val="638C129E"/>
    <w:rsid w:val="63946A01"/>
    <w:rsid w:val="63DB4215"/>
    <w:rsid w:val="64116723"/>
    <w:rsid w:val="65AB66C0"/>
    <w:rsid w:val="65BD2897"/>
    <w:rsid w:val="66480616"/>
    <w:rsid w:val="66631A1B"/>
    <w:rsid w:val="669752A9"/>
    <w:rsid w:val="673C42AA"/>
    <w:rsid w:val="67486190"/>
    <w:rsid w:val="676F7FDF"/>
    <w:rsid w:val="67946EBD"/>
    <w:rsid w:val="67C27CF0"/>
    <w:rsid w:val="67DA328C"/>
    <w:rsid w:val="685F19E3"/>
    <w:rsid w:val="68AF22D5"/>
    <w:rsid w:val="68C97E1D"/>
    <w:rsid w:val="68EC4AF7"/>
    <w:rsid w:val="69164F01"/>
    <w:rsid w:val="691C1682"/>
    <w:rsid w:val="692452E8"/>
    <w:rsid w:val="692D3B31"/>
    <w:rsid w:val="69771C71"/>
    <w:rsid w:val="69F25A1F"/>
    <w:rsid w:val="6A0F174C"/>
    <w:rsid w:val="6A650B85"/>
    <w:rsid w:val="6A820D36"/>
    <w:rsid w:val="6A8B2F63"/>
    <w:rsid w:val="6AAE5078"/>
    <w:rsid w:val="6B6537B4"/>
    <w:rsid w:val="6C012BAE"/>
    <w:rsid w:val="6C573BB8"/>
    <w:rsid w:val="6D485512"/>
    <w:rsid w:val="6DAD26DF"/>
    <w:rsid w:val="6DF16DBB"/>
    <w:rsid w:val="6E7B21D2"/>
    <w:rsid w:val="6F1850A4"/>
    <w:rsid w:val="6F2F0399"/>
    <w:rsid w:val="6F543924"/>
    <w:rsid w:val="6FBE0650"/>
    <w:rsid w:val="6FFB46E7"/>
    <w:rsid w:val="70666265"/>
    <w:rsid w:val="70836B77"/>
    <w:rsid w:val="70D158B5"/>
    <w:rsid w:val="71367494"/>
    <w:rsid w:val="715C7D6A"/>
    <w:rsid w:val="71AE0E72"/>
    <w:rsid w:val="72AD6860"/>
    <w:rsid w:val="72D57472"/>
    <w:rsid w:val="72F206DA"/>
    <w:rsid w:val="731F6F7A"/>
    <w:rsid w:val="735F3F5F"/>
    <w:rsid w:val="739C2937"/>
    <w:rsid w:val="73C61A4F"/>
    <w:rsid w:val="74513284"/>
    <w:rsid w:val="75361346"/>
    <w:rsid w:val="75393B33"/>
    <w:rsid w:val="75571220"/>
    <w:rsid w:val="7571513D"/>
    <w:rsid w:val="75894543"/>
    <w:rsid w:val="75F776FF"/>
    <w:rsid w:val="762B636B"/>
    <w:rsid w:val="76340CF6"/>
    <w:rsid w:val="76F31AA4"/>
    <w:rsid w:val="76FC65B8"/>
    <w:rsid w:val="770D3148"/>
    <w:rsid w:val="772C22EB"/>
    <w:rsid w:val="77BD4C91"/>
    <w:rsid w:val="77D575CC"/>
    <w:rsid w:val="78114613"/>
    <w:rsid w:val="788334CC"/>
    <w:rsid w:val="78D07B83"/>
    <w:rsid w:val="78ED3A40"/>
    <w:rsid w:val="79667075"/>
    <w:rsid w:val="79986942"/>
    <w:rsid w:val="79C30024"/>
    <w:rsid w:val="7A593649"/>
    <w:rsid w:val="7A714879"/>
    <w:rsid w:val="7BFA5853"/>
    <w:rsid w:val="7C684EB3"/>
    <w:rsid w:val="7C9D6193"/>
    <w:rsid w:val="7CCC7C8A"/>
    <w:rsid w:val="7D9D0F36"/>
    <w:rsid w:val="7DAC5107"/>
    <w:rsid w:val="7DDF384A"/>
    <w:rsid w:val="7DFF1F11"/>
    <w:rsid w:val="7E7B6FE3"/>
    <w:rsid w:val="7F121106"/>
    <w:rsid w:val="7F1B3A29"/>
    <w:rsid w:val="7F6B469C"/>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120" w:after="120"/>
      <w:outlineLvl w:val="1"/>
    </w:pPr>
    <w:rPr>
      <w:b/>
      <w:bCs/>
      <w:sz w:val="24"/>
      <w:szCs w:val="26"/>
      <w:lang w:eastAsia="ja-JP"/>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778"/>
      </w:tabs>
      <w:ind w:left="210"/>
      <w:jc w:val="left"/>
    </w:pPr>
    <w:rPr>
      <w:rFonts w:ascii="隶书" w:hAnsi="华文楷体" w:eastAsia="隶书" w:cs="Calibri"/>
      <w:b/>
      <w:smallCaps/>
      <w:sz w:val="28"/>
      <w:szCs w:val="28"/>
    </w:rPr>
  </w:style>
  <w:style w:type="paragraph" w:styleId="5">
    <w:name w:val="annotation text"/>
    <w:basedOn w:val="1"/>
    <w:link w:val="18"/>
    <w:qFormat/>
    <w:uiPriority w:val="0"/>
    <w:pPr>
      <w:jc w:val="left"/>
    </w:pPr>
  </w:style>
  <w:style w:type="paragraph" w:styleId="6">
    <w:name w:val="endnote text"/>
    <w:basedOn w:val="1"/>
    <w:qFormat/>
    <w:uiPriority w:val="0"/>
    <w:pPr>
      <w:snapToGrid w:val="0"/>
      <w:jc w:val="left"/>
    </w:p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9"/>
    <w:qFormat/>
    <w:uiPriority w:val="0"/>
    <w:rPr>
      <w:b/>
      <w:bCs/>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character" w:styleId="14">
    <w:name w:val="annotation reference"/>
    <w:basedOn w:val="11"/>
    <w:qFormat/>
    <w:uiPriority w:val="0"/>
    <w:rPr>
      <w:sz w:val="21"/>
      <w:szCs w:val="21"/>
    </w:rPr>
  </w:style>
  <w:style w:type="character" w:styleId="15">
    <w:name w:val="footnote reference"/>
    <w:basedOn w:val="11"/>
    <w:qFormat/>
    <w:uiPriority w:val="0"/>
    <w:rPr>
      <w:vertAlign w:val="superscript"/>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3280</Words>
  <Characters>3348</Characters>
  <Lines>3</Lines>
  <Paragraphs>9</Paragraphs>
  <TotalTime>7</TotalTime>
  <ScaleCrop>false</ScaleCrop>
  <LinksUpToDate>false</LinksUpToDate>
  <CharactersWithSpaces>3357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2023-11-01T09:14:00Z</dcterms:created>
  <dc:creator>admin</dc:creator>
  <cp:lastModifiedBy>admin</cp:lastModifiedBy>
  <cp:lastPrinted>2023-11-10T07:27:00Z</cp:lastPrinted>
  <dcterms:modified xsi:type="dcterms:W3CDTF">2026-06-24T00:37:20Z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AC8AC35B1E78431586C8661643849855</vt:lpwstr>
  </property>
  <property fmtid="{D5CDD505-2E9C-101B-9397-08002B2CF9AE}" pid="4" name="KSOTemplateDocerSaveRecord">
    <vt:lpwstr>eyJoZGlkIjoiMWIwN2Q5NjU1NzQzYTE0YWVkYzZmOThhMzQzNWQ4OGIiLCJ1c2VySWQiOiIxNzY1NzE2NjI5In0=</vt:lpwstr>
  </property>
</Properties>
</file>