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B4B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ascii="黑体" w:hAnsi="黑体" w:eastAsia="黑体" w:cs="黑体"/>
          <w:sz w:val="32"/>
          <w:szCs w:val="32"/>
        </w:rPr>
      </w:pPr>
      <w:r>
        <w:rPr>
          <w:rFonts w:ascii="黑体" w:hAnsi="黑体" w:eastAsia="黑体" w:cs="黑体"/>
          <w:spacing w:val="-4"/>
          <w:sz w:val="32"/>
          <w:szCs w:val="32"/>
        </w:rPr>
        <w:t>附件</w:t>
      </w:r>
      <w:r>
        <w:rPr>
          <w:rFonts w:ascii="黑体" w:hAnsi="黑体" w:eastAsia="黑体" w:cs="黑体"/>
          <w:spacing w:val="-45"/>
          <w:sz w:val="32"/>
          <w:szCs w:val="32"/>
        </w:rPr>
        <w:t xml:space="preserve"> </w:t>
      </w:r>
      <w:r>
        <w:rPr>
          <w:rFonts w:ascii="黑体" w:hAnsi="黑体" w:eastAsia="黑体" w:cs="黑体"/>
          <w:spacing w:val="-4"/>
          <w:sz w:val="32"/>
          <w:szCs w:val="32"/>
        </w:rPr>
        <w:t>1</w:t>
      </w:r>
    </w:p>
    <w:p w14:paraId="40C66C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outlineLvl w:val="0"/>
        <w:rPr>
          <w:rFonts w:hint="eastAsia" w:ascii="方正小标宋简体" w:hAnsi="方正小标宋简体" w:eastAsia="方正小标宋简体" w:cs="方正小标宋简体"/>
          <w:b w:val="0"/>
          <w:bCs w:val="0"/>
          <w:spacing w:val="4"/>
          <w:sz w:val="44"/>
          <w:szCs w:val="44"/>
          <w:lang w:eastAsia="zh-CN"/>
        </w:rPr>
      </w:pPr>
    </w:p>
    <w:p w14:paraId="43BABB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hint="eastAsia" w:ascii="方正小标宋简体" w:hAnsi="方正小标宋简体" w:eastAsia="方正小标宋简体" w:cs="方正小标宋简体"/>
          <w:b w:val="0"/>
          <w:bCs w:val="0"/>
          <w:spacing w:val="4"/>
          <w:position w:val="2"/>
          <w:sz w:val="44"/>
          <w:szCs w:val="44"/>
        </w:rPr>
      </w:pPr>
      <w:r>
        <w:rPr>
          <w:rFonts w:hint="eastAsia" w:ascii="方正小标宋简体" w:hAnsi="方正小标宋简体" w:eastAsia="方正小标宋简体" w:cs="方正小标宋简体"/>
          <w:b w:val="0"/>
          <w:bCs w:val="0"/>
          <w:spacing w:val="4"/>
          <w:sz w:val="44"/>
          <w:szCs w:val="44"/>
          <w:lang w:eastAsia="zh-CN"/>
        </w:rPr>
        <w:t>佛山市高明区安</w:t>
      </w:r>
      <w:r>
        <w:rPr>
          <w:rFonts w:hint="eastAsia" w:ascii="方正小标宋简体" w:hAnsi="方正小标宋简体" w:eastAsia="方正小标宋简体" w:cs="方正小标宋简体"/>
          <w:b/>
          <w:bCs/>
          <w:spacing w:val="4"/>
          <w:sz w:val="44"/>
          <w:szCs w:val="44"/>
          <w:lang w:eastAsia="zh-CN"/>
        </w:rPr>
        <w:t>昇</w:t>
      </w:r>
      <w:r>
        <w:rPr>
          <w:rFonts w:hint="eastAsia" w:ascii="方正小标宋简体" w:hAnsi="方正小标宋简体" w:eastAsia="方正小标宋简体" w:cs="方正小标宋简体"/>
          <w:b w:val="0"/>
          <w:bCs w:val="0"/>
          <w:spacing w:val="4"/>
          <w:sz w:val="44"/>
          <w:szCs w:val="44"/>
          <w:lang w:eastAsia="zh-CN"/>
        </w:rPr>
        <w:t>基金</w:t>
      </w:r>
      <w:r>
        <w:rPr>
          <w:rFonts w:hint="eastAsia" w:ascii="方正小标宋简体" w:hAnsi="方正小标宋简体" w:eastAsia="方正小标宋简体" w:cs="方正小标宋简体"/>
          <w:b w:val="0"/>
          <w:bCs w:val="0"/>
          <w:spacing w:val="4"/>
          <w:position w:val="2"/>
          <w:sz w:val="44"/>
          <w:szCs w:val="44"/>
        </w:rPr>
        <w:t>合作子基金管理机构</w:t>
      </w:r>
    </w:p>
    <w:p w14:paraId="60FB27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hint="eastAsia" w:ascii="方正小标宋简体" w:hAnsi="方正小标宋简体" w:eastAsia="方正小标宋简体" w:cs="方正小标宋简体"/>
          <w:b w:val="0"/>
          <w:bCs w:val="0"/>
          <w:spacing w:val="-7"/>
          <w:sz w:val="44"/>
          <w:szCs w:val="44"/>
        </w:rPr>
      </w:pPr>
      <w:r>
        <w:rPr>
          <w:rFonts w:hint="eastAsia" w:ascii="方正小标宋简体" w:hAnsi="方正小标宋简体" w:eastAsia="方正小标宋简体" w:cs="方正小标宋简体"/>
          <w:b w:val="0"/>
          <w:bCs w:val="0"/>
          <w:spacing w:val="-7"/>
          <w:sz w:val="44"/>
          <w:szCs w:val="44"/>
        </w:rPr>
        <w:t>申报指南</w:t>
      </w:r>
    </w:p>
    <w:p w14:paraId="1B2BAA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0"/>
        <w:rPr>
          <w:rFonts w:hint="eastAsia" w:ascii="方正小标宋简体" w:hAnsi="方正小标宋简体" w:eastAsia="方正小标宋简体" w:cs="方正小标宋简体"/>
          <w:b w:val="0"/>
          <w:bCs w:val="0"/>
          <w:spacing w:val="-7"/>
          <w:sz w:val="44"/>
          <w:szCs w:val="44"/>
        </w:rPr>
      </w:pPr>
    </w:p>
    <w:p w14:paraId="4BB4E71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为扎实推进佛山市高明区安昇股权投资基金合伙企业（有限合伙）（简称“安昇基金”）建设运营，发挥国有资本引领作用，助力市、全区产业转型升级和高质量发展，现公开遴选首批合作子基金管理机构。请申报机构在下列要素的基本要求上，根据自身情况，按附件格式要求形成基金申报材料。</w:t>
      </w:r>
    </w:p>
    <w:p w14:paraId="07F7AE2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0"/>
        <w:jc w:val="both"/>
        <w:textAlignment w:val="baseline"/>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一、合作子基金要素</w:t>
      </w:r>
    </w:p>
    <w:p w14:paraId="5D87551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0"/>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（一）组织形式</w:t>
      </w:r>
    </w:p>
    <w:p w14:paraId="735C1E1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子基金组织形式采用有限合伙制或公司制。</w:t>
      </w:r>
    </w:p>
    <w:p w14:paraId="5952953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（二）基金规模</w:t>
      </w:r>
    </w:p>
    <w:p w14:paraId="6C5CCC5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9"/>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每支合作子基金规模应与其管理机构的投资能力相匹配，原则上不低于 5000万元。</w:t>
      </w:r>
    </w:p>
    <w:p w14:paraId="4B7469A5">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15"/>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出资比例</w:t>
      </w:r>
      <w:bookmarkStart w:id="0" w:name="OLE_LINK1"/>
    </w:p>
    <w:p w14:paraId="6B3E50E8">
      <w:pPr>
        <w:pStyle w:val="4"/>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安昇基金对单支子基金的累计出资比例原则上不超过该子基金认缴出资总额的 50%，如超过该比例限制，需经安昇基金投决会审议后按流程逐级上报高明区国资局、高明区国资工作专班审批后方可实施。安昇基金出资原则上在其他社会出资人完成出资后缴付。</w:t>
      </w:r>
    </w:p>
    <w:bookmarkEnd w:id="0"/>
    <w:p w14:paraId="1B7F163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（四）存续期</w:t>
      </w:r>
    </w:p>
    <w:p w14:paraId="25EA610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合作子基金存续期（含投资期、退出期、延长期）不超过安昇基金存续期。</w:t>
      </w:r>
    </w:p>
    <w:p w14:paraId="426AF3B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0" w:firstLineChars="0"/>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（五）投资领域</w:t>
      </w:r>
    </w:p>
    <w:p w14:paraId="1A54851B">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0" w:firstLineChars="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聚焦投资于新型电力系统装备、临空经济、新能源汽车、新材料、算力、新型储能、医药健康等战新产业，新一代人工智能等未来产业，以及高明区传统优势产业如纺织服装、食品饮料产业及其转型升级等。</w:t>
      </w:r>
    </w:p>
    <w:p w14:paraId="3A44465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（六）投资方式</w:t>
      </w:r>
    </w:p>
    <w:p w14:paraId="4B64EAE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合作子基金只能进行项目直投，且原则上在投资项目退出后回收的资金不可循环投资。</w:t>
      </w:r>
    </w:p>
    <w:p w14:paraId="50C5D1AF">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637"/>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募资进度</w:t>
      </w:r>
    </w:p>
    <w:p w14:paraId="6BAFD489">
      <w:pPr>
        <w:pStyle w:val="4"/>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子基金申请机构需在提交申报方案时，至少已经募集到拟设立子基金总规模的 30%资金（不含高明区安昇基金出资部分）并提供出资意向函。</w:t>
      </w:r>
    </w:p>
    <w:p w14:paraId="2ECF80FF">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37" w:firstLineChars="0"/>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项目储备进度</w:t>
      </w:r>
    </w:p>
    <w:p w14:paraId="7CCBA564">
      <w:pPr>
        <w:pStyle w:val="4"/>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子基金申请机构提交子基金申报方案时，需至少已经储备拟设立子基金总规模 50%及以上的储备项目。</w:t>
      </w:r>
    </w:p>
    <w:p w14:paraId="283D2ED4">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37" w:firstLineChars="0"/>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监督机制</w:t>
      </w:r>
    </w:p>
    <w:p w14:paraId="0984833D">
      <w:pPr>
        <w:pStyle w:val="4"/>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安昇基金有权向合作子基金委派 1名代</w:t>
      </w:r>
      <w:bookmarkStart w:id="1" w:name="_GoBack"/>
      <w:bookmarkEnd w:id="1"/>
      <w:r>
        <w:rPr>
          <w:rFonts w:hint="eastAsia" w:ascii="仿宋_GB2312" w:hAnsi="华文仿宋" w:eastAsia="仿宋_GB2312" w:cs="仿宋"/>
          <w:snapToGrid/>
          <w:color w:val="auto"/>
          <w:kern w:val="2"/>
          <w:sz w:val="32"/>
          <w:szCs w:val="32"/>
          <w:lang w:val="en-US" w:eastAsia="zh-CN" w:bidi="ar-SA"/>
        </w:rPr>
        <w:t>表作为投委会委员或观察员，实现对子基金投资运作的监督。</w:t>
      </w:r>
    </w:p>
    <w:p w14:paraId="11A7935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7"/>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（十）风险控制</w:t>
      </w:r>
    </w:p>
    <w:p w14:paraId="12AA142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7"/>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合作子基金在存续期内出现下列情况，安昇基金可无需其他投资人同意，选择提前退出：</w:t>
      </w:r>
    </w:p>
    <w:p w14:paraId="203478A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1.子基金遴选结果确认后超过6个月，未按规定程序和时间要求完成设立手续；</w:t>
      </w:r>
    </w:p>
    <w:p w14:paraId="003EC1E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9"/>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2.首期实缴出资至子基金账户超过6个月，子基金未开展投资业务；</w:t>
      </w:r>
    </w:p>
    <w:p w14:paraId="557041E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1"/>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3.基金投资领域和方向等不符合《佛山市高明区安昇基金管理办法》、安昇基金合伙协议、子基金合伙协议或章程规定；</w:t>
      </w:r>
    </w:p>
    <w:p w14:paraId="33BC6D0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4.基金投资严重偏离投资目的；</w:t>
      </w:r>
    </w:p>
    <w:p w14:paraId="7A50A3F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5.基金管理人资质出现重大问题，或基金管理人发生实质性变化，继续担任将损害基金权益的。</w:t>
      </w:r>
    </w:p>
    <w:p w14:paraId="2413EF6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0"/>
        <w:jc w:val="both"/>
        <w:textAlignment w:val="baseline"/>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二、申报机构资质要求</w:t>
      </w:r>
    </w:p>
    <w:p w14:paraId="73D20C6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6"/>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（一）基本条件</w:t>
      </w:r>
    </w:p>
    <w:p w14:paraId="5A1E7FA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在中国大陆注册，具有独立法人资格，按照规定在中国证券投资基金业协会登记备案，实缴注册资本不低于1000万元，对子基金认缴出资比例不低于1%。</w:t>
      </w:r>
    </w:p>
    <w:p w14:paraId="5419A777">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right="0" w:firstLine="631"/>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投资管理能力</w:t>
      </w:r>
    </w:p>
    <w:p w14:paraId="33D529BE">
      <w:pPr>
        <w:pStyle w:val="4"/>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累计管理的私募股权投资基金规模原则上不少于5亿元（ 以中国证券投资基金业协会备案为准），其管理的其他基金至少有3个（含）以上项目通过首次公开发行股票并上市、股权并购或者股权转让等方式退出。</w:t>
      </w:r>
    </w:p>
    <w:p w14:paraId="50276E8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4"/>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（三）管理团队</w:t>
      </w:r>
    </w:p>
    <w:p w14:paraId="65CAEF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管理团队稳定，具有良好的职业操守和信誉，至少有3名具备5年以上股权投资管理、并购或相关产业管理等工作经验的专职高级管理人员；申报机构及其董事、监事、高级管理人员在最近3年无重大违法行为，没有受过行政主管机关或司法机关重大处罚的不良记录，保持良好的财务状况。</w:t>
      </w:r>
    </w:p>
    <w:p w14:paraId="11FF9B8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8"/>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（四）制度健全</w:t>
      </w:r>
    </w:p>
    <w:p w14:paraId="5225F07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8"/>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具备健全的股权投资管理和风险控制流程、规范的项目遴选机制和投资决策机制，能够为被投资企业提供辅导、管理咨询等增值服务。</w:t>
      </w:r>
    </w:p>
    <w:p w14:paraId="3B112B4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7"/>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（五）投资方向</w:t>
      </w:r>
    </w:p>
    <w:p w14:paraId="1FFC681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7"/>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主要项目储备须匹配拟设基金投资领域和方向，且符合安昇基金投资方向。</w:t>
      </w:r>
    </w:p>
    <w:p w14:paraId="5055CFB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（六）竞业限制</w:t>
      </w:r>
    </w:p>
    <w:p w14:paraId="3486401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在子基金尚未完成认缴规模 70%的投资之前，申报机构不得设立与申报子基金的投资策略、投资范围、投资阶段、投资地域等均实质相同的新基金。</w:t>
      </w:r>
    </w:p>
    <w:p w14:paraId="7AC7D68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（七）募资能力</w:t>
      </w:r>
    </w:p>
    <w:p w14:paraId="5F1E545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具有相应的社会资本募资能力。</w:t>
      </w:r>
    </w:p>
    <w:p w14:paraId="0516363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0"/>
        <w:jc w:val="both"/>
        <w:textAlignment w:val="baseline"/>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三、限制性安排及其他要求</w:t>
      </w:r>
    </w:p>
    <w:p w14:paraId="40225F0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（一）禁止性业务</w:t>
      </w:r>
    </w:p>
    <w:p w14:paraId="1A1CA0F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合作子基金在运作过程中不得从事以下业务：</w:t>
      </w:r>
    </w:p>
    <w:p w14:paraId="6F9E39F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1．名股实债、对外承诺最低收益、承诺回购本金、差额收益补足等变相增加国有企业债务的行为；</w:t>
      </w:r>
    </w:p>
    <w:p w14:paraId="30C11D4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2．担保、抵押、委托贷款等业务；</w:t>
      </w:r>
    </w:p>
    <w:p w14:paraId="1C51BC7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3．投资二级市场股票（并购重组或参与上市公司定向增发为目的的除外）、期货、房地产、证券投资基金、评级 AAA 以下的企业债、信托产品、非保本型理财产品、保险计划及其他金融衍生品；</w:t>
      </w:r>
    </w:p>
    <w:p w14:paraId="55BB6FC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4．向任何第三方提供赞助、捐赠；</w:t>
      </w:r>
    </w:p>
    <w:p w14:paraId="4BB142B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5．吸收或变相吸收存款，或向第三方提供贷款和资金拆借；</w:t>
      </w:r>
    </w:p>
    <w:p w14:paraId="74AEEB3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6．进行承担无限连带责任的对外投资；</w:t>
      </w:r>
    </w:p>
    <w:p w14:paraId="445257F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7．发行信托或集合理财产品募集资金；</w:t>
      </w:r>
    </w:p>
    <w:p w14:paraId="16A72B0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8．其他法律、法规、规章禁止从事的业务及《佛山市市属企业投资项目负面清单》中规定的情况；</w:t>
      </w:r>
    </w:p>
    <w:p w14:paraId="34EEF99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9．其他可能损害出资人或企业利益的业务。</w:t>
      </w:r>
    </w:p>
    <w:p w14:paraId="2FC92FF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7"/>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（二）其他要求</w:t>
      </w:r>
    </w:p>
    <w:p w14:paraId="063ADE4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6" w:firstLineChars="202"/>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1.资金托管。子基金应建立基金托管人制度，选择中国境内设立的具有托管资质的商业银行作为托管银行。托管银行依据托管协议负责账户管理、资金清算、资产保管等事务，对投资活动实施动态监管，并向基金管理机构提交托管报告。</w:t>
      </w:r>
    </w:p>
    <w:p w14:paraId="7C1989C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2.基金备案。基金成功设立后应及时按照中国证券投资基金业协会要求完成基金产品备案。</w:t>
      </w:r>
    </w:p>
    <w:p w14:paraId="7BDA2A0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3.一票否决权。安昇基金管理人监督合作子基金按照章程、协议及《佛山市高明区安昇基金管理办法》规定进行投资运作，对违反上述规定的投资拥有一票否决权。</w:t>
      </w:r>
    </w:p>
    <w:p w14:paraId="712C98F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4.信息披露。子基金管理机构原则上应在每个自然季度结束后的 15 个工作日内向安昇基金管理人报送上一季度的基金运行情况报告和财务报表，原则上在每个会计年度结束后的 4个月内报送上一年度的基金年度运行情况报告、审计报告和托管报告。</w:t>
      </w:r>
    </w:p>
    <w:p w14:paraId="26CF90A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5"/>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5.触发特定情形的风险控制措施。安昇基金管理人对在投项目、合作子基金进行监督管理。对违反相关协议（或公司章程）约定的子基金管理机构，可采取扣减管理费、收益分成，提前退出、取消下期合作资格并依法追究责任等措施。</w:t>
      </w:r>
    </w:p>
    <w:p w14:paraId="19D9C4F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0"/>
        <w:jc w:val="both"/>
        <w:textAlignment w:val="baseline"/>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四、遴选流程</w:t>
      </w:r>
    </w:p>
    <w:p w14:paraId="287786A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（一）机构申报</w:t>
      </w:r>
    </w:p>
    <w:p w14:paraId="5F116B0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递交申请的合作子基金管理机构，根据遴选公告及申报指南、 申报材料模板等相关要求， 向安昇基金管理人提交申报材料。</w:t>
      </w:r>
    </w:p>
    <w:p w14:paraId="1B2AE19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（二）入围机构初审</w:t>
      </w:r>
    </w:p>
    <w:p w14:paraId="21DE521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申报截止日届满后，由安昇基金管理人对材料进行初审，筛选初步符合入围条件的管理机构。</w:t>
      </w:r>
    </w:p>
    <w:p w14:paraId="7D1709F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（三）入围机构尽调</w:t>
      </w:r>
    </w:p>
    <w:p w14:paraId="726AF5A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安昇基金管理人按照合作子基金设立要求，通过业务团队独立或联合中介机构对入围初审的子基金管理机构开展尽职调查。</w:t>
      </w:r>
    </w:p>
    <w:p w14:paraId="3F08B97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（四）机构答辩及专家评审</w:t>
      </w:r>
    </w:p>
    <w:p w14:paraId="003D96D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安昇基金管理人负责组织申报机构进行现场答辩，由安昇基金管理人、区国资局委派人员、安昇基金出资人代表、外部专家组成评审委员会。评审委员会通过评分方式对申报机构进行评审，形成评审意见（含评分结果）。</w:t>
      </w:r>
    </w:p>
    <w:p w14:paraId="20728A8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（五）投资决策</w:t>
      </w:r>
    </w:p>
    <w:p w14:paraId="06C749C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安昇基金管理人组织召开基金投决会会议，评审确定合作子基金管理机构，再逐级上报区国资局、区国资工作专班审议。</w:t>
      </w:r>
    </w:p>
    <w:p w14:paraId="01CEB89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（六）社会公示</w:t>
      </w:r>
    </w:p>
    <w:p w14:paraId="795E71E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对安昇基金投决会评审确定的子基金合作机构，进行为期 10 个工作日的社会公示。公示结果由安昇基金管理人向区国资局、区国资工作专班报备。</w:t>
      </w:r>
    </w:p>
    <w:p w14:paraId="6F4FFB3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楷体_GB2312" w:hAnsi="楷体_GB2312" w:eastAsia="楷体_GB2312" w:cs="楷体_GB2312"/>
          <w:b w:val="0"/>
          <w:bCs w:val="0"/>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（七）合作协议签署</w:t>
      </w:r>
    </w:p>
    <w:p w14:paraId="5B803F4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仿宋_GB2312" w:hAnsi="华文仿宋" w:eastAsia="仿宋_GB2312" w:cs="仿宋"/>
          <w:snapToGrid/>
          <w:color w:val="auto"/>
          <w:kern w:val="2"/>
          <w:sz w:val="32"/>
          <w:szCs w:val="32"/>
          <w:lang w:val="en-US" w:eastAsia="zh-CN" w:bidi="ar-SA"/>
        </w:rPr>
        <w:t>对公示无异议或者有异议但经调查后异议不成立的中选的子基金管理机构，安昇基金管理人将及时进行对接，开展合伙协议签署等各项法律文件的起草、谈判、签署工作，并跟进合作子基金运营主体筹设、 出资与投资管理等工作。</w:t>
      </w:r>
    </w:p>
    <w:p w14:paraId="0F0B3EC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0"/>
        <w:jc w:val="both"/>
        <w:textAlignment w:val="baseline"/>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五、其他事项</w:t>
      </w:r>
    </w:p>
    <w:p w14:paraId="3648B2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（一）</w:t>
      </w:r>
      <w:r>
        <w:rPr>
          <w:rFonts w:hint="eastAsia" w:ascii="仿宋_GB2312" w:hAnsi="华文仿宋" w:eastAsia="仿宋_GB2312" w:cs="仿宋"/>
          <w:snapToGrid/>
          <w:color w:val="auto"/>
          <w:kern w:val="2"/>
          <w:sz w:val="32"/>
          <w:szCs w:val="32"/>
          <w:lang w:val="en-US" w:eastAsia="zh-CN" w:bidi="ar-SA"/>
        </w:rPr>
        <w:t>尽调费用预缴机制。对初审通过的机构，若安昇基金委托第三方尽调机构对申报机构进行尽调，申报机构需要预缴尽调费用。合作子基金在规定时间内按时设立、且后完成1个项目投资，视为合作子基金成功设立。对于成功设立的子基金，尽调费用由安昇基金承担，预缴的尽调费用将退回申报机构；对于申报机构未在规定时间内设立并投出项目，或未按照《合伙协议》或《企业章程》约定投出项目的，预缴的尽调费用将不予退回，本次申请的尽调费用由申报机构承担。</w:t>
      </w:r>
    </w:p>
    <w:p w14:paraId="2FD4303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（二）</w:t>
      </w:r>
      <w:r>
        <w:rPr>
          <w:rFonts w:hint="eastAsia" w:ascii="仿宋_GB2312" w:hAnsi="华文仿宋" w:eastAsia="仿宋_GB2312" w:cs="仿宋"/>
          <w:snapToGrid/>
          <w:color w:val="auto"/>
          <w:kern w:val="2"/>
          <w:sz w:val="32"/>
          <w:szCs w:val="32"/>
          <w:lang w:val="en-US" w:eastAsia="zh-CN" w:bidi="ar-SA"/>
        </w:rPr>
        <w:t>申报机构对申请材料的合法性、真实性、有效性、完整性负完全责任，对于以虚假材料取得子基金管理机构资格的，将取消其申报资格，列入安昇基金体系合作黑名单，采取包括但不限于记入科研诚信严重失信行为数据库、向社会公开不良行为以及移交相关部门处理等措施。</w:t>
      </w:r>
    </w:p>
    <w:p w14:paraId="257D09D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华文仿宋" w:eastAsia="仿宋_GB2312" w:cs="仿宋"/>
          <w:snapToGrid/>
          <w:color w:val="auto"/>
          <w:kern w:val="2"/>
          <w:sz w:val="32"/>
          <w:szCs w:val="32"/>
          <w:lang w:val="en-US" w:eastAsia="zh-CN" w:bidi="ar-SA"/>
        </w:rPr>
      </w:pPr>
      <w:r>
        <w:rPr>
          <w:rFonts w:hint="eastAsia" w:ascii="楷体_GB2312" w:hAnsi="楷体_GB2312" w:eastAsia="楷体_GB2312" w:cs="楷体_GB2312"/>
          <w:b w:val="0"/>
          <w:bCs w:val="0"/>
          <w:snapToGrid/>
          <w:color w:val="auto"/>
          <w:kern w:val="2"/>
          <w:sz w:val="32"/>
          <w:szCs w:val="32"/>
          <w:lang w:val="en-US" w:eastAsia="zh-CN" w:bidi="ar-SA"/>
        </w:rPr>
        <w:t>（三）</w:t>
      </w:r>
      <w:r>
        <w:rPr>
          <w:rFonts w:hint="eastAsia" w:ascii="仿宋_GB2312" w:hAnsi="华文仿宋" w:eastAsia="仿宋_GB2312" w:cs="仿宋"/>
          <w:snapToGrid/>
          <w:color w:val="auto"/>
          <w:kern w:val="2"/>
          <w:sz w:val="32"/>
          <w:szCs w:val="32"/>
          <w:lang w:val="en-US" w:eastAsia="zh-CN" w:bidi="ar-SA"/>
        </w:rPr>
        <w:t>申报材料不予退回。</w:t>
      </w:r>
    </w:p>
    <w:sectPr>
      <w:footerReference r:id="rId5" w:type="default"/>
      <w:pgSz w:w="11906" w:h="16839"/>
      <w:pgMar w:top="2098" w:right="1474" w:bottom="1984" w:left="1588" w:header="0" w:footer="93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AFDA9">
    <w:pPr>
      <w:spacing w:line="266" w:lineRule="exact"/>
      <w:ind w:left="4383"/>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-106680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32D39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pt;height:144pt;width:144pt;mso-position-horizontal:outside;mso-position-horizontal-relative:margin;mso-wrap-style:none;z-index:251659264;mso-width-relative:page;mso-height-relative:page;" filled="f" stroked="f" coordsize="21600,21600" o:gfxdata="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xUZhXZAAAADAEAAA8AAAAAAAAAAQAgAAAAIgAAAGRycy9kb3ducmV2Lnht&#10;bFBLAQIUABQAAAAIAIdO4kBItvYn3AIAACQGAAAOAAAAAAAAAAEAIAAAACgBAABkcnMvZTJvRG9j&#10;LnhtbFBLBQYAAAAABgAGAFkBAAB2BgAAAAA=&#10;">
              <v:fill on="f" focussize="0,0"/>
              <v:stroke on="f" weight="0.5pt"/>
              <v:imagedata o:title=""/>
              <o:lock v:ext="edit" aspectratio="f"/>
              <v:textbox inset="0mm,0mm,0mm,0mm" style="mso-fit-shape-to-text:t;">
                <w:txbxContent>
                  <w:p w14:paraId="0D32D39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1E2D9"/>
    <w:multiLevelType w:val="singleLevel"/>
    <w:tmpl w:val="9901E2D9"/>
    <w:lvl w:ilvl="0" w:tentative="0">
      <w:start w:val="2"/>
      <w:numFmt w:val="chineseCounting"/>
      <w:suff w:val="nothing"/>
      <w:lvlText w:val="（%1）"/>
      <w:lvlJc w:val="left"/>
      <w:rPr>
        <w:rFonts w:hint="eastAsia"/>
      </w:rPr>
    </w:lvl>
  </w:abstractNum>
  <w:abstractNum w:abstractNumId="1">
    <w:nsid w:val="EB3278D6"/>
    <w:multiLevelType w:val="singleLevel"/>
    <w:tmpl w:val="EB3278D6"/>
    <w:lvl w:ilvl="0" w:tentative="0">
      <w:start w:val="7"/>
      <w:numFmt w:val="chineseCounting"/>
      <w:suff w:val="nothing"/>
      <w:lvlText w:val="（%1）"/>
      <w:lvlJc w:val="left"/>
      <w:rPr>
        <w:rFonts w:hint="eastAsia"/>
      </w:rPr>
    </w:lvl>
  </w:abstractNum>
  <w:abstractNum w:abstractNumId="2">
    <w:nsid w:val="6BD8C994"/>
    <w:multiLevelType w:val="singleLevel"/>
    <w:tmpl w:val="6BD8C994"/>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9A7D90"/>
    <w:rsid w:val="05265544"/>
    <w:rsid w:val="053A13B6"/>
    <w:rsid w:val="09D8654B"/>
    <w:rsid w:val="0A127DF7"/>
    <w:rsid w:val="0CD901D5"/>
    <w:rsid w:val="0E44794C"/>
    <w:rsid w:val="0F106FAF"/>
    <w:rsid w:val="108257E2"/>
    <w:rsid w:val="1BED6955"/>
    <w:rsid w:val="1F5D0179"/>
    <w:rsid w:val="21260DE0"/>
    <w:rsid w:val="2329466A"/>
    <w:rsid w:val="29846ABC"/>
    <w:rsid w:val="29946A38"/>
    <w:rsid w:val="2A4F1EA0"/>
    <w:rsid w:val="2AA81E79"/>
    <w:rsid w:val="2CE260F1"/>
    <w:rsid w:val="2F5E3D36"/>
    <w:rsid w:val="34824267"/>
    <w:rsid w:val="368C611F"/>
    <w:rsid w:val="3C1934F8"/>
    <w:rsid w:val="3E0F1060"/>
    <w:rsid w:val="41C126AD"/>
    <w:rsid w:val="41D30C0F"/>
    <w:rsid w:val="434F15AD"/>
    <w:rsid w:val="44FC64F4"/>
    <w:rsid w:val="483E0CD0"/>
    <w:rsid w:val="48E46C3C"/>
    <w:rsid w:val="4EAE1F59"/>
    <w:rsid w:val="4F5A605D"/>
    <w:rsid w:val="4F5D5052"/>
    <w:rsid w:val="50684FFC"/>
    <w:rsid w:val="508A5899"/>
    <w:rsid w:val="5625745D"/>
    <w:rsid w:val="56DC0F52"/>
    <w:rsid w:val="577C3B0F"/>
    <w:rsid w:val="5B772F60"/>
    <w:rsid w:val="5F1730AE"/>
    <w:rsid w:val="662D4566"/>
    <w:rsid w:val="68694610"/>
    <w:rsid w:val="6B297923"/>
    <w:rsid w:val="6BFD0566"/>
    <w:rsid w:val="6D1841D8"/>
    <w:rsid w:val="717A56C5"/>
    <w:rsid w:val="740235EF"/>
    <w:rsid w:val="76714625"/>
    <w:rsid w:val="7A664E53"/>
    <w:rsid w:val="7B6D0E70"/>
    <w:rsid w:val="7F0A6D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index 5"/>
    <w:basedOn w:val="1"/>
    <w:next w:val="1"/>
    <w:qFormat/>
    <w:uiPriority w:val="0"/>
    <w:pPr>
      <w:ind w:left="800" w:leftChars="800"/>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3117</Words>
  <Characters>3146</Characters>
  <TotalTime>31</TotalTime>
  <ScaleCrop>false</ScaleCrop>
  <LinksUpToDate>false</LinksUpToDate>
  <CharactersWithSpaces>3164</CharactersWithSpaces>
  <Application>WPS Office_12.1.0.26373_F1E327BC-269C-435d-A152-05C5408002CA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2025-09-12T08:50:00Z</dcterms:created>
  <dc:creator>lenovo008</dc:creator>
  <cp:lastModifiedBy>花火。</cp:lastModifiedBy>
  <dcterms:modified xsi:type="dcterms:W3CDTF">2026-05-27T01:50:42Z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2026-03-03T17:40:58Z</vt:filetime>
  </property>
  <property fmtid="{D5CDD505-2E9C-101B-9397-08002B2CF9AE}" pid="4" name="KSOProductBuildVer">
    <vt:lpwstr>2052-12.1.0.26373</vt:lpwstr>
  </property>
  <property fmtid="{D5CDD505-2E9C-101B-9397-08002B2CF9AE}" pid="5" name="KSOTemplateDocerSaveRecord">
    <vt:lpwstr>eyJoZGlkIjoiZjI0NDRmYmRhNTk1NDBlMjQ1YWY0MTRlYWIyYTUwNDEiLCJ1c2VySWQiOiI2NTA2MDEyODIifQ==</vt:lpwstr>
  </property>
  <property fmtid="{D5CDD505-2E9C-101B-9397-08002B2CF9AE}" pid="6" name="ICV">
    <vt:lpwstr>602C7EC512774616A41BDEF757A17D51_12</vt:lpwstr>
  </property>
</Properties>
</file>