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0C0F1">
      <w:pPr>
        <w:widowControl w:val="0"/>
        <w:ind w:firstLine="0" w:firstLineChars="0"/>
        <w:rPr>
          <w:rFonts w:eastAsia="黑体" w:cs="Times New Roman"/>
        </w:rPr>
      </w:pPr>
      <w:bookmarkStart w:id="9" w:name="_GoBack"/>
      <w:bookmarkEnd w:id="9"/>
      <w:r>
        <w:rPr>
          <w:rFonts w:eastAsia="黑体" w:cs="Times New Roman"/>
        </w:rPr>
        <w:t>申报指南附件2 装订封面及顺序</w:t>
      </w:r>
      <w:r>
        <w:rPr>
          <w:rFonts w:hint="eastAsia" w:eastAsia="黑体" w:cs="Times New Roman"/>
        </w:rPr>
        <w:t>目录</w:t>
      </w:r>
    </w:p>
    <w:p w14:paraId="0896C0E9">
      <w:pPr>
        <w:widowControl w:val="0"/>
        <w:ind w:firstLine="0" w:firstLineChars="0"/>
        <w:rPr>
          <w:rFonts w:eastAsia="等线" w:cs="Times New Roman"/>
          <w:b/>
          <w:sz w:val="48"/>
          <w:szCs w:val="48"/>
        </w:rPr>
      </w:pPr>
    </w:p>
    <w:p w14:paraId="1A735894">
      <w:pPr>
        <w:widowControl w:val="0"/>
        <w:ind w:firstLine="0" w:firstLineChars="0"/>
        <w:rPr>
          <w:rFonts w:eastAsia="等线" w:cs="Times New Roman"/>
          <w:b/>
          <w:sz w:val="48"/>
          <w:szCs w:val="48"/>
        </w:rPr>
      </w:pPr>
    </w:p>
    <w:p w14:paraId="5619E681">
      <w:pPr>
        <w:ind w:firstLine="0" w:firstLineChars="0"/>
        <w:jc w:val="center"/>
        <w:rPr>
          <w:rFonts w:eastAsia="微软雅黑" w:cs="Times New Roman"/>
          <w:sz w:val="48"/>
          <w:szCs w:val="48"/>
          <w:lang w:bidi="ar"/>
        </w:rPr>
      </w:pPr>
      <w:r>
        <w:rPr>
          <w:rFonts w:eastAsia="微软雅黑" w:cs="Times New Roman"/>
          <w:sz w:val="48"/>
          <w:szCs w:val="48"/>
          <w:lang w:bidi="ar"/>
        </w:rPr>
        <w:t>郑州市战略新兴产业母基金</w:t>
      </w:r>
    </w:p>
    <w:p w14:paraId="3AACBA4E">
      <w:pPr>
        <w:ind w:firstLine="0" w:firstLineChars="0"/>
        <w:jc w:val="center"/>
        <w:rPr>
          <w:rFonts w:eastAsia="微软雅黑" w:cs="Times New Roman"/>
          <w:sz w:val="48"/>
          <w:szCs w:val="48"/>
        </w:rPr>
      </w:pPr>
      <w:r>
        <w:rPr>
          <w:rFonts w:eastAsia="微软雅黑" w:cs="Times New Roman"/>
          <w:sz w:val="48"/>
          <w:szCs w:val="48"/>
          <w:lang w:bidi="ar"/>
        </w:rPr>
        <w:t>子基金申请方案</w:t>
      </w:r>
    </w:p>
    <w:p w14:paraId="0F741B34">
      <w:pPr>
        <w:ind w:firstLine="0" w:firstLineChars="0"/>
        <w:jc w:val="center"/>
        <w:rPr>
          <w:rFonts w:cs="Times New Roman"/>
        </w:rPr>
      </w:pPr>
    </w:p>
    <w:p w14:paraId="74445DB3">
      <w:pPr>
        <w:ind w:firstLine="0" w:firstLineChars="0"/>
        <w:jc w:val="center"/>
        <w:rPr>
          <w:rFonts w:cs="Times New Roman"/>
        </w:rPr>
      </w:pPr>
    </w:p>
    <w:p w14:paraId="7DCB84A0">
      <w:pPr>
        <w:pStyle w:val="2"/>
        <w:ind w:firstLine="0" w:firstLineChars="0"/>
        <w:jc w:val="center"/>
        <w:rPr>
          <w:rFonts w:cs="Times New Roman"/>
        </w:rPr>
      </w:pPr>
    </w:p>
    <w:p w14:paraId="03ABDDD9">
      <w:pPr>
        <w:ind w:firstLine="0" w:firstLineChars="0"/>
        <w:jc w:val="center"/>
        <w:rPr>
          <w:rFonts w:cs="Times New Roman"/>
        </w:rPr>
      </w:pPr>
    </w:p>
    <w:p w14:paraId="736A7AB6">
      <w:pPr>
        <w:pStyle w:val="2"/>
        <w:ind w:firstLine="0" w:firstLineChars="0"/>
        <w:jc w:val="center"/>
        <w:rPr>
          <w:rFonts w:cs="Times New Roman"/>
        </w:rPr>
      </w:pPr>
    </w:p>
    <w:p w14:paraId="56F290C0">
      <w:pPr>
        <w:ind w:firstLine="0" w:firstLineChars="0"/>
        <w:jc w:val="center"/>
        <w:rPr>
          <w:rFonts w:cs="Times New Roman"/>
        </w:rPr>
      </w:pPr>
    </w:p>
    <w:p w14:paraId="32A800AC">
      <w:pPr>
        <w:ind w:firstLine="0" w:firstLineChars="0"/>
        <w:jc w:val="center"/>
        <w:rPr>
          <w:rFonts w:cs="Times New Roman"/>
        </w:rPr>
      </w:pPr>
    </w:p>
    <w:p w14:paraId="722EA80A">
      <w:pPr>
        <w:jc w:val="center"/>
        <w:rPr>
          <w:rFonts w:eastAsia="微软雅黑" w:cs="Times New Roman"/>
        </w:rPr>
      </w:pPr>
      <w:r>
        <w:rPr>
          <w:rFonts w:eastAsia="微软雅黑" w:cs="Times New Roman"/>
          <w:lang w:bidi="ar"/>
        </w:rPr>
        <w:t>联系人：</w:t>
      </w:r>
    </w:p>
    <w:p w14:paraId="02F17482">
      <w:pPr>
        <w:jc w:val="center"/>
        <w:rPr>
          <w:rFonts w:eastAsia="微软雅黑" w:cs="Times New Roman"/>
        </w:rPr>
      </w:pPr>
      <w:r>
        <w:rPr>
          <w:rFonts w:eastAsia="微软雅黑" w:cs="Times New Roman"/>
          <w:lang w:bidi="ar"/>
        </w:rPr>
        <w:t>联系电话：</w:t>
      </w:r>
    </w:p>
    <w:p w14:paraId="040F4FDC">
      <w:pPr>
        <w:jc w:val="center"/>
        <w:rPr>
          <w:rFonts w:eastAsia="微软雅黑" w:cs="Times New Roman"/>
        </w:rPr>
      </w:pPr>
      <w:r>
        <w:rPr>
          <w:rFonts w:eastAsia="微软雅黑" w:cs="Times New Roman"/>
          <w:lang w:bidi="ar"/>
        </w:rPr>
        <w:t>邮箱：</w:t>
      </w:r>
    </w:p>
    <w:p w14:paraId="5A7759FA">
      <w:pPr>
        <w:ind w:firstLine="944" w:firstLineChars="295"/>
        <w:jc w:val="center"/>
        <w:rPr>
          <w:rFonts w:eastAsia="微软雅黑" w:cs="Times New Roman"/>
        </w:rPr>
      </w:pPr>
      <w:r>
        <w:rPr>
          <w:rFonts w:eastAsia="微软雅黑" w:cs="Times New Roman"/>
          <w:lang w:bidi="ar"/>
        </w:rPr>
        <w:t xml:space="preserve"> </w:t>
      </w:r>
    </w:p>
    <w:p w14:paraId="2FC3BF5A">
      <w:pPr>
        <w:jc w:val="center"/>
        <w:rPr>
          <w:rFonts w:eastAsia="微软雅黑" w:cs="Times New Roman"/>
        </w:rPr>
      </w:pPr>
      <w:r>
        <w:rPr>
          <w:rFonts w:eastAsia="微软雅黑" w:cs="Times New Roman"/>
          <w:lang w:bidi="ar"/>
        </w:rPr>
        <w:t>申报机构：XXX公司（盖章）</w:t>
      </w:r>
    </w:p>
    <w:p w14:paraId="0390ADB3">
      <w:pPr>
        <w:jc w:val="center"/>
        <w:rPr>
          <w:rFonts w:eastAsia="微软雅黑" w:cs="Times New Roman"/>
          <w:lang w:bidi="ar"/>
        </w:rPr>
      </w:pPr>
      <w:r>
        <w:rPr>
          <w:rFonts w:eastAsia="微软雅黑" w:cs="Times New Roman"/>
          <w:lang w:bidi="ar"/>
        </w:rPr>
        <w:t>XXXX年XX月</w:t>
      </w:r>
    </w:p>
    <w:p w14:paraId="606462E0">
      <w:pPr>
        <w:pStyle w:val="2"/>
        <w:ind w:firstLine="640"/>
        <w:rPr>
          <w:rFonts w:cs="Times New Roman"/>
          <w:lang w:bidi="ar"/>
        </w:rPr>
      </w:pPr>
    </w:p>
    <w:p w14:paraId="063203B8">
      <w:pPr>
        <w:pStyle w:val="2"/>
        <w:widowControl w:val="0"/>
        <w:spacing w:after="0"/>
        <w:ind w:firstLine="0" w:firstLineChars="0"/>
        <w:rPr>
          <w:rFonts w:eastAsia="楷体" w:cs="Times New Roman"/>
          <w:sz w:val="28"/>
          <w:szCs w:val="28"/>
        </w:rPr>
      </w:pPr>
      <w:r>
        <w:rPr>
          <w:rFonts w:eastAsia="楷体" w:cs="Times New Roman"/>
          <w:sz w:val="28"/>
          <w:szCs w:val="28"/>
        </w:rPr>
        <w:t xml:space="preserve">注：申报材料连续编码并列出目录，务必添加对应页码，纸质版规范打印装订成册，左侧胶装，并加盖骑缝章。 </w:t>
      </w:r>
    </w:p>
    <w:p w14:paraId="47C5633D">
      <w:pPr>
        <w:ind w:firstLine="0" w:firstLineChars="0"/>
        <w:jc w:val="center"/>
        <w:rPr>
          <w:rFonts w:eastAsia="微软雅黑" w:cs="Times New Roman"/>
          <w:sz w:val="44"/>
          <w:szCs w:val="44"/>
          <w:lang w:bidi="ar"/>
        </w:rPr>
      </w:pPr>
      <w:bookmarkStart w:id="0" w:name="_Toc23762"/>
    </w:p>
    <w:p w14:paraId="7A7CFA3E">
      <w:pPr>
        <w:ind w:firstLine="0" w:firstLineChars="0"/>
        <w:jc w:val="center"/>
        <w:rPr>
          <w:rFonts w:eastAsia="微软雅黑" w:cs="Times New Roman"/>
          <w:sz w:val="44"/>
          <w:szCs w:val="44"/>
          <w:lang w:bidi="ar"/>
        </w:rPr>
      </w:pPr>
      <w:r>
        <w:rPr>
          <w:rFonts w:eastAsia="微软雅黑" w:cs="Times New Roman"/>
          <w:sz w:val="44"/>
          <w:szCs w:val="44"/>
          <w:lang w:bidi="ar"/>
        </w:rPr>
        <w:t>申报材料装订顺序（目录）</w:t>
      </w:r>
    </w:p>
    <w:p w14:paraId="2799099F">
      <w:pPr>
        <w:pStyle w:val="4"/>
        <w:ind w:firstLine="640"/>
        <w:rPr>
          <w:rFonts w:cs="Times New Roman"/>
        </w:rPr>
      </w:pPr>
      <w:r>
        <w:rPr>
          <w:rFonts w:cs="Times New Roman"/>
        </w:rPr>
        <w:t>一、资格自评表</w:t>
      </w:r>
    </w:p>
    <w:p w14:paraId="3512DE39">
      <w:pPr>
        <w:rPr>
          <w:rFonts w:eastAsia="楷体" w:cs="Times New Roman"/>
          <w:lang w:bidi="ar"/>
        </w:rPr>
      </w:pPr>
      <w:r>
        <w:rPr>
          <w:rFonts w:hint="eastAsia" w:eastAsia="楷体" w:cs="Times New Roman"/>
          <w:lang w:bidi="ar"/>
        </w:rPr>
        <w:t>（一）子基金管理机构申报要求对照表（附表1）</w:t>
      </w:r>
    </w:p>
    <w:p w14:paraId="2FE3F2CC">
      <w:pPr>
        <w:rPr>
          <w:rFonts w:eastAsia="楷体" w:cs="Times New Roman"/>
          <w:lang w:bidi="ar"/>
        </w:rPr>
      </w:pPr>
      <w:r>
        <w:rPr>
          <w:rFonts w:hint="eastAsia" w:eastAsia="楷体" w:cs="Times New Roman"/>
          <w:lang w:bidi="ar"/>
        </w:rPr>
        <w:t>（二）子基金方案申报要求对照表（附表2）</w:t>
      </w:r>
    </w:p>
    <w:p w14:paraId="56E63787">
      <w:pPr>
        <w:pStyle w:val="4"/>
        <w:ind w:firstLine="640"/>
        <w:rPr>
          <w:rFonts w:cs="Times New Roman"/>
        </w:rPr>
      </w:pPr>
      <w:r>
        <w:rPr>
          <w:rFonts w:cs="Times New Roman"/>
        </w:rPr>
        <w:t>二、子基金管理机构符合条件的说明</w:t>
      </w:r>
    </w:p>
    <w:p w14:paraId="58ED1174">
      <w:pPr>
        <w:pStyle w:val="2"/>
        <w:widowControl w:val="0"/>
        <w:spacing w:after="0"/>
        <w:ind w:firstLine="560"/>
        <w:rPr>
          <w:rFonts w:eastAsia="楷体" w:cs="Times New Roman"/>
          <w:sz w:val="28"/>
          <w:szCs w:val="28"/>
        </w:rPr>
      </w:pPr>
      <w:r>
        <w:rPr>
          <w:rFonts w:eastAsia="楷体" w:cs="Times New Roman"/>
          <w:sz w:val="28"/>
          <w:szCs w:val="28"/>
        </w:rPr>
        <w:t>注：请</w:t>
      </w:r>
      <w:r>
        <w:rPr>
          <w:rFonts w:eastAsia="楷体" w:cs="Times New Roman"/>
          <w:b/>
          <w:bCs/>
          <w:sz w:val="28"/>
          <w:szCs w:val="28"/>
        </w:rPr>
        <w:t>严格对照</w:t>
      </w:r>
      <w:r>
        <w:rPr>
          <w:rFonts w:eastAsia="楷体" w:cs="Times New Roman"/>
          <w:sz w:val="28"/>
          <w:szCs w:val="28"/>
        </w:rPr>
        <w:t>申报指南“一、子基金管理机构申报要求”的内容，</w:t>
      </w:r>
      <w:r>
        <w:rPr>
          <w:rFonts w:eastAsia="楷体" w:cs="Times New Roman"/>
          <w:b/>
          <w:bCs/>
          <w:sz w:val="28"/>
          <w:szCs w:val="28"/>
        </w:rPr>
        <w:t>逐条说明</w:t>
      </w:r>
      <w:r>
        <w:rPr>
          <w:rFonts w:eastAsia="楷体" w:cs="Times New Roman"/>
          <w:sz w:val="28"/>
          <w:szCs w:val="28"/>
        </w:rPr>
        <w:t>申报机构是否符合条件，并提供相应证明材料。</w:t>
      </w:r>
    </w:p>
    <w:p w14:paraId="19C3800F">
      <w:pPr>
        <w:pStyle w:val="5"/>
        <w:rPr>
          <w:rFonts w:eastAsia="楷体"/>
          <w:lang w:bidi="ar"/>
        </w:rPr>
      </w:pPr>
      <w:bookmarkStart w:id="1" w:name="OLE_LINK1"/>
      <w:bookmarkStart w:id="2" w:name="OLE_LINK3"/>
      <w:r>
        <w:rPr>
          <w:rFonts w:hint="eastAsia" w:eastAsia="楷体"/>
          <w:lang w:bidi="ar"/>
        </w:rPr>
        <w:t>（一）</w:t>
      </w:r>
      <w:bookmarkEnd w:id="1"/>
      <w:r>
        <w:rPr>
          <w:rFonts w:hint="eastAsia" w:eastAsia="楷体"/>
          <w:lang w:bidi="ar"/>
        </w:rPr>
        <w:t>基本要求</w:t>
      </w:r>
    </w:p>
    <w:bookmarkEnd w:id="2"/>
    <w:p w14:paraId="7C148F05">
      <w:pPr>
        <w:pStyle w:val="2"/>
        <w:widowControl w:val="0"/>
        <w:spacing w:after="0"/>
        <w:ind w:firstLine="560"/>
        <w:rPr>
          <w:rFonts w:eastAsia="楷体" w:cs="Times New Roman"/>
          <w:sz w:val="28"/>
          <w:szCs w:val="28"/>
        </w:rPr>
      </w:pPr>
      <w:r>
        <w:rPr>
          <w:rFonts w:eastAsia="楷体" w:cs="Times New Roman"/>
          <w:sz w:val="28"/>
          <w:szCs w:val="28"/>
        </w:rPr>
        <w:t>注：子基金管理架构模式为双执伙、双普通合伙人、管理人和GP分离等情况的</w:t>
      </w:r>
      <w:r>
        <w:rPr>
          <w:rFonts w:hint="eastAsia" w:eastAsia="楷体" w:cs="Times New Roman"/>
          <w:sz w:val="28"/>
          <w:szCs w:val="28"/>
        </w:rPr>
        <w:t>，非子基金管理人主体参照申报管理人提供“（一）基本要求”说明相关情况。</w:t>
      </w:r>
    </w:p>
    <w:p w14:paraId="43B3DF08">
      <w:pPr>
        <w:pStyle w:val="2"/>
        <w:widowControl w:val="0"/>
        <w:spacing w:after="0"/>
        <w:ind w:firstLine="640"/>
        <w:rPr>
          <w:rFonts w:cs="Times New Roman"/>
          <w:szCs w:val="40"/>
        </w:rPr>
      </w:pPr>
      <w:r>
        <w:rPr>
          <w:rFonts w:cs="Times New Roman"/>
          <w:szCs w:val="40"/>
        </w:rPr>
        <w:t>1.机构合规性及社会影响力</w:t>
      </w:r>
    </w:p>
    <w:p w14:paraId="667FFE23">
      <w:pPr>
        <w:pStyle w:val="2"/>
        <w:widowControl w:val="0"/>
        <w:spacing w:after="0"/>
        <w:ind w:firstLine="640"/>
        <w:rPr>
          <w:rFonts w:cs="Times New Roman"/>
          <w:szCs w:val="40"/>
        </w:rPr>
      </w:pPr>
      <w:r>
        <w:rPr>
          <w:rFonts w:cs="Times New Roman"/>
          <w:szCs w:val="40"/>
        </w:rPr>
        <w:t>申报机构应说明具备中国证券投资基金业协会私募股权、创业投资基金管理人资格</w:t>
      </w:r>
      <w:r>
        <w:rPr>
          <w:rFonts w:hint="eastAsia" w:cs="Times New Roman"/>
          <w:szCs w:val="40"/>
        </w:rPr>
        <w:t>，</w:t>
      </w:r>
      <w:r>
        <w:rPr>
          <w:rFonts w:cs="Times New Roman"/>
          <w:szCs w:val="40"/>
        </w:rPr>
        <w:t>并明确说明是否被中国证券投资基金业协会列为异常机构或存在不良诚信记录等情形</w:t>
      </w:r>
      <w:r>
        <w:rPr>
          <w:rFonts w:hint="eastAsia" w:cs="Times New Roman"/>
          <w:szCs w:val="40"/>
        </w:rPr>
        <w:t>；</w:t>
      </w:r>
      <w:r>
        <w:rPr>
          <w:rFonts w:cs="Times New Roman"/>
          <w:szCs w:val="40"/>
        </w:rPr>
        <w:t>管理机构</w:t>
      </w:r>
      <w:r>
        <w:rPr>
          <w:rFonts w:hint="eastAsia" w:cs="Times New Roman"/>
          <w:szCs w:val="40"/>
        </w:rPr>
        <w:t>及其高管人员是否存在重大过失、违法违纪行为，</w:t>
      </w:r>
      <w:r>
        <w:rPr>
          <w:rFonts w:cs="Times New Roman"/>
          <w:szCs w:val="40"/>
        </w:rPr>
        <w:t>管理机构的实际控制人、主要股东、法定代表人或高级管理人员</w:t>
      </w:r>
      <w:r>
        <w:rPr>
          <w:rFonts w:hint="eastAsia" w:cs="Times New Roman"/>
          <w:szCs w:val="40"/>
        </w:rPr>
        <w:t>是否</w:t>
      </w:r>
      <w:r>
        <w:rPr>
          <w:rFonts w:cs="Times New Roman"/>
          <w:szCs w:val="40"/>
        </w:rPr>
        <w:t>系失信被执行人。</w:t>
      </w:r>
    </w:p>
    <w:p w14:paraId="57456273">
      <w:pPr>
        <w:pStyle w:val="2"/>
        <w:widowControl w:val="0"/>
        <w:spacing w:after="0"/>
        <w:ind w:firstLine="640"/>
        <w:rPr>
          <w:rFonts w:cs="Times New Roman"/>
          <w:szCs w:val="40"/>
        </w:rPr>
      </w:pPr>
      <w:r>
        <w:rPr>
          <w:rFonts w:cs="Times New Roman"/>
          <w:szCs w:val="40"/>
        </w:rPr>
        <w:t>申报机构近三年各年度在清科或投中网等权威榜单的综合排名、专项排名情况。</w:t>
      </w:r>
    </w:p>
    <w:p w14:paraId="1BDEB889">
      <w:pPr>
        <w:pStyle w:val="2"/>
        <w:widowControl w:val="0"/>
        <w:spacing w:after="0"/>
        <w:ind w:firstLine="640"/>
        <w:rPr>
          <w:rFonts w:cs="Times New Roman"/>
          <w:szCs w:val="40"/>
        </w:rPr>
      </w:pPr>
      <w:r>
        <w:rPr>
          <w:rFonts w:cs="Times New Roman"/>
          <w:szCs w:val="40"/>
        </w:rPr>
        <w:t>2.工商信息及历史沿革</w:t>
      </w:r>
    </w:p>
    <w:p w14:paraId="4A5A22AE">
      <w:pPr>
        <w:pStyle w:val="2"/>
        <w:widowControl w:val="0"/>
        <w:spacing w:after="0"/>
        <w:ind w:firstLine="640"/>
        <w:rPr>
          <w:rFonts w:cs="Times New Roman"/>
          <w:szCs w:val="40"/>
        </w:rPr>
      </w:pPr>
      <w:r>
        <w:rPr>
          <w:rFonts w:cs="Times New Roman"/>
          <w:szCs w:val="40"/>
        </w:rPr>
        <w:t>申报机构应说明公司工商注册信息、注册资本与实收资本、净资产数据，以及历史沿革情况；并明确说明是否存在实缴资本或净资产低于在子基金中认缴出资额的情形。</w:t>
      </w:r>
    </w:p>
    <w:p w14:paraId="7EF14EEA">
      <w:pPr>
        <w:pStyle w:val="2"/>
        <w:widowControl w:val="0"/>
        <w:spacing w:after="0"/>
        <w:ind w:firstLine="640"/>
        <w:rPr>
          <w:rFonts w:cs="Times New Roman"/>
          <w:szCs w:val="40"/>
        </w:rPr>
      </w:pPr>
      <w:r>
        <w:rPr>
          <w:rFonts w:cs="Times New Roman"/>
          <w:szCs w:val="40"/>
        </w:rPr>
        <w:t>3.内部治理架构</w:t>
      </w:r>
    </w:p>
    <w:p w14:paraId="0A6D61D2">
      <w:pPr>
        <w:pStyle w:val="2"/>
        <w:widowControl w:val="0"/>
        <w:kinsoku/>
        <w:spacing w:after="0"/>
        <w:ind w:firstLine="640"/>
        <w:rPr>
          <w:rFonts w:cs="Times New Roman"/>
          <w:szCs w:val="40"/>
        </w:rPr>
      </w:pPr>
      <w:r>
        <w:rPr>
          <w:rFonts w:cs="Times New Roman"/>
          <w:szCs w:val="40"/>
        </w:rPr>
        <w:t>申报机构应说明公司的治理结构（结合组织架构图，说明各部门职责）、管理制度（列明制度清单）、决策流程（包括但不限于项目筛选机制、投资管理流程、投资决策流程、投后管理流程等）和内控机制（如风险控制架构及流程等），以及公司的项目储备机制及激励约束机制（如员工跟投制度等）。</w:t>
      </w:r>
    </w:p>
    <w:p w14:paraId="214E5DAD">
      <w:pPr>
        <w:pStyle w:val="2"/>
        <w:widowControl w:val="0"/>
        <w:spacing w:after="0"/>
        <w:ind w:firstLine="640"/>
        <w:rPr>
          <w:rFonts w:cs="Times New Roman"/>
          <w:szCs w:val="40"/>
        </w:rPr>
      </w:pPr>
      <w:r>
        <w:rPr>
          <w:rFonts w:cs="Times New Roman"/>
          <w:szCs w:val="40"/>
        </w:rPr>
        <w:t>申报机构如同时管理相同领域、地域及阶段的其他基金，说明关联交易和利益的冲突防范和化解机制，以及向基金出资人如实披露的制度安排。</w:t>
      </w:r>
    </w:p>
    <w:p w14:paraId="566C8C04">
      <w:pPr>
        <w:pStyle w:val="2"/>
        <w:widowControl w:val="0"/>
        <w:spacing w:after="0"/>
        <w:ind w:firstLine="640"/>
        <w:rPr>
          <w:rFonts w:cs="Times New Roman"/>
          <w:szCs w:val="40"/>
        </w:rPr>
      </w:pPr>
      <w:r>
        <w:rPr>
          <w:rFonts w:cs="Times New Roman"/>
          <w:szCs w:val="40"/>
        </w:rPr>
        <w:t>4.管理团队人员情况</w:t>
      </w:r>
    </w:p>
    <w:p w14:paraId="1D444AF3">
      <w:pPr>
        <w:pStyle w:val="2"/>
        <w:widowControl w:val="0"/>
        <w:spacing w:after="0"/>
        <w:ind w:firstLine="640"/>
        <w:rPr>
          <w:rFonts w:cs="Times New Roman"/>
          <w:szCs w:val="40"/>
        </w:rPr>
      </w:pPr>
      <w:r>
        <w:rPr>
          <w:rFonts w:cs="Times New Roman"/>
          <w:szCs w:val="40"/>
        </w:rPr>
        <w:t>（1）高管情况</w:t>
      </w:r>
    </w:p>
    <w:p w14:paraId="5FFC096B">
      <w:pPr>
        <w:pStyle w:val="2"/>
        <w:widowControl w:val="0"/>
        <w:kinsoku/>
        <w:spacing w:after="0"/>
        <w:ind w:firstLine="640"/>
        <w:rPr>
          <w:rFonts w:cs="Times New Roman"/>
          <w:szCs w:val="40"/>
        </w:rPr>
      </w:pPr>
      <w:r>
        <w:rPr>
          <w:rFonts w:cs="Times New Roman"/>
          <w:szCs w:val="40"/>
        </w:rPr>
        <w:t>列表展示并说明子基金管理团队高级管理人员的构成情况，</w:t>
      </w:r>
      <w:r>
        <w:rPr>
          <w:rFonts w:hint="eastAsia" w:cs="Times New Roman"/>
          <w:szCs w:val="40"/>
        </w:rPr>
        <w:t>附</w:t>
      </w:r>
      <w:r>
        <w:rPr>
          <w:rFonts w:cs="Times New Roman"/>
          <w:szCs w:val="40"/>
        </w:rPr>
        <w:t>高管履历（附表</w:t>
      </w:r>
      <w:r>
        <w:rPr>
          <w:rFonts w:hint="eastAsia" w:cs="Times New Roman"/>
          <w:szCs w:val="40"/>
        </w:rPr>
        <w:t>3</w:t>
      </w:r>
      <w:r>
        <w:rPr>
          <w:rFonts w:cs="Times New Roman"/>
          <w:szCs w:val="40"/>
        </w:rPr>
        <w:t>）。</w:t>
      </w:r>
    </w:p>
    <w:p w14:paraId="6302301A">
      <w:pPr>
        <w:pStyle w:val="2"/>
        <w:widowControl w:val="0"/>
        <w:spacing w:after="0"/>
        <w:ind w:firstLine="640"/>
        <w:rPr>
          <w:rFonts w:cs="Times New Roman"/>
          <w:szCs w:val="40"/>
        </w:rPr>
      </w:pPr>
      <w:r>
        <w:rPr>
          <w:rFonts w:cs="Times New Roman"/>
          <w:szCs w:val="40"/>
        </w:rPr>
        <w:t>（2）公司成员情况</w:t>
      </w:r>
    </w:p>
    <w:p w14:paraId="65FC344D">
      <w:pPr>
        <w:pStyle w:val="2"/>
        <w:widowControl w:val="0"/>
        <w:spacing w:after="0"/>
        <w:ind w:firstLine="640"/>
        <w:rPr>
          <w:rFonts w:cs="Times New Roman"/>
          <w:szCs w:val="40"/>
        </w:rPr>
      </w:pPr>
      <w:r>
        <w:rPr>
          <w:rFonts w:cs="Times New Roman"/>
          <w:szCs w:val="40"/>
        </w:rPr>
        <w:t>列表展示并说明全体员工构成情况（附表</w:t>
      </w:r>
      <w:r>
        <w:rPr>
          <w:rFonts w:hint="eastAsia" w:cs="Times New Roman"/>
          <w:szCs w:val="40"/>
        </w:rPr>
        <w:t>4</w:t>
      </w:r>
      <w:r>
        <w:rPr>
          <w:rFonts w:cs="Times New Roman"/>
          <w:szCs w:val="40"/>
        </w:rPr>
        <w:t>）以及近三年人员变动情况。</w:t>
      </w:r>
    </w:p>
    <w:p w14:paraId="176F6C88">
      <w:pPr>
        <w:pStyle w:val="2"/>
        <w:widowControl w:val="0"/>
        <w:spacing w:after="0"/>
        <w:ind w:firstLine="640"/>
        <w:rPr>
          <w:rFonts w:cs="Times New Roman"/>
          <w:szCs w:val="40"/>
        </w:rPr>
      </w:pPr>
      <w:r>
        <w:rPr>
          <w:rFonts w:cs="Times New Roman"/>
          <w:szCs w:val="40"/>
        </w:rPr>
        <w:t>5.投资管理经验和项目储备情况</w:t>
      </w:r>
    </w:p>
    <w:p w14:paraId="28A348DE">
      <w:pPr>
        <w:pStyle w:val="2"/>
        <w:widowControl w:val="0"/>
        <w:spacing w:after="0"/>
        <w:ind w:firstLine="640"/>
        <w:rPr>
          <w:rFonts w:cs="Times New Roman"/>
          <w:szCs w:val="40"/>
        </w:rPr>
      </w:pPr>
      <w:r>
        <w:rPr>
          <w:rFonts w:cs="Times New Roman"/>
          <w:szCs w:val="40"/>
        </w:rPr>
        <w:t>（1）管理经验</w:t>
      </w:r>
    </w:p>
    <w:p w14:paraId="1B2F2D9D">
      <w:pPr>
        <w:pStyle w:val="2"/>
        <w:widowControl w:val="0"/>
        <w:kinsoku/>
        <w:spacing w:after="0"/>
        <w:ind w:firstLine="640"/>
        <w:rPr>
          <w:rFonts w:cs="Times New Roman"/>
          <w:szCs w:val="40"/>
        </w:rPr>
      </w:pPr>
      <w:r>
        <w:rPr>
          <w:rFonts w:cs="Times New Roman"/>
          <w:szCs w:val="40"/>
        </w:rPr>
        <w:t>子基金管理机构</w:t>
      </w:r>
      <w:r>
        <w:rPr>
          <w:rFonts w:hint="eastAsia" w:cs="Times New Roman"/>
          <w:szCs w:val="40"/>
        </w:rPr>
        <w:t>或者</w:t>
      </w:r>
      <w:r>
        <w:rPr>
          <w:rFonts w:cs="Times New Roman"/>
          <w:szCs w:val="40"/>
        </w:rPr>
        <w:t>管理团队累计管理基金产品的数量，以及累计已实缴的投资总额，曾管或在管国家级基金情况（如有）。总结所管理基金（含曾管）的投资进度、基金DPI、基金ROI等指标情况。申报机构应列表展示所管理基金情况：</w:t>
      </w:r>
    </w:p>
    <w:p w14:paraId="7BF5A604">
      <w:pPr>
        <w:pStyle w:val="2"/>
        <w:widowControl w:val="0"/>
        <w:kinsoku/>
        <w:spacing w:after="0"/>
        <w:ind w:firstLine="640"/>
        <w:rPr>
          <w:rFonts w:cs="Times New Roman"/>
          <w:szCs w:val="40"/>
        </w:rPr>
      </w:pPr>
      <w:r>
        <w:rPr>
          <w:rFonts w:cs="Times New Roman"/>
          <w:szCs w:val="40"/>
        </w:rPr>
        <w:t>A.累计管理规模及在管基金总体情况</w:t>
      </w:r>
      <w:bookmarkStart w:id="3" w:name="OLE_LINK6"/>
      <w:r>
        <w:rPr>
          <w:rFonts w:cs="Times New Roman"/>
          <w:szCs w:val="40"/>
        </w:rPr>
        <w:t>（附表</w:t>
      </w:r>
      <w:r>
        <w:rPr>
          <w:rFonts w:hint="eastAsia" w:cs="Times New Roman"/>
          <w:szCs w:val="40"/>
        </w:rPr>
        <w:t>5</w:t>
      </w:r>
      <w:r>
        <w:rPr>
          <w:rFonts w:cs="Times New Roman"/>
          <w:szCs w:val="40"/>
        </w:rPr>
        <w:t>）</w:t>
      </w:r>
      <w:bookmarkEnd w:id="3"/>
    </w:p>
    <w:p w14:paraId="19EEDA52">
      <w:pPr>
        <w:pStyle w:val="2"/>
        <w:widowControl w:val="0"/>
        <w:kinsoku/>
        <w:spacing w:after="0"/>
        <w:ind w:firstLine="640"/>
        <w:rPr>
          <w:rFonts w:cs="Times New Roman"/>
          <w:szCs w:val="40"/>
        </w:rPr>
      </w:pPr>
      <w:r>
        <w:rPr>
          <w:rFonts w:hint="eastAsia" w:cs="Times New Roman"/>
          <w:szCs w:val="40"/>
        </w:rPr>
        <w:t>B</w:t>
      </w:r>
      <w:r>
        <w:rPr>
          <w:rFonts w:cs="Times New Roman"/>
          <w:szCs w:val="40"/>
        </w:rPr>
        <w:t>.</w:t>
      </w:r>
      <w:r>
        <w:rPr>
          <w:rFonts w:hint="eastAsia" w:cs="Times New Roman"/>
          <w:szCs w:val="40"/>
        </w:rPr>
        <w:t>对于在管基金中重点</w:t>
      </w:r>
      <w:r>
        <w:rPr>
          <w:rFonts w:cs="Times New Roman"/>
          <w:szCs w:val="40"/>
        </w:rPr>
        <w:t>投资项目情况</w:t>
      </w:r>
      <w:r>
        <w:rPr>
          <w:rFonts w:hint="eastAsia" w:cs="Times New Roman"/>
          <w:szCs w:val="40"/>
        </w:rPr>
        <w:t>如项目信息、投资业绩等进行阐述。</w:t>
      </w:r>
    </w:p>
    <w:p w14:paraId="7B3A40CB">
      <w:pPr>
        <w:pStyle w:val="2"/>
        <w:widowControl w:val="0"/>
        <w:kinsoku/>
        <w:spacing w:after="0"/>
        <w:ind w:firstLine="640"/>
        <w:rPr>
          <w:rFonts w:cs="Times New Roman"/>
          <w:szCs w:val="40"/>
        </w:rPr>
      </w:pPr>
      <w:r>
        <w:rPr>
          <w:rFonts w:cs="Times New Roman"/>
          <w:szCs w:val="40"/>
        </w:rPr>
        <w:t>（2）投资经验</w:t>
      </w:r>
    </w:p>
    <w:p w14:paraId="04D4B71E">
      <w:pPr>
        <w:pStyle w:val="2"/>
        <w:widowControl w:val="0"/>
        <w:spacing w:after="0"/>
        <w:ind w:firstLine="640"/>
        <w:rPr>
          <w:rFonts w:cs="Times New Roman"/>
          <w:szCs w:val="40"/>
        </w:rPr>
      </w:pPr>
      <w:r>
        <w:rPr>
          <w:rFonts w:cs="Times New Roman"/>
          <w:szCs w:val="40"/>
        </w:rPr>
        <w:t>列表展示并说明子基金管理机构</w:t>
      </w:r>
      <w:r>
        <w:rPr>
          <w:rFonts w:hint="eastAsia" w:cs="Times New Roman"/>
          <w:szCs w:val="40"/>
        </w:rPr>
        <w:t>或</w:t>
      </w:r>
      <w:r>
        <w:rPr>
          <w:rFonts w:cs="Times New Roman"/>
          <w:szCs w:val="40"/>
        </w:rPr>
        <w:t>管理团队累计拥有的股权投资成功案例情况（附表</w:t>
      </w:r>
      <w:r>
        <w:rPr>
          <w:rFonts w:hint="eastAsia" w:cs="Times New Roman"/>
          <w:szCs w:val="40"/>
        </w:rPr>
        <w:t>6</w:t>
      </w:r>
      <w:r>
        <w:rPr>
          <w:rFonts w:cs="Times New Roman"/>
          <w:szCs w:val="40"/>
        </w:rPr>
        <w:t>）</w:t>
      </w:r>
      <w:r>
        <w:rPr>
          <w:rFonts w:cs="Times New Roman"/>
          <w:lang w:bidi="ar"/>
        </w:rPr>
        <w:t>。</w:t>
      </w:r>
      <w:r>
        <w:rPr>
          <w:rFonts w:hint="eastAsia" w:cs="Times New Roman"/>
          <w:lang w:bidi="ar"/>
        </w:rPr>
        <w:t>并对重点项目进行阐述说明。</w:t>
      </w:r>
    </w:p>
    <w:p w14:paraId="6F81A7AD">
      <w:pPr>
        <w:pStyle w:val="2"/>
        <w:widowControl w:val="0"/>
        <w:spacing w:after="0"/>
        <w:ind w:firstLine="640"/>
        <w:rPr>
          <w:rFonts w:cs="Times New Roman"/>
          <w:szCs w:val="40"/>
        </w:rPr>
      </w:pPr>
      <w:r>
        <w:rPr>
          <w:rFonts w:cs="Times New Roman"/>
          <w:szCs w:val="40"/>
        </w:rPr>
        <w:t>（3）项目储备情况</w:t>
      </w:r>
    </w:p>
    <w:p w14:paraId="5C0A9760">
      <w:pPr>
        <w:pStyle w:val="2"/>
        <w:widowControl w:val="0"/>
        <w:kinsoku/>
        <w:spacing w:after="0"/>
        <w:ind w:firstLine="640"/>
        <w:rPr>
          <w:rFonts w:cs="Times New Roman"/>
          <w:szCs w:val="40"/>
        </w:rPr>
      </w:pPr>
      <w:r>
        <w:rPr>
          <w:rFonts w:cs="Times New Roman"/>
          <w:szCs w:val="40"/>
        </w:rPr>
        <w:t>申报机构应提供</w:t>
      </w:r>
      <w:r>
        <w:rPr>
          <w:rFonts w:hint="eastAsia" w:cs="Times New Roman"/>
          <w:b/>
          <w:bCs/>
          <w:szCs w:val="40"/>
        </w:rPr>
        <w:t>条件成熟</w:t>
      </w:r>
      <w:r>
        <w:rPr>
          <w:rFonts w:cs="Times New Roman"/>
          <w:szCs w:val="40"/>
        </w:rPr>
        <w:t>的项目储备清单（附表</w:t>
      </w:r>
      <w:r>
        <w:rPr>
          <w:rFonts w:hint="eastAsia" w:cs="Times New Roman"/>
          <w:szCs w:val="40"/>
        </w:rPr>
        <w:t>7</w:t>
      </w:r>
      <w:r>
        <w:rPr>
          <w:rFonts w:cs="Times New Roman"/>
          <w:szCs w:val="40"/>
        </w:rPr>
        <w:t>），包括但不限于项目数量、项目简介（包括但不限于行业匹配性、</w:t>
      </w:r>
      <w:r>
        <w:rPr>
          <w:rFonts w:hint="eastAsia" w:cs="Times New Roman"/>
          <w:szCs w:val="40"/>
        </w:rPr>
        <w:t>财务概况</w:t>
      </w:r>
      <w:r>
        <w:rPr>
          <w:rFonts w:cs="Times New Roman"/>
          <w:szCs w:val="40"/>
        </w:rPr>
        <w:t>等）、各项目拟投金额</w:t>
      </w:r>
      <w:r>
        <w:rPr>
          <w:rFonts w:hint="eastAsia" w:cs="Times New Roman"/>
          <w:szCs w:val="40"/>
        </w:rPr>
        <w:t>、</w:t>
      </w:r>
      <w:r>
        <w:rPr>
          <w:rFonts w:cs="Times New Roman"/>
          <w:szCs w:val="40"/>
        </w:rPr>
        <w:t>落地方案及意向、项目内部决策进展等</w:t>
      </w:r>
      <w:r>
        <w:rPr>
          <w:rFonts w:hint="eastAsia" w:cs="Times New Roman"/>
        </w:rPr>
        <w:t>（申请扩募基金需列明已投项目情况）</w:t>
      </w:r>
      <w:r>
        <w:rPr>
          <w:rFonts w:cs="Times New Roman"/>
          <w:szCs w:val="40"/>
        </w:rPr>
        <w:t>。</w:t>
      </w:r>
    </w:p>
    <w:p w14:paraId="1D5E1DB6">
      <w:pPr>
        <w:pStyle w:val="2"/>
        <w:widowControl w:val="0"/>
        <w:kinsoku/>
        <w:spacing w:after="0"/>
        <w:ind w:firstLine="640"/>
        <w:rPr>
          <w:rFonts w:cs="Times New Roman"/>
          <w:szCs w:val="40"/>
        </w:rPr>
      </w:pPr>
      <w:r>
        <w:rPr>
          <w:rFonts w:cs="Times New Roman"/>
          <w:szCs w:val="40"/>
        </w:rPr>
        <w:t>6.增值服务能力</w:t>
      </w:r>
    </w:p>
    <w:p w14:paraId="3EA68ECF">
      <w:pPr>
        <w:pStyle w:val="2"/>
        <w:widowControl w:val="0"/>
        <w:spacing w:after="0"/>
        <w:ind w:firstLine="640"/>
        <w:rPr>
          <w:rFonts w:cs="Times New Roman"/>
          <w:szCs w:val="40"/>
        </w:rPr>
      </w:pPr>
      <w:r>
        <w:rPr>
          <w:rFonts w:cs="Times New Roman"/>
          <w:szCs w:val="40"/>
        </w:rPr>
        <w:t>申报机构应说明可为被投企业提供增值服务的具体内容，以及增值服务能力与</w:t>
      </w:r>
      <w:r>
        <w:rPr>
          <w:rFonts w:hint="eastAsia" w:cs="Times New Roman"/>
          <w:b/>
          <w:bCs/>
          <w:szCs w:val="40"/>
        </w:rPr>
        <w:t>申报投资</w:t>
      </w:r>
      <w:r>
        <w:rPr>
          <w:rFonts w:cs="Times New Roman"/>
          <w:b/>
          <w:bCs/>
          <w:szCs w:val="40"/>
        </w:rPr>
        <w:t>领域</w:t>
      </w:r>
      <w:r>
        <w:rPr>
          <w:rFonts w:cs="Times New Roman"/>
          <w:szCs w:val="40"/>
        </w:rPr>
        <w:t>的相关性；并提供不少于3个增值服务的过往案例。</w:t>
      </w:r>
    </w:p>
    <w:p w14:paraId="16C15DD0">
      <w:pPr>
        <w:pStyle w:val="2"/>
        <w:widowControl w:val="0"/>
        <w:spacing w:after="0"/>
        <w:ind w:firstLine="640"/>
        <w:rPr>
          <w:rFonts w:cs="Times New Roman"/>
          <w:szCs w:val="40"/>
        </w:rPr>
      </w:pPr>
      <w:r>
        <w:rPr>
          <w:rFonts w:cs="Times New Roman"/>
          <w:szCs w:val="40"/>
        </w:rPr>
        <w:t>7.产业研究能力</w:t>
      </w:r>
    </w:p>
    <w:p w14:paraId="1338BA66">
      <w:pPr>
        <w:pStyle w:val="2"/>
        <w:widowControl w:val="0"/>
        <w:kinsoku/>
        <w:spacing w:after="0"/>
        <w:ind w:firstLine="640"/>
        <w:rPr>
          <w:rFonts w:cs="Times New Roman"/>
          <w:szCs w:val="40"/>
        </w:rPr>
      </w:pPr>
      <w:r>
        <w:rPr>
          <w:rFonts w:cs="Times New Roman"/>
          <w:szCs w:val="40"/>
        </w:rPr>
        <w:t>申报机构应说明在</w:t>
      </w:r>
      <w:r>
        <w:rPr>
          <w:rFonts w:hint="eastAsia" w:cs="Times New Roman"/>
          <w:b/>
          <w:bCs/>
          <w:szCs w:val="40"/>
        </w:rPr>
        <w:t>子基金主要投资方向</w:t>
      </w:r>
      <w:r>
        <w:rPr>
          <w:rFonts w:cs="Times New Roman"/>
          <w:szCs w:val="40"/>
        </w:rPr>
        <w:t>具备的产业图谱研究能力及成果、产业战略咨询能力、产业及上下游资源导入整合能力等，以及与行业骨干企业、科研机构、创新创业平台等产业资源方合作的情况（如有），并提供：</w:t>
      </w:r>
    </w:p>
    <w:p w14:paraId="025399A0">
      <w:pPr>
        <w:pStyle w:val="2"/>
        <w:widowControl w:val="0"/>
        <w:spacing w:after="0"/>
        <w:ind w:firstLine="640"/>
        <w:rPr>
          <w:rFonts w:cs="Times New Roman"/>
          <w:szCs w:val="40"/>
        </w:rPr>
      </w:pPr>
      <w:r>
        <w:rPr>
          <w:rFonts w:cs="Times New Roman"/>
          <w:szCs w:val="40"/>
        </w:rPr>
        <w:t>（1）</w:t>
      </w:r>
      <w:r>
        <w:rPr>
          <w:rFonts w:hint="eastAsia" w:cs="Times New Roman"/>
          <w:szCs w:val="40"/>
        </w:rPr>
        <w:t>主要投资方向相关产业</w:t>
      </w:r>
      <w:r>
        <w:rPr>
          <w:rFonts w:cs="Times New Roman"/>
          <w:szCs w:val="40"/>
        </w:rPr>
        <w:t>图谱的研究报告；</w:t>
      </w:r>
    </w:p>
    <w:p w14:paraId="5C3935F0">
      <w:pPr>
        <w:pStyle w:val="2"/>
        <w:widowControl w:val="0"/>
        <w:kinsoku/>
        <w:spacing w:after="0"/>
        <w:ind w:firstLine="640"/>
        <w:rPr>
          <w:rFonts w:cs="Times New Roman"/>
          <w:szCs w:val="40"/>
        </w:rPr>
      </w:pPr>
      <w:r>
        <w:rPr>
          <w:rFonts w:cs="Times New Roman"/>
          <w:szCs w:val="40"/>
        </w:rPr>
        <w:t>（2）在</w:t>
      </w:r>
      <w:r>
        <w:rPr>
          <w:rFonts w:hint="eastAsia" w:cs="Times New Roman"/>
          <w:szCs w:val="40"/>
        </w:rPr>
        <w:t>主要投资方向</w:t>
      </w:r>
      <w:r>
        <w:rPr>
          <w:rFonts w:cs="Times New Roman"/>
          <w:szCs w:val="40"/>
        </w:rPr>
        <w:t>相关产业资源能力说明；</w:t>
      </w:r>
    </w:p>
    <w:p w14:paraId="19D7157A">
      <w:pPr>
        <w:pStyle w:val="2"/>
        <w:widowControl w:val="0"/>
        <w:spacing w:after="0"/>
        <w:ind w:firstLine="640"/>
        <w:rPr>
          <w:rFonts w:cs="Times New Roman"/>
          <w:szCs w:val="40"/>
        </w:rPr>
      </w:pPr>
      <w:r>
        <w:rPr>
          <w:rFonts w:cs="Times New Roman"/>
          <w:szCs w:val="40"/>
        </w:rPr>
        <w:t>（3）对郑州市及拟合作</w:t>
      </w:r>
      <w:r>
        <w:rPr>
          <w:rFonts w:hint="eastAsia" w:cs="Times New Roman"/>
          <w:szCs w:val="40"/>
        </w:rPr>
        <w:t>区县（市）或园区申报投资方向</w:t>
      </w:r>
      <w:r>
        <w:rPr>
          <w:rFonts w:cs="Times New Roman"/>
          <w:szCs w:val="40"/>
        </w:rPr>
        <w:t>产业发展规划的理解和建议。</w:t>
      </w:r>
    </w:p>
    <w:p w14:paraId="6B5FB944">
      <w:pPr>
        <w:pStyle w:val="5"/>
        <w:rPr>
          <w:rFonts w:eastAsia="楷体"/>
          <w:lang w:bidi="ar"/>
        </w:rPr>
      </w:pPr>
      <w:r>
        <w:rPr>
          <w:rFonts w:hint="eastAsia" w:eastAsia="楷体"/>
          <w:lang w:bidi="ar"/>
        </w:rPr>
        <w:t>（二）管理要求</w:t>
      </w:r>
    </w:p>
    <w:p w14:paraId="52535EA3">
      <w:pPr>
        <w:pStyle w:val="2"/>
        <w:widowControl w:val="0"/>
        <w:spacing w:after="0"/>
        <w:ind w:firstLine="640"/>
        <w:rPr>
          <w:rFonts w:cs="Times New Roman"/>
          <w:szCs w:val="40"/>
        </w:rPr>
      </w:pPr>
      <w:r>
        <w:rPr>
          <w:rFonts w:cs="Times New Roman"/>
          <w:szCs w:val="40"/>
        </w:rPr>
        <w:t>1.团队配置情况</w:t>
      </w:r>
    </w:p>
    <w:p w14:paraId="636273A5">
      <w:pPr>
        <w:pStyle w:val="2"/>
        <w:widowControl w:val="0"/>
        <w:kinsoku/>
        <w:spacing w:after="0"/>
        <w:ind w:firstLine="640"/>
        <w:rPr>
          <w:rFonts w:cs="Times New Roman"/>
          <w:szCs w:val="40"/>
        </w:rPr>
      </w:pPr>
      <w:r>
        <w:rPr>
          <w:rFonts w:cs="Times New Roman"/>
          <w:szCs w:val="40"/>
        </w:rPr>
        <w:t>（1）为子基金配备的专业人员情况，列表展示并说明高级管理人员、关键人士、其他人员构成以及职责分工（附表</w:t>
      </w:r>
      <w:r>
        <w:rPr>
          <w:rFonts w:hint="eastAsia" w:cs="Times New Roman"/>
          <w:szCs w:val="40"/>
        </w:rPr>
        <w:t>8</w:t>
      </w:r>
      <w:r>
        <w:rPr>
          <w:rFonts w:cs="Times New Roman"/>
          <w:szCs w:val="40"/>
        </w:rPr>
        <w:t>），并提供人员履历（附表</w:t>
      </w:r>
      <w:r>
        <w:rPr>
          <w:rFonts w:hint="eastAsia" w:cs="Times New Roman"/>
          <w:szCs w:val="40"/>
        </w:rPr>
        <w:t>3</w:t>
      </w:r>
      <w:r>
        <w:rPr>
          <w:rFonts w:cs="Times New Roman"/>
          <w:szCs w:val="40"/>
        </w:rPr>
        <w:t>）；明确说明具备</w:t>
      </w:r>
      <w:r>
        <w:rPr>
          <w:rFonts w:hint="eastAsia" w:cs="Times New Roman"/>
          <w:szCs w:val="40"/>
        </w:rPr>
        <w:t>2</w:t>
      </w:r>
      <w:r>
        <w:rPr>
          <w:rFonts w:cs="Times New Roman"/>
          <w:szCs w:val="40"/>
        </w:rPr>
        <w:t>年以上合作经验的人员情况以及共事经历。</w:t>
      </w:r>
    </w:p>
    <w:p w14:paraId="52FB7860">
      <w:pPr>
        <w:pStyle w:val="2"/>
        <w:widowControl w:val="0"/>
        <w:spacing w:after="0"/>
        <w:ind w:firstLine="640"/>
        <w:rPr>
          <w:rFonts w:cs="Times New Roman"/>
          <w:szCs w:val="40"/>
        </w:rPr>
      </w:pPr>
      <w:r>
        <w:rPr>
          <w:rFonts w:cs="Times New Roman"/>
          <w:szCs w:val="40"/>
        </w:rPr>
        <w:t>（2）为子基金配备的专业人员中知名科学家、产业专家或知名投资机构出身的资深投资人士的情况及介绍（如有）。</w:t>
      </w:r>
    </w:p>
    <w:p w14:paraId="1445E93F">
      <w:pPr>
        <w:pStyle w:val="2"/>
        <w:widowControl w:val="0"/>
        <w:spacing w:after="0"/>
        <w:ind w:firstLine="640"/>
        <w:rPr>
          <w:rFonts w:cs="Times New Roman"/>
          <w:szCs w:val="40"/>
        </w:rPr>
      </w:pPr>
      <w:r>
        <w:rPr>
          <w:rFonts w:cs="Times New Roman"/>
          <w:szCs w:val="40"/>
        </w:rPr>
        <w:t>2.</w:t>
      </w:r>
      <w:r>
        <w:rPr>
          <w:rFonts w:hint="eastAsia"/>
        </w:rPr>
        <w:t xml:space="preserve"> </w:t>
      </w:r>
      <w:r>
        <w:rPr>
          <w:rFonts w:hint="eastAsia" w:cs="Times New Roman"/>
          <w:szCs w:val="40"/>
        </w:rPr>
        <w:t>管理精力要求</w:t>
      </w:r>
    </w:p>
    <w:p w14:paraId="5911DEB7">
      <w:pPr>
        <w:pStyle w:val="2"/>
        <w:widowControl w:val="0"/>
        <w:spacing w:after="0"/>
        <w:ind w:firstLine="640"/>
        <w:rPr>
          <w:rFonts w:cs="Times New Roman"/>
          <w:szCs w:val="40"/>
        </w:rPr>
      </w:pPr>
      <w:r>
        <w:rPr>
          <w:rFonts w:cs="Times New Roman"/>
          <w:szCs w:val="40"/>
        </w:rPr>
        <w:t>在子基金投资期内保证关键人士、子基金投委会成员稳定性的计划、人员锁定安排以及保障措施。</w:t>
      </w:r>
    </w:p>
    <w:p w14:paraId="1D9A019A">
      <w:pPr>
        <w:pStyle w:val="2"/>
        <w:widowControl w:val="0"/>
        <w:spacing w:after="0"/>
        <w:ind w:firstLine="640"/>
        <w:rPr>
          <w:rFonts w:cs="Times New Roman"/>
          <w:szCs w:val="40"/>
        </w:rPr>
      </w:pPr>
      <w:r>
        <w:rPr>
          <w:rFonts w:cs="Times New Roman"/>
          <w:szCs w:val="40"/>
        </w:rPr>
        <w:t>3.与</w:t>
      </w:r>
      <w:r>
        <w:rPr>
          <w:rFonts w:hint="eastAsia" w:cs="Times New Roman"/>
          <w:szCs w:val="40"/>
        </w:rPr>
        <w:t>区县（市）或园区</w:t>
      </w:r>
      <w:r>
        <w:rPr>
          <w:rFonts w:cs="Times New Roman"/>
          <w:szCs w:val="40"/>
        </w:rPr>
        <w:t>合作情况</w:t>
      </w:r>
    </w:p>
    <w:p w14:paraId="383C32BC">
      <w:pPr>
        <w:pStyle w:val="2"/>
        <w:widowControl w:val="0"/>
        <w:kinsoku/>
        <w:spacing w:after="0"/>
        <w:ind w:firstLine="640"/>
        <w:rPr>
          <w:rFonts w:cs="Times New Roman"/>
          <w:szCs w:val="40"/>
        </w:rPr>
      </w:pPr>
      <w:r>
        <w:rPr>
          <w:rFonts w:cs="Times New Roman"/>
          <w:szCs w:val="40"/>
        </w:rPr>
        <w:t>说明子基金管理机构</w:t>
      </w:r>
      <w:r>
        <w:rPr>
          <w:rFonts w:hint="eastAsia" w:cs="Times New Roman"/>
          <w:szCs w:val="40"/>
        </w:rPr>
        <w:t>与</w:t>
      </w:r>
      <w:r>
        <w:rPr>
          <w:rFonts w:cs="Times New Roman"/>
          <w:szCs w:val="40"/>
        </w:rPr>
        <w:t>拟合作</w:t>
      </w:r>
      <w:r>
        <w:rPr>
          <w:rFonts w:hint="eastAsia" w:cs="Times New Roman"/>
          <w:szCs w:val="40"/>
        </w:rPr>
        <w:t>区县（市）或园区</w:t>
      </w:r>
      <w:r>
        <w:rPr>
          <w:rFonts w:cs="Times New Roman"/>
          <w:szCs w:val="40"/>
        </w:rPr>
        <w:t>的</w:t>
      </w:r>
      <w:r>
        <w:rPr>
          <w:rFonts w:hint="eastAsia" w:cs="Times New Roman"/>
          <w:szCs w:val="40"/>
        </w:rPr>
        <w:t>对接情况</w:t>
      </w:r>
      <w:r>
        <w:rPr>
          <w:rFonts w:cs="Times New Roman"/>
          <w:szCs w:val="40"/>
        </w:rPr>
        <w:t>，并提供相关正式书面合作文件证明（如有）。</w:t>
      </w:r>
    </w:p>
    <w:p w14:paraId="78731C34">
      <w:pPr>
        <w:pStyle w:val="2"/>
        <w:widowControl w:val="0"/>
        <w:spacing w:after="0"/>
        <w:ind w:firstLine="640"/>
        <w:rPr>
          <w:rFonts w:cs="Times New Roman"/>
          <w:szCs w:val="40"/>
        </w:rPr>
      </w:pPr>
      <w:r>
        <w:rPr>
          <w:rFonts w:cs="Times New Roman"/>
          <w:szCs w:val="40"/>
        </w:rPr>
        <w:t>4.产业服务要求</w:t>
      </w:r>
    </w:p>
    <w:p w14:paraId="730DE2C9">
      <w:pPr>
        <w:pStyle w:val="2"/>
        <w:widowControl w:val="0"/>
        <w:kinsoku/>
        <w:spacing w:after="0"/>
        <w:ind w:firstLine="640"/>
        <w:rPr>
          <w:rFonts w:cs="Times New Roman"/>
          <w:szCs w:val="40"/>
        </w:rPr>
      </w:pPr>
      <w:r>
        <w:rPr>
          <w:rFonts w:cs="Times New Roman"/>
          <w:szCs w:val="40"/>
        </w:rPr>
        <w:t>（1）申报机构对于“加强与郑州市联系，加大对郑州市的产业服务，积极支持</w:t>
      </w:r>
      <w:r>
        <w:rPr>
          <w:rFonts w:hint="eastAsia" w:cs="Times New Roman"/>
          <w:szCs w:val="40"/>
        </w:rPr>
        <w:t>市战新</w:t>
      </w:r>
      <w:r>
        <w:rPr>
          <w:rFonts w:cs="Times New Roman"/>
          <w:szCs w:val="40"/>
        </w:rPr>
        <w:t>母基金管理机构相关工作，按照</w:t>
      </w:r>
      <w:r>
        <w:rPr>
          <w:rFonts w:hint="eastAsia" w:cs="Times New Roman"/>
          <w:szCs w:val="40"/>
        </w:rPr>
        <w:t>市战新</w:t>
      </w:r>
      <w:r>
        <w:rPr>
          <w:rFonts w:cs="Times New Roman"/>
          <w:szCs w:val="40"/>
        </w:rPr>
        <w:t>母基金管理机构要求及时报送相关数据、参与产业发展规划研究、提供产业咨询意见、对具体项目提出研判意见等”的具体安排和保障措施。</w:t>
      </w:r>
    </w:p>
    <w:p w14:paraId="76C2286F">
      <w:pPr>
        <w:pStyle w:val="2"/>
        <w:widowControl w:val="0"/>
        <w:spacing w:after="0"/>
        <w:ind w:firstLine="640"/>
        <w:rPr>
          <w:rFonts w:cs="Times New Roman"/>
          <w:szCs w:val="40"/>
        </w:rPr>
      </w:pPr>
      <w:r>
        <w:rPr>
          <w:rFonts w:cs="Times New Roman"/>
          <w:szCs w:val="40"/>
        </w:rPr>
        <w:t>（2）对接服务郑州的相关内部沟通协调机制的建立情况。</w:t>
      </w:r>
    </w:p>
    <w:p w14:paraId="11962E6D">
      <w:pPr>
        <w:pStyle w:val="2"/>
        <w:widowControl w:val="0"/>
        <w:spacing w:after="0"/>
        <w:ind w:firstLine="640"/>
        <w:rPr>
          <w:rFonts w:cs="Times New Roman"/>
          <w:szCs w:val="40"/>
        </w:rPr>
      </w:pPr>
      <w:r>
        <w:rPr>
          <w:rFonts w:cs="Times New Roman"/>
          <w:szCs w:val="40"/>
        </w:rPr>
        <w:t>（3）在郑州设置常驻专业人士的情况或拟设安排，对子基金事务响应及时性的保障措施。</w:t>
      </w:r>
    </w:p>
    <w:p w14:paraId="497FC811">
      <w:pPr>
        <w:pStyle w:val="4"/>
        <w:ind w:firstLine="640"/>
        <w:rPr>
          <w:rFonts w:cs="Times New Roman"/>
        </w:rPr>
      </w:pPr>
      <w:r>
        <w:rPr>
          <w:rFonts w:cs="Times New Roman"/>
        </w:rPr>
        <w:t>三、子基金申报方案</w:t>
      </w:r>
    </w:p>
    <w:p w14:paraId="462AFE0E">
      <w:pPr>
        <w:pStyle w:val="2"/>
        <w:widowControl w:val="0"/>
        <w:spacing w:after="0"/>
        <w:ind w:firstLine="560"/>
        <w:rPr>
          <w:rFonts w:eastAsia="楷体" w:cs="Times New Roman"/>
          <w:sz w:val="28"/>
          <w:szCs w:val="28"/>
        </w:rPr>
      </w:pPr>
      <w:r>
        <w:rPr>
          <w:rFonts w:eastAsia="楷体" w:cs="Times New Roman"/>
          <w:sz w:val="28"/>
          <w:szCs w:val="28"/>
        </w:rPr>
        <w:t>注：请</w:t>
      </w:r>
      <w:r>
        <w:rPr>
          <w:rFonts w:eastAsia="楷体" w:cs="Times New Roman"/>
          <w:b/>
          <w:bCs/>
          <w:sz w:val="28"/>
          <w:szCs w:val="28"/>
        </w:rPr>
        <w:t>严格对照</w:t>
      </w:r>
      <w:r>
        <w:rPr>
          <w:rFonts w:eastAsia="楷体" w:cs="Times New Roman"/>
          <w:sz w:val="28"/>
          <w:szCs w:val="28"/>
        </w:rPr>
        <w:t>申报指南“二、子基金方案申报要求”内容，</w:t>
      </w:r>
      <w:r>
        <w:rPr>
          <w:rFonts w:eastAsia="楷体" w:cs="Times New Roman"/>
          <w:b/>
          <w:bCs/>
          <w:sz w:val="28"/>
          <w:szCs w:val="28"/>
        </w:rPr>
        <w:t>逐条</w:t>
      </w:r>
      <w:r>
        <w:rPr>
          <w:rFonts w:eastAsia="楷体" w:cs="Times New Roman"/>
          <w:sz w:val="28"/>
          <w:szCs w:val="28"/>
        </w:rPr>
        <w:t>提出明确、可量化、有竞争力的安排和阐述。</w:t>
      </w:r>
    </w:p>
    <w:p w14:paraId="7A613CAB">
      <w:pPr>
        <w:pStyle w:val="5"/>
        <w:rPr>
          <w:rFonts w:eastAsia="楷体"/>
          <w:lang w:bidi="ar"/>
        </w:rPr>
      </w:pPr>
      <w:r>
        <w:rPr>
          <w:rFonts w:hint="eastAsia" w:eastAsia="楷体"/>
          <w:lang w:bidi="ar"/>
        </w:rPr>
        <w:t>（一）子基金设立背景与意义</w:t>
      </w:r>
    </w:p>
    <w:p w14:paraId="7F61674D">
      <w:pPr>
        <w:pStyle w:val="5"/>
        <w:rPr>
          <w:rFonts w:eastAsia="楷体"/>
          <w:lang w:bidi="ar"/>
        </w:rPr>
      </w:pPr>
      <w:r>
        <w:rPr>
          <w:rFonts w:hint="eastAsia" w:eastAsia="楷体"/>
          <w:lang w:bidi="ar"/>
        </w:rPr>
        <w:t>（二）子基金名称（拟定）</w:t>
      </w:r>
    </w:p>
    <w:p w14:paraId="56C4E67D">
      <w:pPr>
        <w:pStyle w:val="5"/>
        <w:rPr>
          <w:rFonts w:eastAsia="楷体"/>
          <w:lang w:bidi="ar"/>
        </w:rPr>
      </w:pPr>
      <w:r>
        <w:rPr>
          <w:rFonts w:hint="eastAsia" w:eastAsia="楷体"/>
          <w:lang w:bidi="ar"/>
        </w:rPr>
        <w:t>（三）申报管理机构</w:t>
      </w:r>
    </w:p>
    <w:p w14:paraId="5ACB2A71">
      <w:pPr>
        <w:pStyle w:val="2"/>
        <w:widowControl w:val="0"/>
        <w:spacing w:after="0"/>
        <w:ind w:firstLine="640"/>
        <w:rPr>
          <w:rFonts w:cs="Times New Roman"/>
          <w:szCs w:val="40"/>
        </w:rPr>
      </w:pPr>
      <w:r>
        <w:rPr>
          <w:rFonts w:cs="Times New Roman"/>
          <w:szCs w:val="40"/>
        </w:rPr>
        <w:t>如</w:t>
      </w:r>
      <w:r>
        <w:rPr>
          <w:rFonts w:hint="eastAsia" w:cs="Times New Roman"/>
          <w:szCs w:val="40"/>
        </w:rPr>
        <w:t>子基金管理架构模式为双执伙、双普通合伙人、管理人和GP分离等情况的</w:t>
      </w:r>
      <w:r>
        <w:rPr>
          <w:rFonts w:cs="Times New Roman"/>
          <w:szCs w:val="40"/>
        </w:rPr>
        <w:t>，应对各申报主体在子基金中的职能角色、分工安排、协同机制、费用分配机制等方面进行说明。</w:t>
      </w:r>
    </w:p>
    <w:p w14:paraId="3F281382">
      <w:pPr>
        <w:pStyle w:val="5"/>
        <w:rPr>
          <w:rFonts w:eastAsia="楷体"/>
          <w:lang w:bidi="ar"/>
        </w:rPr>
      </w:pPr>
      <w:r>
        <w:rPr>
          <w:rFonts w:hint="eastAsia" w:eastAsia="楷体"/>
          <w:lang w:bidi="ar"/>
        </w:rPr>
        <w:t>（四）组织形式</w:t>
      </w:r>
    </w:p>
    <w:p w14:paraId="7F812FA0">
      <w:pPr>
        <w:pStyle w:val="2"/>
        <w:widowControl w:val="0"/>
        <w:spacing w:after="0"/>
        <w:ind w:firstLine="640"/>
        <w:rPr>
          <w:rFonts w:cs="Times New Roman"/>
          <w:szCs w:val="40"/>
        </w:rPr>
      </w:pPr>
      <w:r>
        <w:rPr>
          <w:rFonts w:cs="Times New Roman"/>
          <w:szCs w:val="40"/>
        </w:rPr>
        <w:t>原则上采取有限合伙制（若采取公司制请说明理由）。</w:t>
      </w:r>
    </w:p>
    <w:p w14:paraId="1A0CFF51">
      <w:pPr>
        <w:pStyle w:val="5"/>
        <w:rPr>
          <w:rFonts w:eastAsia="楷体"/>
          <w:lang w:bidi="ar"/>
        </w:rPr>
      </w:pPr>
      <w:r>
        <w:rPr>
          <w:rFonts w:hint="eastAsia" w:eastAsia="楷体"/>
          <w:lang w:bidi="ar"/>
        </w:rPr>
        <w:t>（五）注册地址</w:t>
      </w:r>
    </w:p>
    <w:p w14:paraId="7FAB995E">
      <w:pPr>
        <w:pStyle w:val="2"/>
        <w:widowControl w:val="0"/>
        <w:spacing w:after="0"/>
        <w:ind w:firstLine="640"/>
        <w:rPr>
          <w:rFonts w:cs="Times New Roman"/>
          <w:szCs w:val="40"/>
        </w:rPr>
      </w:pPr>
      <w:r>
        <w:rPr>
          <w:rFonts w:cs="Times New Roman"/>
          <w:szCs w:val="40"/>
        </w:rPr>
        <w:t>鼓励注册在郑州市（若注册在外地请说明理由）。</w:t>
      </w:r>
    </w:p>
    <w:p w14:paraId="7527AE45">
      <w:pPr>
        <w:pStyle w:val="5"/>
        <w:rPr>
          <w:rFonts w:eastAsia="楷体"/>
          <w:lang w:bidi="ar"/>
        </w:rPr>
      </w:pPr>
      <w:r>
        <w:rPr>
          <w:rFonts w:hint="eastAsia" w:eastAsia="楷体"/>
          <w:lang w:bidi="ar"/>
        </w:rPr>
        <w:t>（六）存续期限</w:t>
      </w:r>
    </w:p>
    <w:p w14:paraId="0E55887A">
      <w:pPr>
        <w:pStyle w:val="2"/>
        <w:widowControl w:val="0"/>
        <w:spacing w:after="0"/>
        <w:ind w:firstLine="640"/>
        <w:rPr>
          <w:rFonts w:cs="Times New Roman"/>
          <w:szCs w:val="40"/>
        </w:rPr>
      </w:pPr>
      <w:r>
        <w:rPr>
          <w:rFonts w:cs="Times New Roman"/>
          <w:szCs w:val="40"/>
        </w:rPr>
        <w:t>说明子基金存续年限，以及投资期、退出期和延长期安排。</w:t>
      </w:r>
    </w:p>
    <w:p w14:paraId="02616A18">
      <w:pPr>
        <w:pStyle w:val="5"/>
        <w:rPr>
          <w:rFonts w:eastAsia="楷体"/>
          <w:lang w:bidi="ar"/>
        </w:rPr>
      </w:pPr>
      <w:r>
        <w:rPr>
          <w:rFonts w:hint="eastAsia" w:eastAsia="楷体"/>
          <w:lang w:bidi="ar"/>
        </w:rPr>
        <w:t>（七）子基金规模</w:t>
      </w:r>
    </w:p>
    <w:p w14:paraId="6E2FCFEA">
      <w:pPr>
        <w:pStyle w:val="2"/>
        <w:widowControl w:val="0"/>
        <w:spacing w:after="0"/>
        <w:ind w:firstLine="640"/>
        <w:rPr>
          <w:rFonts w:cs="Times New Roman"/>
          <w:szCs w:val="40"/>
        </w:rPr>
      </w:pPr>
      <w:r>
        <w:rPr>
          <w:rFonts w:cs="Times New Roman"/>
          <w:szCs w:val="40"/>
        </w:rPr>
        <w:t>说明基金总规模</w:t>
      </w:r>
      <w:r>
        <w:rPr>
          <w:rFonts w:hint="eastAsia" w:cs="Times New Roman"/>
          <w:szCs w:val="40"/>
        </w:rPr>
        <w:t>及申报机构投资能力的匹配性说明</w:t>
      </w:r>
      <w:r>
        <w:rPr>
          <w:rFonts w:cs="Times New Roman"/>
          <w:szCs w:val="40"/>
        </w:rPr>
        <w:t>、</w:t>
      </w:r>
      <w:r>
        <w:rPr>
          <w:rFonts w:hint="eastAsia" w:cs="Times New Roman"/>
          <w:szCs w:val="40"/>
        </w:rPr>
        <w:t>出资</w:t>
      </w:r>
      <w:r>
        <w:rPr>
          <w:rFonts w:cs="Times New Roman"/>
          <w:szCs w:val="40"/>
        </w:rPr>
        <w:t>缴付安排及</w:t>
      </w:r>
      <w:r>
        <w:rPr>
          <w:rFonts w:hint="eastAsia" w:cs="Times New Roman"/>
          <w:szCs w:val="40"/>
        </w:rPr>
        <w:t>其</w:t>
      </w:r>
      <w:r>
        <w:rPr>
          <w:rFonts w:cs="Times New Roman"/>
          <w:szCs w:val="40"/>
        </w:rPr>
        <w:t>合理性（可结合储备项目、投资进度等方面）。</w:t>
      </w:r>
    </w:p>
    <w:p w14:paraId="3B4842DD">
      <w:pPr>
        <w:pStyle w:val="5"/>
        <w:rPr>
          <w:rFonts w:eastAsia="楷体"/>
          <w:lang w:bidi="ar"/>
        </w:rPr>
      </w:pPr>
      <w:r>
        <w:rPr>
          <w:rFonts w:hint="eastAsia" w:eastAsia="楷体"/>
          <w:lang w:bidi="ar"/>
        </w:rPr>
        <w:t>（八）出资结构</w:t>
      </w:r>
    </w:p>
    <w:p w14:paraId="5E39F69E">
      <w:pPr>
        <w:pStyle w:val="2"/>
        <w:widowControl w:val="0"/>
        <w:spacing w:after="0"/>
        <w:ind w:firstLine="640"/>
        <w:rPr>
          <w:rFonts w:cs="Times New Roman"/>
          <w:szCs w:val="40"/>
        </w:rPr>
      </w:pPr>
      <w:r>
        <w:rPr>
          <w:rFonts w:cs="Times New Roman"/>
          <w:szCs w:val="40"/>
        </w:rPr>
        <w:t>1.拟申请额度</w:t>
      </w:r>
    </w:p>
    <w:p w14:paraId="70B6FF89">
      <w:pPr>
        <w:pStyle w:val="2"/>
        <w:widowControl w:val="0"/>
        <w:spacing w:after="0"/>
        <w:ind w:firstLine="640"/>
        <w:rPr>
          <w:rFonts w:cs="Times New Roman"/>
          <w:szCs w:val="40"/>
        </w:rPr>
      </w:pPr>
      <w:r>
        <w:rPr>
          <w:rFonts w:cs="Times New Roman"/>
          <w:szCs w:val="40"/>
        </w:rPr>
        <w:t>拟申请市战新母基金的出资额度和相应出资比例。</w:t>
      </w:r>
    </w:p>
    <w:p w14:paraId="37761971">
      <w:pPr>
        <w:pStyle w:val="2"/>
        <w:widowControl w:val="0"/>
        <w:spacing w:after="0"/>
        <w:ind w:firstLine="640"/>
        <w:rPr>
          <w:rFonts w:cs="Times New Roman"/>
          <w:szCs w:val="40"/>
        </w:rPr>
      </w:pPr>
      <w:r>
        <w:rPr>
          <w:rFonts w:cs="Times New Roman"/>
          <w:szCs w:val="40"/>
        </w:rPr>
        <w:t>2.出资架构</w:t>
      </w:r>
    </w:p>
    <w:p w14:paraId="48BAC277">
      <w:pPr>
        <w:pStyle w:val="2"/>
        <w:widowControl w:val="0"/>
        <w:spacing w:after="0"/>
        <w:ind w:firstLine="640"/>
        <w:rPr>
          <w:rFonts w:cs="Times New Roman"/>
          <w:szCs w:val="40"/>
        </w:rPr>
      </w:pPr>
      <w:r>
        <w:rPr>
          <w:rFonts w:cs="Times New Roman"/>
          <w:szCs w:val="40"/>
        </w:rPr>
        <w:t>（1）具体安排</w:t>
      </w:r>
    </w:p>
    <w:p w14:paraId="3FC334D5">
      <w:pPr>
        <w:pStyle w:val="2"/>
        <w:widowControl w:val="0"/>
        <w:spacing w:after="0"/>
        <w:ind w:firstLine="640"/>
        <w:rPr>
          <w:rFonts w:cs="Times New Roman"/>
          <w:szCs w:val="40"/>
        </w:rPr>
      </w:pPr>
      <w:r>
        <w:rPr>
          <w:rFonts w:cs="Times New Roman"/>
          <w:szCs w:val="40"/>
        </w:rPr>
        <w:t>子基金出资架构具体安排，并说明是否符合中国证券投资基金业协会备案要求。</w:t>
      </w:r>
    </w:p>
    <w:p w14:paraId="3ECEB4E8">
      <w:pPr>
        <w:pStyle w:val="2"/>
        <w:widowControl w:val="0"/>
        <w:spacing w:after="0"/>
        <w:ind w:firstLine="640"/>
        <w:rPr>
          <w:rFonts w:cs="Times New Roman"/>
          <w:szCs w:val="40"/>
        </w:rPr>
      </w:pPr>
      <w:r>
        <w:rPr>
          <w:rFonts w:cs="Times New Roman"/>
          <w:szCs w:val="40"/>
        </w:rPr>
        <w:t>介绍各出资人，以及出资人的关联关系情况。</w:t>
      </w:r>
    </w:p>
    <w:p w14:paraId="1AFF06D8">
      <w:pPr>
        <w:pStyle w:val="2"/>
        <w:widowControl w:val="0"/>
        <w:spacing w:after="0"/>
        <w:ind w:firstLine="640"/>
        <w:rPr>
          <w:rFonts w:cs="Times New Roman"/>
          <w:szCs w:val="40"/>
        </w:rPr>
      </w:pPr>
      <w:r>
        <w:rPr>
          <w:rFonts w:cs="Times New Roman"/>
          <w:szCs w:val="40"/>
        </w:rPr>
        <w:t>（2）产业资本出资情况</w:t>
      </w:r>
    </w:p>
    <w:p w14:paraId="44B648C9">
      <w:pPr>
        <w:pStyle w:val="2"/>
        <w:widowControl w:val="0"/>
        <w:spacing w:after="0"/>
        <w:ind w:firstLine="640"/>
        <w:rPr>
          <w:rFonts w:cs="Times New Roman"/>
          <w:szCs w:val="40"/>
        </w:rPr>
      </w:pPr>
      <w:r>
        <w:rPr>
          <w:rFonts w:cs="Times New Roman"/>
          <w:szCs w:val="40"/>
        </w:rPr>
        <w:t>说明CVC（企业风险投资）或产业方</w:t>
      </w:r>
      <w:r>
        <w:rPr>
          <w:rFonts w:hint="eastAsia" w:cs="Times New Roman"/>
          <w:szCs w:val="40"/>
        </w:rPr>
        <w:t>及</w:t>
      </w:r>
      <w:r>
        <w:rPr>
          <w:rFonts w:cs="Times New Roman"/>
          <w:szCs w:val="40"/>
        </w:rPr>
        <w:t>其关联方的参与情况，以及相关证明材料。CVC出资的，应说明CVC及其主要股东在</w:t>
      </w:r>
      <w:r>
        <w:rPr>
          <w:rFonts w:hint="eastAsia" w:cs="Times New Roman"/>
          <w:szCs w:val="40"/>
        </w:rPr>
        <w:t>主要投资领域产业</w:t>
      </w:r>
      <w:r>
        <w:rPr>
          <w:rFonts w:cs="Times New Roman"/>
          <w:szCs w:val="40"/>
        </w:rPr>
        <w:t>方向的投资经验（包括但不限于投资项目名称、投资项目和投资规模等，可列表说明）；产业方出资的，应说明产业方业务范围与</w:t>
      </w:r>
      <w:r>
        <w:rPr>
          <w:rFonts w:hint="eastAsia" w:cs="Times New Roman"/>
          <w:szCs w:val="40"/>
        </w:rPr>
        <w:t>主要投资领域产业</w:t>
      </w:r>
      <w:r>
        <w:rPr>
          <w:rFonts w:cs="Times New Roman"/>
          <w:szCs w:val="40"/>
        </w:rPr>
        <w:t>的关联性，并介绍产业方过往三年在该产业领域的相关投入（包括但不限于研发、生产、并购、股权投资等投入）。</w:t>
      </w:r>
    </w:p>
    <w:p w14:paraId="20132954">
      <w:pPr>
        <w:pStyle w:val="5"/>
        <w:rPr>
          <w:rFonts w:eastAsia="楷体"/>
          <w:lang w:bidi="ar"/>
        </w:rPr>
      </w:pPr>
      <w:r>
        <w:rPr>
          <w:rFonts w:hint="eastAsia" w:eastAsia="楷体"/>
          <w:lang w:bidi="ar"/>
        </w:rPr>
        <w:t>（九）出资要求</w:t>
      </w:r>
    </w:p>
    <w:p w14:paraId="1A253AFC">
      <w:pPr>
        <w:pStyle w:val="2"/>
        <w:widowControl w:val="0"/>
        <w:spacing w:after="0"/>
        <w:ind w:firstLine="640"/>
        <w:rPr>
          <w:rFonts w:cs="Times New Roman"/>
          <w:szCs w:val="40"/>
        </w:rPr>
      </w:pPr>
      <w:r>
        <w:rPr>
          <w:rFonts w:cs="Times New Roman"/>
          <w:szCs w:val="40"/>
        </w:rPr>
        <w:t>1.资金募集能力</w:t>
      </w:r>
    </w:p>
    <w:p w14:paraId="21548341">
      <w:pPr>
        <w:pStyle w:val="2"/>
        <w:widowControl w:val="0"/>
        <w:spacing w:after="0"/>
        <w:ind w:firstLine="640"/>
        <w:rPr>
          <w:rFonts w:cs="Times New Roman"/>
          <w:szCs w:val="40"/>
        </w:rPr>
      </w:pPr>
      <w:r>
        <w:rPr>
          <w:rFonts w:cs="Times New Roman"/>
          <w:szCs w:val="40"/>
        </w:rPr>
        <w:t>说明各出资人出资能力并提供证明材料，说明各出资方出资意向函的取得情况（不得低于子基金</w:t>
      </w:r>
      <w:r>
        <w:rPr>
          <w:rFonts w:hint="eastAsia" w:cs="Times New Roman"/>
          <w:szCs w:val="40"/>
        </w:rPr>
        <w:t>注册</w:t>
      </w:r>
      <w:r>
        <w:rPr>
          <w:rFonts w:cs="Times New Roman"/>
          <w:szCs w:val="40"/>
        </w:rPr>
        <w:t>规模的2</w:t>
      </w:r>
      <w:r>
        <w:rPr>
          <w:rFonts w:hint="eastAsia" w:cs="Times New Roman"/>
          <w:szCs w:val="40"/>
        </w:rPr>
        <w:t>0</w:t>
      </w:r>
      <w:r>
        <w:rPr>
          <w:rFonts w:cs="Times New Roman"/>
          <w:szCs w:val="40"/>
        </w:rPr>
        <w:t>%</w:t>
      </w:r>
      <w:r>
        <w:rPr>
          <w:rFonts w:hint="eastAsia" w:cs="Times New Roman"/>
          <w:szCs w:val="40"/>
        </w:rPr>
        <w:t>，已设基金提供合伙协议即可</w:t>
      </w:r>
      <w:r>
        <w:rPr>
          <w:rFonts w:cs="Times New Roman"/>
          <w:szCs w:val="40"/>
        </w:rPr>
        <w:t>）；明确说明各出资方的确定性及决策进度情况。</w:t>
      </w:r>
    </w:p>
    <w:p w14:paraId="423C26CF">
      <w:pPr>
        <w:pStyle w:val="2"/>
        <w:widowControl w:val="0"/>
        <w:spacing w:after="0"/>
        <w:ind w:firstLine="640"/>
        <w:rPr>
          <w:rFonts w:cs="Times New Roman"/>
          <w:szCs w:val="40"/>
        </w:rPr>
      </w:pPr>
      <w:r>
        <w:rPr>
          <w:rFonts w:cs="Times New Roman"/>
          <w:szCs w:val="40"/>
        </w:rPr>
        <w:t>2.出资顺序</w:t>
      </w:r>
    </w:p>
    <w:p w14:paraId="18A9B702">
      <w:pPr>
        <w:pStyle w:val="2"/>
        <w:widowControl w:val="0"/>
        <w:spacing w:after="0"/>
        <w:ind w:firstLine="640"/>
        <w:rPr>
          <w:rFonts w:cs="Times New Roman"/>
          <w:szCs w:val="40"/>
        </w:rPr>
      </w:pPr>
      <w:r>
        <w:rPr>
          <w:rFonts w:cs="Times New Roman"/>
          <w:szCs w:val="40"/>
        </w:rPr>
        <w:t>说明各出资人出资顺序。</w:t>
      </w:r>
    </w:p>
    <w:p w14:paraId="41DE791B">
      <w:pPr>
        <w:pStyle w:val="2"/>
        <w:widowControl w:val="0"/>
        <w:spacing w:after="0"/>
        <w:ind w:firstLine="640"/>
        <w:rPr>
          <w:rFonts w:cs="Times New Roman"/>
          <w:szCs w:val="40"/>
        </w:rPr>
      </w:pPr>
      <w:r>
        <w:rPr>
          <w:rFonts w:cs="Times New Roman"/>
          <w:szCs w:val="40"/>
        </w:rPr>
        <w:t>3.管理机构</w:t>
      </w:r>
      <w:r>
        <w:rPr>
          <w:rFonts w:hint="eastAsia" w:cs="Times New Roman"/>
          <w:szCs w:val="40"/>
        </w:rPr>
        <w:t>及其关联方</w:t>
      </w:r>
      <w:r>
        <w:rPr>
          <w:rFonts w:cs="Times New Roman"/>
          <w:szCs w:val="40"/>
        </w:rPr>
        <w:t>出资情况</w:t>
      </w:r>
    </w:p>
    <w:p w14:paraId="0ED8CF30">
      <w:pPr>
        <w:pStyle w:val="2"/>
        <w:widowControl w:val="0"/>
        <w:spacing w:after="0"/>
        <w:ind w:firstLine="640"/>
        <w:rPr>
          <w:rFonts w:cs="Times New Roman"/>
          <w:szCs w:val="40"/>
        </w:rPr>
      </w:pPr>
      <w:r>
        <w:rPr>
          <w:rFonts w:cs="Times New Roman"/>
          <w:szCs w:val="40"/>
        </w:rPr>
        <w:t>说明管理机构</w:t>
      </w:r>
      <w:r>
        <w:rPr>
          <w:rFonts w:hint="eastAsia" w:cs="Times New Roman"/>
          <w:szCs w:val="40"/>
        </w:rPr>
        <w:t>及</w:t>
      </w:r>
      <w:r>
        <w:rPr>
          <w:rFonts w:cs="Times New Roman"/>
          <w:szCs w:val="40"/>
        </w:rPr>
        <w:t>其关联方</w:t>
      </w:r>
      <w:r>
        <w:rPr>
          <w:rFonts w:hint="eastAsia" w:cs="Times New Roman"/>
          <w:szCs w:val="40"/>
        </w:rPr>
        <w:t>，</w:t>
      </w:r>
      <w:r>
        <w:rPr>
          <w:rFonts w:cs="Times New Roman"/>
          <w:szCs w:val="40"/>
        </w:rPr>
        <w:t>单独或合计在子基金中认缴的出资比例（不得低于子基金</w:t>
      </w:r>
      <w:r>
        <w:rPr>
          <w:rFonts w:hint="eastAsia" w:cs="Times New Roman"/>
          <w:szCs w:val="40"/>
        </w:rPr>
        <w:t>注册</w:t>
      </w:r>
      <w:r>
        <w:rPr>
          <w:rFonts w:cs="Times New Roman"/>
          <w:szCs w:val="40"/>
        </w:rPr>
        <w:t>规模的1%）。</w:t>
      </w:r>
    </w:p>
    <w:p w14:paraId="2E9117C4">
      <w:pPr>
        <w:pStyle w:val="5"/>
        <w:rPr>
          <w:rFonts w:eastAsia="楷体"/>
          <w:lang w:bidi="ar"/>
        </w:rPr>
      </w:pPr>
      <w:r>
        <w:rPr>
          <w:rFonts w:hint="eastAsia" w:eastAsia="楷体"/>
          <w:lang w:bidi="ar"/>
        </w:rPr>
        <w:t>（十）投资领域</w:t>
      </w:r>
    </w:p>
    <w:p w14:paraId="0F497DF1">
      <w:pPr>
        <w:pStyle w:val="2"/>
        <w:widowControl w:val="0"/>
        <w:spacing w:after="0"/>
        <w:ind w:firstLine="640"/>
        <w:rPr>
          <w:rFonts w:cs="Times New Roman"/>
          <w:szCs w:val="40"/>
        </w:rPr>
      </w:pPr>
      <w:r>
        <w:rPr>
          <w:rFonts w:hint="eastAsia" w:cs="Times New Roman"/>
          <w:szCs w:val="40"/>
        </w:rPr>
        <w:t>说明主要投资方向是否符合遴选公告相关要求，以及子基金投资中的占比。</w:t>
      </w:r>
    </w:p>
    <w:p w14:paraId="117141D2">
      <w:pPr>
        <w:pStyle w:val="5"/>
        <w:rPr>
          <w:rFonts w:eastAsia="楷体"/>
          <w:lang w:bidi="ar"/>
        </w:rPr>
      </w:pPr>
      <w:r>
        <w:rPr>
          <w:rFonts w:hint="eastAsia" w:eastAsia="楷体"/>
          <w:lang w:bidi="ar"/>
        </w:rPr>
        <w:t>（十一）投资要求</w:t>
      </w:r>
    </w:p>
    <w:p w14:paraId="40F6E2C4">
      <w:pPr>
        <w:pStyle w:val="2"/>
        <w:spacing w:after="0"/>
        <w:ind w:firstLine="640"/>
        <w:rPr>
          <w:rFonts w:cs="Times New Roman"/>
          <w:szCs w:val="40"/>
        </w:rPr>
      </w:pPr>
      <w:r>
        <w:rPr>
          <w:rFonts w:cs="Times New Roman"/>
          <w:szCs w:val="40"/>
        </w:rPr>
        <w:t>说明子基金对单个项目投资金额上限、投资比例上限等，以及相应投资决策机制。</w:t>
      </w:r>
    </w:p>
    <w:p w14:paraId="5A664BFF">
      <w:pPr>
        <w:pStyle w:val="5"/>
        <w:rPr>
          <w:rFonts w:eastAsia="楷体"/>
          <w:lang w:bidi="ar"/>
        </w:rPr>
      </w:pPr>
      <w:r>
        <w:rPr>
          <w:rFonts w:hint="eastAsia" w:eastAsia="楷体"/>
          <w:lang w:bidi="ar"/>
        </w:rPr>
        <w:t>（十二）子基金管理费</w:t>
      </w:r>
    </w:p>
    <w:p w14:paraId="217E6AD4">
      <w:pPr>
        <w:pStyle w:val="2"/>
        <w:widowControl w:val="0"/>
        <w:spacing w:after="0"/>
        <w:ind w:firstLine="640"/>
        <w:rPr>
          <w:rFonts w:cs="Times New Roman"/>
          <w:szCs w:val="40"/>
        </w:rPr>
      </w:pPr>
      <w:r>
        <w:rPr>
          <w:rFonts w:cs="Times New Roman"/>
          <w:szCs w:val="40"/>
        </w:rPr>
        <w:t>分别说明投资期、退出期</w:t>
      </w:r>
      <w:r>
        <w:rPr>
          <w:rFonts w:hint="eastAsia" w:cs="Times New Roman"/>
          <w:szCs w:val="40"/>
        </w:rPr>
        <w:t>及延长期（如有）</w:t>
      </w:r>
      <w:r>
        <w:rPr>
          <w:rFonts w:cs="Times New Roman"/>
          <w:szCs w:val="40"/>
        </w:rPr>
        <w:t>的管理费（含执伙费）安排，包括但不限于计算基数、费率、考核挂钩机制等。</w:t>
      </w:r>
    </w:p>
    <w:p w14:paraId="09D4FDCB">
      <w:pPr>
        <w:pStyle w:val="5"/>
        <w:rPr>
          <w:rFonts w:eastAsia="楷体"/>
          <w:lang w:bidi="ar"/>
        </w:rPr>
      </w:pPr>
      <w:r>
        <w:rPr>
          <w:rFonts w:hint="eastAsia" w:eastAsia="楷体"/>
          <w:lang w:bidi="ar"/>
        </w:rPr>
        <w:t>（十三）收益分配方式</w:t>
      </w:r>
    </w:p>
    <w:p w14:paraId="4B18FFC1">
      <w:pPr>
        <w:pStyle w:val="2"/>
        <w:widowControl w:val="0"/>
        <w:spacing w:after="0"/>
        <w:ind w:firstLine="640"/>
        <w:rPr>
          <w:rFonts w:cs="Times New Roman"/>
          <w:szCs w:val="40"/>
        </w:rPr>
      </w:pPr>
      <w:r>
        <w:rPr>
          <w:rFonts w:cs="Times New Roman"/>
          <w:szCs w:val="40"/>
        </w:rPr>
        <w:t>说明子基金收益分配方式。</w:t>
      </w:r>
    </w:p>
    <w:p w14:paraId="191872FF">
      <w:pPr>
        <w:pStyle w:val="5"/>
        <w:rPr>
          <w:rFonts w:eastAsia="楷体"/>
          <w:lang w:bidi="ar"/>
        </w:rPr>
      </w:pPr>
      <w:bookmarkStart w:id="4" w:name="OLE_LINK14"/>
      <w:r>
        <w:rPr>
          <w:rFonts w:hint="eastAsia" w:eastAsia="楷体"/>
          <w:lang w:bidi="ar"/>
        </w:rPr>
        <w:t>（十四）返投计划</w:t>
      </w:r>
    </w:p>
    <w:bookmarkEnd w:id="4"/>
    <w:p w14:paraId="5A0058FB">
      <w:pPr>
        <w:pStyle w:val="2"/>
        <w:widowControl w:val="0"/>
        <w:kinsoku/>
        <w:spacing w:after="0"/>
        <w:ind w:firstLine="640"/>
        <w:rPr>
          <w:rFonts w:cs="Times New Roman"/>
          <w:szCs w:val="40"/>
        </w:rPr>
      </w:pPr>
      <w:r>
        <w:rPr>
          <w:rFonts w:cs="Times New Roman"/>
          <w:szCs w:val="40"/>
        </w:rPr>
        <w:t>说明</w:t>
      </w:r>
      <w:r>
        <w:rPr>
          <w:rFonts w:hint="eastAsia" w:cs="Times New Roman"/>
          <w:szCs w:val="40"/>
        </w:rPr>
        <w:t>子基金的返投安排</w:t>
      </w:r>
      <w:r>
        <w:rPr>
          <w:rFonts w:cs="Times New Roman"/>
          <w:szCs w:val="40"/>
        </w:rPr>
        <w:t>。如在子基金存续期内培育、引入“专精特新小巨人”、“独角兽”以及“上市公司”的，应说明引入数量、项目具体情况等，并出具承诺文件。</w:t>
      </w:r>
    </w:p>
    <w:p w14:paraId="5A6285CD">
      <w:pPr>
        <w:pStyle w:val="5"/>
        <w:rPr>
          <w:rFonts w:eastAsia="楷体"/>
          <w:lang w:bidi="ar"/>
        </w:rPr>
      </w:pPr>
      <w:r>
        <w:rPr>
          <w:rFonts w:hint="eastAsia" w:eastAsia="楷体"/>
          <w:lang w:bidi="ar"/>
        </w:rPr>
        <w:t>（十五）基金运作机制</w:t>
      </w:r>
    </w:p>
    <w:p w14:paraId="10B3E38A">
      <w:pPr>
        <w:pStyle w:val="2"/>
        <w:widowControl w:val="0"/>
        <w:spacing w:after="0"/>
        <w:ind w:firstLine="640"/>
        <w:rPr>
          <w:rFonts w:cs="Times New Roman"/>
          <w:szCs w:val="40"/>
        </w:rPr>
      </w:pPr>
      <w:r>
        <w:rPr>
          <w:rFonts w:cs="Times New Roman"/>
          <w:szCs w:val="40"/>
        </w:rPr>
        <w:t>1.决策机制</w:t>
      </w:r>
    </w:p>
    <w:p w14:paraId="602CE558">
      <w:pPr>
        <w:pStyle w:val="2"/>
        <w:widowControl w:val="0"/>
        <w:kinsoku/>
        <w:spacing w:after="0"/>
        <w:ind w:firstLine="640"/>
        <w:rPr>
          <w:rFonts w:cs="Times New Roman"/>
          <w:szCs w:val="40"/>
        </w:rPr>
      </w:pPr>
      <w:r>
        <w:rPr>
          <w:rFonts w:cs="Times New Roman"/>
          <w:szCs w:val="40"/>
        </w:rPr>
        <w:t>说明子基金股东会与董事会、合伙人大会与投资决策委员会、咨询委员会（如有）权责划分。</w:t>
      </w:r>
    </w:p>
    <w:p w14:paraId="3567545C">
      <w:pPr>
        <w:pStyle w:val="2"/>
        <w:widowControl w:val="0"/>
        <w:spacing w:after="0"/>
        <w:ind w:firstLine="640"/>
        <w:rPr>
          <w:rFonts w:cs="Times New Roman"/>
          <w:szCs w:val="40"/>
        </w:rPr>
      </w:pPr>
      <w:r>
        <w:rPr>
          <w:rFonts w:cs="Times New Roman"/>
          <w:szCs w:val="40"/>
        </w:rPr>
        <w:t>说明投资决策委员会成员构成及决策机制，分析其科学性、合理性。</w:t>
      </w:r>
    </w:p>
    <w:p w14:paraId="581C1CC5">
      <w:pPr>
        <w:pStyle w:val="2"/>
        <w:widowControl w:val="0"/>
        <w:spacing w:after="0"/>
        <w:ind w:firstLine="640"/>
        <w:rPr>
          <w:rFonts w:cs="Times New Roman"/>
          <w:szCs w:val="40"/>
        </w:rPr>
      </w:pPr>
      <w:r>
        <w:rPr>
          <w:rFonts w:cs="Times New Roman"/>
          <w:szCs w:val="40"/>
        </w:rPr>
        <w:t>2.投资策略</w:t>
      </w:r>
    </w:p>
    <w:p w14:paraId="4988991E">
      <w:pPr>
        <w:pStyle w:val="2"/>
        <w:widowControl w:val="0"/>
        <w:spacing w:after="0"/>
        <w:ind w:firstLine="640"/>
        <w:rPr>
          <w:rFonts w:cs="Times New Roman"/>
          <w:szCs w:val="40"/>
        </w:rPr>
      </w:pPr>
      <w:r>
        <w:rPr>
          <w:rFonts w:cs="Times New Roman"/>
          <w:szCs w:val="40"/>
        </w:rPr>
        <w:t>说明</w:t>
      </w:r>
      <w:r>
        <w:rPr>
          <w:rFonts w:hint="eastAsia" w:cs="Times New Roman"/>
          <w:szCs w:val="40"/>
        </w:rPr>
        <w:t>投资</w:t>
      </w:r>
      <w:r>
        <w:rPr>
          <w:rFonts w:cs="Times New Roman"/>
          <w:szCs w:val="40"/>
        </w:rPr>
        <w:t>领域、投资</w:t>
      </w:r>
      <w:r>
        <w:rPr>
          <w:rFonts w:hint="eastAsia" w:cs="Times New Roman"/>
          <w:szCs w:val="40"/>
        </w:rPr>
        <w:t>逻辑、</w:t>
      </w:r>
      <w:r>
        <w:rPr>
          <w:rFonts w:cs="Times New Roman"/>
          <w:szCs w:val="40"/>
        </w:rPr>
        <w:t>产业链内重点布局环节、投资阶段、目标项目标准、地域等。</w:t>
      </w:r>
    </w:p>
    <w:p w14:paraId="1866EECA">
      <w:pPr>
        <w:pStyle w:val="2"/>
        <w:widowControl w:val="0"/>
        <w:spacing w:after="0"/>
        <w:ind w:firstLine="640"/>
        <w:rPr>
          <w:rFonts w:cs="Times New Roman"/>
          <w:szCs w:val="40"/>
        </w:rPr>
      </w:pPr>
      <w:r>
        <w:rPr>
          <w:rFonts w:cs="Times New Roman"/>
          <w:szCs w:val="40"/>
        </w:rPr>
        <w:t>3.项目开发机制</w:t>
      </w:r>
    </w:p>
    <w:p w14:paraId="3FE37B86">
      <w:pPr>
        <w:pStyle w:val="2"/>
        <w:widowControl w:val="0"/>
        <w:spacing w:after="0"/>
        <w:ind w:firstLine="640"/>
        <w:rPr>
          <w:rFonts w:cs="Times New Roman"/>
          <w:szCs w:val="40"/>
        </w:rPr>
      </w:pPr>
      <w:r>
        <w:rPr>
          <w:rFonts w:cs="Times New Roman"/>
          <w:szCs w:val="40"/>
        </w:rPr>
        <w:t>结合子基金投资方向及团队构成特点，说明项目来源渠道、项目筛选程序。</w:t>
      </w:r>
    </w:p>
    <w:p w14:paraId="150689BE">
      <w:pPr>
        <w:pStyle w:val="2"/>
        <w:widowControl w:val="0"/>
        <w:spacing w:after="0"/>
        <w:ind w:firstLine="640"/>
        <w:rPr>
          <w:rFonts w:cs="Times New Roman"/>
          <w:szCs w:val="40"/>
        </w:rPr>
      </w:pPr>
      <w:bookmarkStart w:id="5" w:name="OLE_LINK21"/>
      <w:r>
        <w:rPr>
          <w:rFonts w:cs="Times New Roman"/>
          <w:szCs w:val="40"/>
        </w:rPr>
        <w:t>4.投后管理</w:t>
      </w:r>
    </w:p>
    <w:bookmarkEnd w:id="5"/>
    <w:p w14:paraId="36DEEB22">
      <w:pPr>
        <w:pStyle w:val="2"/>
        <w:widowControl w:val="0"/>
        <w:spacing w:after="0"/>
        <w:ind w:firstLine="640"/>
        <w:rPr>
          <w:rFonts w:cs="Times New Roman"/>
          <w:szCs w:val="40"/>
        </w:rPr>
      </w:pPr>
      <w:r>
        <w:rPr>
          <w:rFonts w:cs="Times New Roman"/>
          <w:szCs w:val="40"/>
        </w:rPr>
        <w:t>详细说明投后管理机制，包括但不限于对</w:t>
      </w:r>
      <w:r>
        <w:rPr>
          <w:rFonts w:hint="eastAsia" w:cs="Times New Roman"/>
          <w:szCs w:val="40"/>
        </w:rPr>
        <w:t>参与</w:t>
      </w:r>
      <w:r>
        <w:rPr>
          <w:rFonts w:cs="Times New Roman"/>
          <w:szCs w:val="40"/>
        </w:rPr>
        <w:t>被投企业三会、定期走访、项目跟踪与监控指标、重大事项评估等。</w:t>
      </w:r>
    </w:p>
    <w:p w14:paraId="20EF382B">
      <w:pPr>
        <w:widowControl w:val="0"/>
      </w:pPr>
      <w:r>
        <w:rPr>
          <w:rFonts w:hint="eastAsia"/>
        </w:rPr>
        <w:t>说明向市战新母基金信息披露情况，包括不限于披露形式、内容、频次等。</w:t>
      </w:r>
    </w:p>
    <w:p w14:paraId="144A81AC">
      <w:pPr>
        <w:pStyle w:val="2"/>
        <w:widowControl w:val="0"/>
        <w:spacing w:after="0"/>
        <w:ind w:firstLine="640"/>
        <w:rPr>
          <w:rFonts w:cs="Times New Roman"/>
          <w:szCs w:val="40"/>
        </w:rPr>
      </w:pPr>
      <w:r>
        <w:rPr>
          <w:rFonts w:cs="Times New Roman"/>
          <w:szCs w:val="40"/>
        </w:rPr>
        <w:t>5.退出策略</w:t>
      </w:r>
    </w:p>
    <w:p w14:paraId="095D51DE">
      <w:pPr>
        <w:pStyle w:val="2"/>
        <w:widowControl w:val="0"/>
        <w:spacing w:after="0"/>
        <w:ind w:firstLine="640"/>
        <w:rPr>
          <w:rFonts w:cs="Times New Roman"/>
          <w:szCs w:val="40"/>
        </w:rPr>
      </w:pPr>
      <w:r>
        <w:rPr>
          <w:rFonts w:cs="Times New Roman"/>
          <w:szCs w:val="40"/>
        </w:rPr>
        <w:t>根据子基金的投资策略和投资方向，结合自身优势，说明本只子基金的退出策略（包括不局限于IPO退出等）。</w:t>
      </w:r>
    </w:p>
    <w:p w14:paraId="5C1A75D5">
      <w:pPr>
        <w:pStyle w:val="5"/>
        <w:rPr>
          <w:rFonts w:eastAsia="楷体"/>
          <w:lang w:bidi="ar"/>
        </w:rPr>
      </w:pPr>
      <w:r>
        <w:rPr>
          <w:rFonts w:hint="eastAsia" w:eastAsia="楷体"/>
          <w:lang w:bidi="ar"/>
        </w:rPr>
        <w:t>（十六）绩效考核评价</w:t>
      </w:r>
    </w:p>
    <w:p w14:paraId="7E275174">
      <w:r>
        <w:rPr>
          <w:rFonts w:hint="eastAsia"/>
        </w:rPr>
        <w:t>说明按照市战新母基金要求，配合市战新母基金管理机构定期开展子基金绩效考核评价工作。</w:t>
      </w:r>
    </w:p>
    <w:p w14:paraId="456CD09E">
      <w:pPr>
        <w:pStyle w:val="5"/>
        <w:rPr>
          <w:rFonts w:eastAsia="楷体"/>
          <w:lang w:bidi="ar"/>
        </w:rPr>
      </w:pPr>
      <w:r>
        <w:rPr>
          <w:rFonts w:hint="eastAsia" w:eastAsia="楷体"/>
          <w:lang w:bidi="ar"/>
        </w:rPr>
        <w:t>（十七）风险防范</w:t>
      </w:r>
    </w:p>
    <w:p w14:paraId="7A8C1270">
      <w:pPr>
        <w:pStyle w:val="2"/>
        <w:widowControl w:val="0"/>
        <w:spacing w:after="0"/>
        <w:ind w:firstLine="640"/>
        <w:rPr>
          <w:rFonts w:cs="Times New Roman"/>
          <w:szCs w:val="40"/>
        </w:rPr>
      </w:pPr>
      <w:r>
        <w:rPr>
          <w:rFonts w:cs="Times New Roman"/>
          <w:lang w:bidi="ar"/>
        </w:rPr>
        <w:t>说明本只子基金可能面临的风险，并提出风险防范机制和应对措施。</w:t>
      </w:r>
    </w:p>
    <w:p w14:paraId="6AAC591B">
      <w:pPr>
        <w:pStyle w:val="5"/>
        <w:rPr>
          <w:rFonts w:eastAsia="楷体"/>
          <w:lang w:bidi="ar"/>
        </w:rPr>
      </w:pPr>
      <w:r>
        <w:rPr>
          <w:rFonts w:hint="eastAsia" w:eastAsia="楷体"/>
          <w:lang w:bidi="ar"/>
        </w:rPr>
        <w:t>（十八）限制性安排及要求</w:t>
      </w:r>
    </w:p>
    <w:p w14:paraId="70E35BEA">
      <w:pPr>
        <w:pStyle w:val="2"/>
        <w:widowControl w:val="0"/>
        <w:spacing w:after="0"/>
        <w:ind w:firstLine="640"/>
        <w:rPr>
          <w:rFonts w:cs="Times New Roman"/>
          <w:szCs w:val="40"/>
        </w:rPr>
      </w:pPr>
      <w:r>
        <w:rPr>
          <w:rFonts w:cs="Times New Roman"/>
          <w:szCs w:val="40"/>
        </w:rPr>
        <w:t>根据申报指南相关要求细化说明。</w:t>
      </w:r>
    </w:p>
    <w:p w14:paraId="5D4A0A8E">
      <w:pPr>
        <w:pStyle w:val="5"/>
        <w:rPr>
          <w:rFonts w:eastAsia="楷体"/>
          <w:lang w:bidi="ar"/>
        </w:rPr>
      </w:pPr>
      <w:r>
        <w:rPr>
          <w:rFonts w:hint="eastAsia" w:eastAsia="楷体"/>
          <w:lang w:bidi="ar"/>
        </w:rPr>
        <w:t>（十九）需说明的其他内容（如有）</w:t>
      </w:r>
    </w:p>
    <w:p w14:paraId="7C83CED0">
      <w:pPr>
        <w:pStyle w:val="4"/>
        <w:ind w:firstLine="640"/>
        <w:rPr>
          <w:rFonts w:cs="Times New Roman"/>
        </w:rPr>
      </w:pPr>
      <w:r>
        <w:rPr>
          <w:rFonts w:cs="Times New Roman"/>
        </w:rPr>
        <w:t>四、相关承诺、声明以及申报机构证明材料</w:t>
      </w:r>
    </w:p>
    <w:p w14:paraId="67A1EA9C">
      <w:pPr>
        <w:pStyle w:val="2"/>
        <w:widowControl w:val="0"/>
        <w:spacing w:after="0"/>
        <w:ind w:firstLine="560"/>
        <w:rPr>
          <w:rFonts w:eastAsia="楷体" w:cs="Times New Roman"/>
          <w:sz w:val="28"/>
          <w:szCs w:val="28"/>
        </w:rPr>
      </w:pPr>
      <w:r>
        <w:rPr>
          <w:rFonts w:eastAsia="楷体" w:cs="Times New Roman"/>
          <w:sz w:val="28"/>
          <w:szCs w:val="28"/>
        </w:rPr>
        <w:t>注：</w:t>
      </w:r>
      <w:r>
        <w:rPr>
          <w:rFonts w:hint="eastAsia" w:eastAsia="楷体" w:cs="Times New Roman"/>
          <w:sz w:val="28"/>
          <w:szCs w:val="28"/>
        </w:rPr>
        <w:t>子基金管理架构模式为双执伙、双普通合伙人、管理人和GP分离等情况的，非子基金管理人主体参照申报管理人</w:t>
      </w:r>
      <w:r>
        <w:rPr>
          <w:rFonts w:eastAsia="楷体" w:cs="Times New Roman"/>
          <w:sz w:val="28"/>
          <w:szCs w:val="28"/>
        </w:rPr>
        <w:t>提供以下“（一）相关承诺、声明及授权委托书”和“（二）申报机构证明材料”的要求提供相应材料。</w:t>
      </w:r>
    </w:p>
    <w:p w14:paraId="49B255FC">
      <w:pPr>
        <w:pStyle w:val="5"/>
        <w:rPr>
          <w:rFonts w:eastAsia="楷体"/>
          <w:lang w:bidi="ar"/>
        </w:rPr>
      </w:pPr>
      <w:r>
        <w:rPr>
          <w:rFonts w:hint="eastAsia" w:eastAsia="楷体"/>
          <w:lang w:bidi="ar"/>
        </w:rPr>
        <w:t>（一）相关承诺、声明及授权委托书</w:t>
      </w:r>
    </w:p>
    <w:p w14:paraId="5999934A">
      <w:pPr>
        <w:pStyle w:val="2"/>
        <w:widowControl w:val="0"/>
        <w:spacing w:after="0"/>
        <w:ind w:firstLine="640"/>
        <w:rPr>
          <w:rFonts w:cs="Times New Roman"/>
          <w:szCs w:val="40"/>
        </w:rPr>
      </w:pPr>
      <w:r>
        <w:rPr>
          <w:rFonts w:cs="Times New Roman"/>
          <w:szCs w:val="40"/>
        </w:rPr>
        <w:t>1.申报机构承诺函</w:t>
      </w:r>
    </w:p>
    <w:p w14:paraId="73B4698D">
      <w:pPr>
        <w:pStyle w:val="2"/>
        <w:widowControl w:val="0"/>
        <w:spacing w:after="0"/>
        <w:ind w:firstLine="640"/>
        <w:rPr>
          <w:rFonts w:cs="Times New Roman"/>
          <w:szCs w:val="40"/>
        </w:rPr>
      </w:pPr>
      <w:r>
        <w:rPr>
          <w:rFonts w:cs="Times New Roman"/>
          <w:szCs w:val="40"/>
        </w:rPr>
        <w:t>2.廉洁承诺书</w:t>
      </w:r>
    </w:p>
    <w:p w14:paraId="6B424719">
      <w:pPr>
        <w:pStyle w:val="2"/>
        <w:widowControl w:val="0"/>
        <w:spacing w:after="0"/>
        <w:ind w:firstLine="640"/>
        <w:rPr>
          <w:rFonts w:cs="Times New Roman"/>
          <w:szCs w:val="40"/>
        </w:rPr>
      </w:pPr>
      <w:r>
        <w:rPr>
          <w:rFonts w:cs="Times New Roman"/>
          <w:szCs w:val="40"/>
        </w:rPr>
        <w:t>3.关于经营状况和无不良行为记录的声明函</w:t>
      </w:r>
    </w:p>
    <w:p w14:paraId="68AE741A">
      <w:pPr>
        <w:pStyle w:val="2"/>
        <w:widowControl w:val="0"/>
        <w:spacing w:after="0"/>
        <w:ind w:firstLine="640"/>
        <w:rPr>
          <w:rFonts w:cs="Times New Roman"/>
          <w:szCs w:val="40"/>
        </w:rPr>
      </w:pPr>
      <w:r>
        <w:rPr>
          <w:rFonts w:cs="Times New Roman"/>
          <w:szCs w:val="40"/>
        </w:rPr>
        <w:t>4.</w:t>
      </w:r>
      <w:bookmarkStart w:id="6" w:name="OLE_LINK23"/>
      <w:r>
        <w:rPr>
          <w:rFonts w:cs="Times New Roman"/>
          <w:szCs w:val="40"/>
        </w:rPr>
        <w:t>法定代表人授权委托书</w:t>
      </w:r>
      <w:bookmarkEnd w:id="6"/>
      <w:r>
        <w:rPr>
          <w:rFonts w:cs="Times New Roman"/>
          <w:szCs w:val="40"/>
        </w:rPr>
        <w:t>（如需）</w:t>
      </w:r>
    </w:p>
    <w:p w14:paraId="07A90A8D">
      <w:pPr>
        <w:pStyle w:val="5"/>
        <w:rPr>
          <w:rFonts w:eastAsia="楷体"/>
          <w:lang w:bidi="ar"/>
        </w:rPr>
      </w:pPr>
      <w:bookmarkStart w:id="7" w:name="_Hlk193378857"/>
      <w:r>
        <w:rPr>
          <w:rFonts w:hint="eastAsia" w:eastAsia="楷体"/>
          <w:lang w:bidi="ar"/>
        </w:rPr>
        <w:t>（二）申报机构证明材料</w:t>
      </w:r>
    </w:p>
    <w:bookmarkEnd w:id="7"/>
    <w:p w14:paraId="7B06756C">
      <w:pPr>
        <w:pStyle w:val="2"/>
        <w:widowControl w:val="0"/>
        <w:spacing w:after="0"/>
        <w:ind w:firstLine="560"/>
        <w:rPr>
          <w:rFonts w:eastAsia="楷体" w:cs="Times New Roman"/>
          <w:sz w:val="28"/>
          <w:szCs w:val="28"/>
        </w:rPr>
      </w:pPr>
      <w:r>
        <w:rPr>
          <w:rFonts w:eastAsia="楷体" w:cs="Times New Roman"/>
          <w:sz w:val="28"/>
          <w:szCs w:val="28"/>
        </w:rPr>
        <w:t>注：</w:t>
      </w:r>
      <w:r>
        <w:rPr>
          <w:rFonts w:ascii="Cambria Math" w:hAnsi="Cambria Math" w:eastAsia="楷体" w:cs="Cambria Math"/>
          <w:sz w:val="28"/>
          <w:szCs w:val="28"/>
        </w:rPr>
        <w:t>①</w:t>
      </w:r>
      <w:r>
        <w:rPr>
          <w:rFonts w:eastAsia="楷体" w:cs="Times New Roman"/>
          <w:sz w:val="28"/>
          <w:szCs w:val="28"/>
        </w:rPr>
        <w:t>申报机构需提供包括但不限于按下列证明文件并生成目录，可单独装订成册并加盖公章。</w:t>
      </w:r>
      <w:r>
        <w:rPr>
          <w:rFonts w:ascii="Cambria Math" w:hAnsi="Cambria Math" w:eastAsia="楷体" w:cs="Cambria Math"/>
          <w:sz w:val="28"/>
          <w:szCs w:val="28"/>
        </w:rPr>
        <w:t>②</w:t>
      </w:r>
      <w:r>
        <w:rPr>
          <w:rFonts w:eastAsia="楷体" w:cs="Times New Roman"/>
          <w:sz w:val="28"/>
          <w:szCs w:val="28"/>
        </w:rPr>
        <w:t>原则上，申报材料提及的具体内容须有对应的证明材料、并按申报材料顺序进行排列，重复材料可通过交叉引用等技术方式处理。</w:t>
      </w:r>
    </w:p>
    <w:p w14:paraId="41D3A4E6">
      <w:pPr>
        <w:pStyle w:val="2"/>
        <w:widowControl w:val="0"/>
        <w:spacing w:after="0"/>
        <w:ind w:firstLine="640"/>
        <w:rPr>
          <w:rFonts w:cs="Times New Roman"/>
          <w:szCs w:val="40"/>
        </w:rPr>
      </w:pPr>
      <w:r>
        <w:rPr>
          <w:rFonts w:cs="Times New Roman"/>
          <w:szCs w:val="40"/>
        </w:rPr>
        <w:t>1.申报机构营业执照复印件、公司章程或合伙协议、法定代表人身份证件复印件，委托代理人（如有）身份证复印件，以及实缴出资证明</w:t>
      </w:r>
    </w:p>
    <w:p w14:paraId="6F69DE59">
      <w:pPr>
        <w:pStyle w:val="2"/>
        <w:widowControl w:val="0"/>
        <w:spacing w:after="0"/>
        <w:ind w:firstLine="640"/>
        <w:rPr>
          <w:rFonts w:cs="Times New Roman"/>
          <w:szCs w:val="40"/>
        </w:rPr>
      </w:pPr>
      <w:r>
        <w:rPr>
          <w:rFonts w:cs="Times New Roman"/>
          <w:szCs w:val="40"/>
        </w:rPr>
        <w:t>2.最近三个年度在中基协的信息披露记录</w:t>
      </w:r>
    </w:p>
    <w:p w14:paraId="4B83F185">
      <w:pPr>
        <w:pStyle w:val="2"/>
        <w:widowControl w:val="0"/>
        <w:spacing w:after="0"/>
        <w:ind w:firstLine="640"/>
        <w:rPr>
          <w:rFonts w:cs="Times New Roman"/>
          <w:szCs w:val="40"/>
        </w:rPr>
      </w:pPr>
      <w:r>
        <w:rPr>
          <w:rFonts w:cs="Times New Roman"/>
          <w:szCs w:val="40"/>
        </w:rPr>
        <w:t>3.中国人民银行出具的《征信报告》，出具日应</w:t>
      </w:r>
      <w:r>
        <w:rPr>
          <w:rFonts w:cs="Times New Roman"/>
        </w:rPr>
        <w:t>在遴选公告发布之日前后</w:t>
      </w:r>
      <w:r>
        <w:rPr>
          <w:rFonts w:hint="eastAsia" w:cs="Times New Roman"/>
        </w:rPr>
        <w:t>三</w:t>
      </w:r>
      <w:r>
        <w:rPr>
          <w:rFonts w:cs="Times New Roman"/>
        </w:rPr>
        <w:t>个月内</w:t>
      </w:r>
    </w:p>
    <w:p w14:paraId="1FD55874">
      <w:pPr>
        <w:pStyle w:val="2"/>
        <w:widowControl w:val="0"/>
        <w:spacing w:after="0"/>
        <w:ind w:firstLine="640"/>
        <w:rPr>
          <w:rFonts w:cs="Times New Roman"/>
          <w:szCs w:val="40"/>
        </w:rPr>
      </w:pPr>
      <w:r>
        <w:rPr>
          <w:rFonts w:cs="Times New Roman"/>
          <w:szCs w:val="40"/>
        </w:rPr>
        <w:t>4.</w:t>
      </w:r>
      <w:r>
        <w:rPr>
          <w:rFonts w:cs="Times New Roman"/>
          <w:lang w:bidi="ar"/>
        </w:rPr>
        <w:t>最近三个年度审计报告及最近一期财务报表（最近一期注明是否经审计；成立未满三年的，提供自成立之日起的审计报告及最近一期财务报表）</w:t>
      </w:r>
    </w:p>
    <w:p w14:paraId="56AF2B83">
      <w:pPr>
        <w:pStyle w:val="2"/>
        <w:widowControl w:val="0"/>
        <w:spacing w:after="0"/>
        <w:ind w:firstLine="640"/>
        <w:rPr>
          <w:rFonts w:cs="Times New Roman"/>
          <w:szCs w:val="40"/>
        </w:rPr>
      </w:pPr>
      <w:r>
        <w:rPr>
          <w:rFonts w:hint="eastAsia" w:cs="Times New Roman"/>
          <w:szCs w:val="40"/>
        </w:rPr>
        <w:t>5</w:t>
      </w:r>
      <w:r>
        <w:rPr>
          <w:rFonts w:cs="Times New Roman"/>
          <w:szCs w:val="40"/>
        </w:rPr>
        <w:t>.清科或投中网等权威投资机构榜单排名或其他所获荣誉的证明材料（如有）</w:t>
      </w:r>
    </w:p>
    <w:p w14:paraId="19252479">
      <w:pPr>
        <w:pStyle w:val="2"/>
        <w:widowControl w:val="0"/>
        <w:spacing w:after="0"/>
        <w:ind w:firstLine="640"/>
        <w:rPr>
          <w:rFonts w:cs="Times New Roman"/>
          <w:szCs w:val="40"/>
        </w:rPr>
      </w:pPr>
      <w:r>
        <w:rPr>
          <w:rFonts w:hint="eastAsia" w:cs="Times New Roman"/>
          <w:szCs w:val="40"/>
        </w:rPr>
        <w:t>6</w:t>
      </w:r>
      <w:r>
        <w:rPr>
          <w:rFonts w:cs="Times New Roman"/>
          <w:szCs w:val="40"/>
        </w:rPr>
        <w:t>.管理机构或其关联方被国务院国资委授予原创技术“策源地”、现代产业链“链长”等相关证明材料（如有）</w:t>
      </w:r>
      <w:bookmarkEnd w:id="0"/>
    </w:p>
    <w:p w14:paraId="40F4EE4E">
      <w:pPr>
        <w:pStyle w:val="2"/>
        <w:widowControl w:val="0"/>
        <w:spacing w:after="0"/>
        <w:ind w:firstLine="640"/>
        <w:rPr>
          <w:rFonts w:cs="Times New Roman"/>
          <w:szCs w:val="40"/>
        </w:rPr>
      </w:pPr>
      <w:r>
        <w:rPr>
          <w:rFonts w:hint="eastAsia" w:cs="Times New Roman"/>
          <w:szCs w:val="40"/>
        </w:rPr>
        <w:t>7</w:t>
      </w:r>
      <w:r>
        <w:rPr>
          <w:rFonts w:cs="Times New Roman"/>
          <w:szCs w:val="40"/>
        </w:rPr>
        <w:t>.申报机构认为需提供的其他证明材料</w:t>
      </w:r>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851" w:footer="992" w:gutter="0"/>
      <w:pgNumType w:start="1" w:chapStyle="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DAB392-EDE3-4E2A-9D92-E55D46DB484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FDB3069-A98E-4DE0-998E-5F0A5033E4A5}"/>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embedRegular r:id="rId3" w:fontKey="{8901254D-6237-4DE6-8F2D-4A63DE55E303}"/>
  </w:font>
  <w:font w:name="等线">
    <w:panose1 w:val="02010600030101010101"/>
    <w:charset w:val="86"/>
    <w:family w:val="auto"/>
    <w:pitch w:val="default"/>
    <w:sig w:usb0="A00002BF" w:usb1="38CF7CFA" w:usb2="00000016" w:usb3="00000000" w:csb0="0004000F" w:csb1="00000000"/>
    <w:embedRegular r:id="rId4" w:fontKey="{0B8698F7-C5CE-47D9-B0E8-1EC71BF8F1CD}"/>
  </w:font>
  <w:font w:name="楷体">
    <w:panose1 w:val="02010609060101010101"/>
    <w:charset w:val="86"/>
    <w:family w:val="modern"/>
    <w:pitch w:val="default"/>
    <w:sig w:usb0="800002BF" w:usb1="38CF7CFA" w:usb2="00000016" w:usb3="00000000" w:csb0="00040001" w:csb1="00000000"/>
    <w:embedRegular r:id="rId5" w:fontKey="{095156A6-9216-4643-98FF-94BC3B38B483}"/>
  </w:font>
  <w:font w:name="Cambria Math">
    <w:panose1 w:val="02040503050406030204"/>
    <w:charset w:val="00"/>
    <w:family w:val="roman"/>
    <w:pitch w:val="default"/>
    <w:sig w:usb0="E00006FF" w:usb1="420024FF" w:usb2="02000000" w:usb3="00000000" w:csb0="2000019F" w:csb1="00000000"/>
    <w:embedRegular r:id="rId6" w:fontKey="{FF652E08-3A1F-453B-8FC2-8CC7DD759EC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D9533">
    <w:pPr>
      <w:pStyle w:val="9"/>
      <w:ind w:firstLine="360"/>
    </w:pPr>
    <w:r>
      <mc:AlternateContent>
        <mc:Choice Requires="wps">
          <w:drawing>
            <wp:anchor distT="0" distB="0" distL="114300" distR="114300" simplePos="0" relativeHeight="251659264" behindDoc="0" locked="0" layoutInCell="1" allowOverlap="1">
              <wp:simplePos x="0" y="0"/>
              <wp:positionH relativeFrom="margin">
                <wp:posOffset>2531110</wp:posOffset>
              </wp:positionH>
              <wp:positionV relativeFrom="paragraph">
                <wp:posOffset>0</wp:posOffset>
              </wp:positionV>
              <wp:extent cx="748030" cy="1828800"/>
              <wp:effectExtent l="0" t="0" r="13970" b="6350"/>
              <wp:wrapNone/>
              <wp:docPr id="6" name="文本框 6"/>
              <wp:cNvGraphicFramePr/>
              <a:graphic xmlns:a="http://schemas.openxmlformats.org/drawingml/2006/main">
                <a:graphicData uri="http://schemas.microsoft.com/office/word/2010/wordprocessingShape">
                  <wps:wsp>
                    <wps:cNvSpPr txBox="1"/>
                    <wps:spPr>
                      <a:xfrm>
                        <a:off x="0" y="0"/>
                        <a:ext cx="74830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251"/>
                          </w:sdtPr>
                          <w:sdtEndPr>
                            <w:rPr>
                              <w:rFonts w:asciiTheme="minorEastAsia" w:hAnsiTheme="minorEastAsia"/>
                              <w:sz w:val="28"/>
                              <w:szCs w:val="28"/>
                            </w:rPr>
                          </w:sdtEndPr>
                          <w:sdtContent>
                            <w:p w14:paraId="024B7A03">
                              <w:pPr>
                                <w:pStyle w:val="9"/>
                                <w:ind w:firstLine="360"/>
                                <w:rPr>
                                  <w:rFonts w:hint="eastAsia" w:asciiTheme="minorEastAsia" w:hAnsiTheme="minorEastAsia"/>
                                  <w:sz w:val="28"/>
                                  <w:szCs w:val="28"/>
                                </w:rPr>
                              </w:pPr>
                              <w:bookmarkStart w:id="8" w:name="OLE_LINK12"/>
                              <w:r>
                                <w:rPr>
                                  <w:rFonts w:hint="eastAsia"/>
                                </w:rPr>
                                <w:t>—</w:t>
                              </w:r>
                              <w:bookmarkEnd w:id="8"/>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r>
                                <w:rPr>
                                  <w:rFonts w:hint="eastAsia"/>
                                </w:rPr>
                                <w:t>—</w:t>
                              </w:r>
                            </w:p>
                          </w:sdtContent>
                        </w:sdt>
                        <w:p w14:paraId="24946696">
                          <w:pPr>
                            <w:pStyle w:val="2"/>
                            <w:ind w:firstLine="640"/>
                          </w:pP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99.3pt;margin-top:0pt;height:144pt;width:58.9pt;mso-position-horizontal-relative:margin;z-index:251659264;mso-width-relative:page;mso-height-relative:page;" filled="f" stroked="f" coordsize="21600,21600" o:gfxdata="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24HHl9cAAAAIAQAADwAAAAAAAAABACAAAAAiAAAAZHJzL2Rvd25yZXYueG1s&#10;UEsBAhQAFAAAAAgAh07iQCplYaIyAgAAVgQAAA4AAAAAAAAAAQAgAAAAJgEAAGRycy9lMm9Eb2Mu&#10;eG1sUEsFBgAAAAAGAAYAWQEAAMoFAAAAAA==&#10;">
              <v:fill on="f" focussize="0,0"/>
              <v:stroke on="f" weight="0.5pt"/>
              <v:imagedata o:title=""/>
              <o:lock v:ext="edit" aspectratio="f"/>
              <v:textbox inset="0mm,0mm,0mm,0mm" style="mso-fit-shape-to-text:t;">
                <w:txbxContent>
                  <w:sdt>
                    <w:sdtPr>
                      <w:id w:val="147475251"/>
                    </w:sdtPr>
                    <w:sdtEndPr>
                      <w:rPr>
                        <w:rFonts w:asciiTheme="minorEastAsia" w:hAnsiTheme="minorEastAsia"/>
                        <w:sz w:val="28"/>
                        <w:szCs w:val="28"/>
                      </w:rPr>
                    </w:sdtEndPr>
                    <w:sdtContent>
                      <w:p w14:paraId="024B7A03">
                        <w:pPr>
                          <w:pStyle w:val="9"/>
                          <w:ind w:firstLine="360"/>
                          <w:rPr>
                            <w:rFonts w:hint="eastAsia" w:asciiTheme="minorEastAsia" w:hAnsiTheme="minorEastAsia"/>
                            <w:sz w:val="28"/>
                            <w:szCs w:val="28"/>
                          </w:rPr>
                        </w:pPr>
                        <w:bookmarkStart w:id="8" w:name="OLE_LINK12"/>
                        <w:r>
                          <w:rPr>
                            <w:rFonts w:hint="eastAsia"/>
                          </w:rPr>
                          <w:t>—</w:t>
                        </w:r>
                        <w:bookmarkEnd w:id="8"/>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r>
                          <w:rPr>
                            <w:rFonts w:hint="eastAsia"/>
                          </w:rPr>
                          <w:t>—</w:t>
                        </w:r>
                      </w:p>
                    </w:sdtContent>
                  </w:sdt>
                  <w:p w14:paraId="24946696">
                    <w:pPr>
                      <w:pStyle w:val="2"/>
                      <w:ind w:firstLine="64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71A72">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95BCF">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7C192">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D9ABB">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18678">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D6D61"/>
    <w:rsid w:val="000014CD"/>
    <w:rsid w:val="000035A6"/>
    <w:rsid w:val="00005CC8"/>
    <w:rsid w:val="0000652B"/>
    <w:rsid w:val="00010C66"/>
    <w:rsid w:val="00015A88"/>
    <w:rsid w:val="00020BFD"/>
    <w:rsid w:val="0002202B"/>
    <w:rsid w:val="0002708F"/>
    <w:rsid w:val="00036E3E"/>
    <w:rsid w:val="0004198F"/>
    <w:rsid w:val="0004257D"/>
    <w:rsid w:val="0004371F"/>
    <w:rsid w:val="00044CC0"/>
    <w:rsid w:val="00046EC6"/>
    <w:rsid w:val="00047081"/>
    <w:rsid w:val="000470FB"/>
    <w:rsid w:val="00051E1E"/>
    <w:rsid w:val="00055E15"/>
    <w:rsid w:val="00061448"/>
    <w:rsid w:val="0006175D"/>
    <w:rsid w:val="00066BB4"/>
    <w:rsid w:val="00067900"/>
    <w:rsid w:val="00071151"/>
    <w:rsid w:val="0007229C"/>
    <w:rsid w:val="0008402F"/>
    <w:rsid w:val="00093464"/>
    <w:rsid w:val="00093D2C"/>
    <w:rsid w:val="00093F74"/>
    <w:rsid w:val="00096473"/>
    <w:rsid w:val="00097509"/>
    <w:rsid w:val="00097D44"/>
    <w:rsid w:val="000A2189"/>
    <w:rsid w:val="000A4332"/>
    <w:rsid w:val="000A646B"/>
    <w:rsid w:val="000A6BC8"/>
    <w:rsid w:val="000A728B"/>
    <w:rsid w:val="000B23F8"/>
    <w:rsid w:val="000B4D29"/>
    <w:rsid w:val="000B7969"/>
    <w:rsid w:val="000C222C"/>
    <w:rsid w:val="000C2424"/>
    <w:rsid w:val="000C2982"/>
    <w:rsid w:val="000C5E95"/>
    <w:rsid w:val="000C60FB"/>
    <w:rsid w:val="000D0CD7"/>
    <w:rsid w:val="000D1817"/>
    <w:rsid w:val="000D1BAC"/>
    <w:rsid w:val="000D2054"/>
    <w:rsid w:val="000D2902"/>
    <w:rsid w:val="000D2A43"/>
    <w:rsid w:val="000D7C96"/>
    <w:rsid w:val="000E1C17"/>
    <w:rsid w:val="000E2E28"/>
    <w:rsid w:val="000E3691"/>
    <w:rsid w:val="000F51F4"/>
    <w:rsid w:val="00101DDC"/>
    <w:rsid w:val="00102ACF"/>
    <w:rsid w:val="00105459"/>
    <w:rsid w:val="00111C33"/>
    <w:rsid w:val="001126E1"/>
    <w:rsid w:val="001137F0"/>
    <w:rsid w:val="0011416B"/>
    <w:rsid w:val="001158F1"/>
    <w:rsid w:val="0012027F"/>
    <w:rsid w:val="0012037B"/>
    <w:rsid w:val="001223D2"/>
    <w:rsid w:val="00123F1E"/>
    <w:rsid w:val="00124582"/>
    <w:rsid w:val="00125002"/>
    <w:rsid w:val="0012587A"/>
    <w:rsid w:val="00132884"/>
    <w:rsid w:val="00133FF4"/>
    <w:rsid w:val="00134211"/>
    <w:rsid w:val="0013711C"/>
    <w:rsid w:val="00144778"/>
    <w:rsid w:val="001466B1"/>
    <w:rsid w:val="0015347C"/>
    <w:rsid w:val="00153AD9"/>
    <w:rsid w:val="00153E6B"/>
    <w:rsid w:val="00155508"/>
    <w:rsid w:val="001559B5"/>
    <w:rsid w:val="001574D7"/>
    <w:rsid w:val="00161D5E"/>
    <w:rsid w:val="00162487"/>
    <w:rsid w:val="001626AE"/>
    <w:rsid w:val="001633E3"/>
    <w:rsid w:val="001640F4"/>
    <w:rsid w:val="00166350"/>
    <w:rsid w:val="0017089D"/>
    <w:rsid w:val="001740FA"/>
    <w:rsid w:val="00174AD9"/>
    <w:rsid w:val="0017707E"/>
    <w:rsid w:val="00177F0B"/>
    <w:rsid w:val="00180528"/>
    <w:rsid w:val="00180582"/>
    <w:rsid w:val="00181A3A"/>
    <w:rsid w:val="00182044"/>
    <w:rsid w:val="001860B0"/>
    <w:rsid w:val="0018691A"/>
    <w:rsid w:val="00191FC0"/>
    <w:rsid w:val="001939B4"/>
    <w:rsid w:val="00193DD9"/>
    <w:rsid w:val="001951C1"/>
    <w:rsid w:val="001954FA"/>
    <w:rsid w:val="00195D1A"/>
    <w:rsid w:val="001A70DE"/>
    <w:rsid w:val="001A72BB"/>
    <w:rsid w:val="001B0ABD"/>
    <w:rsid w:val="001B1860"/>
    <w:rsid w:val="001B61D4"/>
    <w:rsid w:val="001B6B71"/>
    <w:rsid w:val="001C0731"/>
    <w:rsid w:val="001C7A96"/>
    <w:rsid w:val="001D1E2D"/>
    <w:rsid w:val="001D2040"/>
    <w:rsid w:val="001D2539"/>
    <w:rsid w:val="001D49D1"/>
    <w:rsid w:val="001D4D45"/>
    <w:rsid w:val="001D7904"/>
    <w:rsid w:val="001D7E82"/>
    <w:rsid w:val="001D7FAA"/>
    <w:rsid w:val="001E2594"/>
    <w:rsid w:val="001F2E96"/>
    <w:rsid w:val="001F3592"/>
    <w:rsid w:val="00200197"/>
    <w:rsid w:val="0020216E"/>
    <w:rsid w:val="002030DF"/>
    <w:rsid w:val="00205481"/>
    <w:rsid w:val="00207FF0"/>
    <w:rsid w:val="0021178E"/>
    <w:rsid w:val="002128BC"/>
    <w:rsid w:val="00212F01"/>
    <w:rsid w:val="00216B73"/>
    <w:rsid w:val="0022081F"/>
    <w:rsid w:val="00222E8B"/>
    <w:rsid w:val="002277AE"/>
    <w:rsid w:val="002302FE"/>
    <w:rsid w:val="0023030A"/>
    <w:rsid w:val="002309C5"/>
    <w:rsid w:val="00231727"/>
    <w:rsid w:val="00231D27"/>
    <w:rsid w:val="00232346"/>
    <w:rsid w:val="00233C38"/>
    <w:rsid w:val="00234D32"/>
    <w:rsid w:val="00237BB9"/>
    <w:rsid w:val="0024285C"/>
    <w:rsid w:val="00247904"/>
    <w:rsid w:val="00252199"/>
    <w:rsid w:val="002561DD"/>
    <w:rsid w:val="0025783A"/>
    <w:rsid w:val="002603C9"/>
    <w:rsid w:val="00262E4F"/>
    <w:rsid w:val="00263B1C"/>
    <w:rsid w:val="0026583D"/>
    <w:rsid w:val="00266544"/>
    <w:rsid w:val="00271BB0"/>
    <w:rsid w:val="00272562"/>
    <w:rsid w:val="00272948"/>
    <w:rsid w:val="0027333A"/>
    <w:rsid w:val="00274BAE"/>
    <w:rsid w:val="0027613A"/>
    <w:rsid w:val="00281FCD"/>
    <w:rsid w:val="002833FA"/>
    <w:rsid w:val="0028403C"/>
    <w:rsid w:val="00285673"/>
    <w:rsid w:val="00285CD4"/>
    <w:rsid w:val="00291A48"/>
    <w:rsid w:val="00293F9E"/>
    <w:rsid w:val="0029510C"/>
    <w:rsid w:val="002A0EA1"/>
    <w:rsid w:val="002A106B"/>
    <w:rsid w:val="002A4EB1"/>
    <w:rsid w:val="002A6336"/>
    <w:rsid w:val="002A7CE0"/>
    <w:rsid w:val="002B0A29"/>
    <w:rsid w:val="002B2B99"/>
    <w:rsid w:val="002B6595"/>
    <w:rsid w:val="002B663A"/>
    <w:rsid w:val="002B6873"/>
    <w:rsid w:val="002C12DE"/>
    <w:rsid w:val="002C72F6"/>
    <w:rsid w:val="002D14B0"/>
    <w:rsid w:val="002D1780"/>
    <w:rsid w:val="002D2598"/>
    <w:rsid w:val="002D34FA"/>
    <w:rsid w:val="002D3DD9"/>
    <w:rsid w:val="002D6262"/>
    <w:rsid w:val="002D7296"/>
    <w:rsid w:val="002E297E"/>
    <w:rsid w:val="002E4CB1"/>
    <w:rsid w:val="002E6482"/>
    <w:rsid w:val="002F2B76"/>
    <w:rsid w:val="002F34B5"/>
    <w:rsid w:val="002F38F6"/>
    <w:rsid w:val="003008B9"/>
    <w:rsid w:val="00303409"/>
    <w:rsid w:val="003101E2"/>
    <w:rsid w:val="003118C3"/>
    <w:rsid w:val="00312592"/>
    <w:rsid w:val="003141B9"/>
    <w:rsid w:val="00316DF9"/>
    <w:rsid w:val="00317D27"/>
    <w:rsid w:val="00320567"/>
    <w:rsid w:val="00321E36"/>
    <w:rsid w:val="00321E9B"/>
    <w:rsid w:val="00325A63"/>
    <w:rsid w:val="00331685"/>
    <w:rsid w:val="003337BD"/>
    <w:rsid w:val="003338E8"/>
    <w:rsid w:val="0033581D"/>
    <w:rsid w:val="00336D19"/>
    <w:rsid w:val="00336D38"/>
    <w:rsid w:val="00337BB6"/>
    <w:rsid w:val="00341BD7"/>
    <w:rsid w:val="00343A06"/>
    <w:rsid w:val="003518BB"/>
    <w:rsid w:val="0035337B"/>
    <w:rsid w:val="00354883"/>
    <w:rsid w:val="00355D9A"/>
    <w:rsid w:val="00362AE0"/>
    <w:rsid w:val="00362F10"/>
    <w:rsid w:val="00366D47"/>
    <w:rsid w:val="003702D6"/>
    <w:rsid w:val="00370924"/>
    <w:rsid w:val="0037381E"/>
    <w:rsid w:val="00382545"/>
    <w:rsid w:val="00385BC1"/>
    <w:rsid w:val="003872BF"/>
    <w:rsid w:val="003872CC"/>
    <w:rsid w:val="00387865"/>
    <w:rsid w:val="003908CB"/>
    <w:rsid w:val="00391BA3"/>
    <w:rsid w:val="00393A75"/>
    <w:rsid w:val="00397EBB"/>
    <w:rsid w:val="003A0B44"/>
    <w:rsid w:val="003A1888"/>
    <w:rsid w:val="003A5C6B"/>
    <w:rsid w:val="003A723D"/>
    <w:rsid w:val="003A7CAC"/>
    <w:rsid w:val="003A7DAF"/>
    <w:rsid w:val="003B455B"/>
    <w:rsid w:val="003C065A"/>
    <w:rsid w:val="003C2BE8"/>
    <w:rsid w:val="003C345D"/>
    <w:rsid w:val="003D102E"/>
    <w:rsid w:val="003D5AAF"/>
    <w:rsid w:val="003D6D75"/>
    <w:rsid w:val="003D76B3"/>
    <w:rsid w:val="003D7852"/>
    <w:rsid w:val="003E1041"/>
    <w:rsid w:val="003E20A6"/>
    <w:rsid w:val="003E26F9"/>
    <w:rsid w:val="003E2C78"/>
    <w:rsid w:val="003E451C"/>
    <w:rsid w:val="003F1E93"/>
    <w:rsid w:val="003F4A0A"/>
    <w:rsid w:val="003F53E4"/>
    <w:rsid w:val="003F673C"/>
    <w:rsid w:val="003F6D67"/>
    <w:rsid w:val="004030B4"/>
    <w:rsid w:val="004056CE"/>
    <w:rsid w:val="00410899"/>
    <w:rsid w:val="004135D4"/>
    <w:rsid w:val="00416BF6"/>
    <w:rsid w:val="00416C2A"/>
    <w:rsid w:val="0041767F"/>
    <w:rsid w:val="00417A3C"/>
    <w:rsid w:val="00420436"/>
    <w:rsid w:val="00420A3B"/>
    <w:rsid w:val="00421311"/>
    <w:rsid w:val="00424E8C"/>
    <w:rsid w:val="00425349"/>
    <w:rsid w:val="00425928"/>
    <w:rsid w:val="004266AC"/>
    <w:rsid w:val="00427D87"/>
    <w:rsid w:val="0043159D"/>
    <w:rsid w:val="004316E9"/>
    <w:rsid w:val="00431AE4"/>
    <w:rsid w:val="00432839"/>
    <w:rsid w:val="00435117"/>
    <w:rsid w:val="0043611A"/>
    <w:rsid w:val="00441B35"/>
    <w:rsid w:val="00441FFE"/>
    <w:rsid w:val="004428C2"/>
    <w:rsid w:val="004436B6"/>
    <w:rsid w:val="004444F0"/>
    <w:rsid w:val="00452E0A"/>
    <w:rsid w:val="00455367"/>
    <w:rsid w:val="004657E2"/>
    <w:rsid w:val="00466A50"/>
    <w:rsid w:val="00467C4C"/>
    <w:rsid w:val="00470251"/>
    <w:rsid w:val="00470A98"/>
    <w:rsid w:val="00473865"/>
    <w:rsid w:val="004749CF"/>
    <w:rsid w:val="00474EBA"/>
    <w:rsid w:val="004753FF"/>
    <w:rsid w:val="00487A26"/>
    <w:rsid w:val="0049483F"/>
    <w:rsid w:val="0049579C"/>
    <w:rsid w:val="004961CC"/>
    <w:rsid w:val="00497C63"/>
    <w:rsid w:val="004A0561"/>
    <w:rsid w:val="004A132F"/>
    <w:rsid w:val="004A1BC3"/>
    <w:rsid w:val="004A2096"/>
    <w:rsid w:val="004A240D"/>
    <w:rsid w:val="004A353B"/>
    <w:rsid w:val="004A3AFF"/>
    <w:rsid w:val="004A5B6F"/>
    <w:rsid w:val="004A5BEE"/>
    <w:rsid w:val="004A682A"/>
    <w:rsid w:val="004B0E51"/>
    <w:rsid w:val="004B18A2"/>
    <w:rsid w:val="004B1FA3"/>
    <w:rsid w:val="004B423C"/>
    <w:rsid w:val="004C05E8"/>
    <w:rsid w:val="004C1688"/>
    <w:rsid w:val="004C2568"/>
    <w:rsid w:val="004C3EBA"/>
    <w:rsid w:val="004C4210"/>
    <w:rsid w:val="004C4255"/>
    <w:rsid w:val="004C6134"/>
    <w:rsid w:val="004D172F"/>
    <w:rsid w:val="004D1D3D"/>
    <w:rsid w:val="004D2463"/>
    <w:rsid w:val="004D3ADB"/>
    <w:rsid w:val="004D64F6"/>
    <w:rsid w:val="004E07C9"/>
    <w:rsid w:val="004E2462"/>
    <w:rsid w:val="004E2B9F"/>
    <w:rsid w:val="004E3368"/>
    <w:rsid w:val="004E517C"/>
    <w:rsid w:val="004F5275"/>
    <w:rsid w:val="00501E55"/>
    <w:rsid w:val="0050397A"/>
    <w:rsid w:val="00503D53"/>
    <w:rsid w:val="0050516C"/>
    <w:rsid w:val="00505AC0"/>
    <w:rsid w:val="00507F2D"/>
    <w:rsid w:val="00512969"/>
    <w:rsid w:val="005150EB"/>
    <w:rsid w:val="0051533C"/>
    <w:rsid w:val="00516FCA"/>
    <w:rsid w:val="005171F4"/>
    <w:rsid w:val="00517354"/>
    <w:rsid w:val="00517B76"/>
    <w:rsid w:val="00520C90"/>
    <w:rsid w:val="00520E77"/>
    <w:rsid w:val="00524E87"/>
    <w:rsid w:val="00526463"/>
    <w:rsid w:val="0052656F"/>
    <w:rsid w:val="00527C52"/>
    <w:rsid w:val="00533375"/>
    <w:rsid w:val="005342D7"/>
    <w:rsid w:val="005366BB"/>
    <w:rsid w:val="005376E6"/>
    <w:rsid w:val="005419BD"/>
    <w:rsid w:val="005420B7"/>
    <w:rsid w:val="0054295D"/>
    <w:rsid w:val="00546AC9"/>
    <w:rsid w:val="00546EF3"/>
    <w:rsid w:val="00550009"/>
    <w:rsid w:val="00551F91"/>
    <w:rsid w:val="00555B84"/>
    <w:rsid w:val="00556761"/>
    <w:rsid w:val="005624A7"/>
    <w:rsid w:val="005630D4"/>
    <w:rsid w:val="00564BE5"/>
    <w:rsid w:val="00566B26"/>
    <w:rsid w:val="00567290"/>
    <w:rsid w:val="005714A8"/>
    <w:rsid w:val="005715CE"/>
    <w:rsid w:val="00573DC2"/>
    <w:rsid w:val="005747B5"/>
    <w:rsid w:val="00577718"/>
    <w:rsid w:val="00577A3F"/>
    <w:rsid w:val="00577D6C"/>
    <w:rsid w:val="00580783"/>
    <w:rsid w:val="00580DF9"/>
    <w:rsid w:val="0058105D"/>
    <w:rsid w:val="00583B06"/>
    <w:rsid w:val="00587C3A"/>
    <w:rsid w:val="005906FC"/>
    <w:rsid w:val="005911A8"/>
    <w:rsid w:val="005922C6"/>
    <w:rsid w:val="005925E7"/>
    <w:rsid w:val="00592F2A"/>
    <w:rsid w:val="005943F4"/>
    <w:rsid w:val="00596260"/>
    <w:rsid w:val="005A0495"/>
    <w:rsid w:val="005A2970"/>
    <w:rsid w:val="005A30BA"/>
    <w:rsid w:val="005A4803"/>
    <w:rsid w:val="005A6995"/>
    <w:rsid w:val="005A7511"/>
    <w:rsid w:val="005B035D"/>
    <w:rsid w:val="005B2A8D"/>
    <w:rsid w:val="005B2BAC"/>
    <w:rsid w:val="005B329F"/>
    <w:rsid w:val="005B5200"/>
    <w:rsid w:val="005C6E2C"/>
    <w:rsid w:val="005C7A63"/>
    <w:rsid w:val="005D2599"/>
    <w:rsid w:val="005D45A8"/>
    <w:rsid w:val="005D7F32"/>
    <w:rsid w:val="005E0AE9"/>
    <w:rsid w:val="005E2EE8"/>
    <w:rsid w:val="005E338F"/>
    <w:rsid w:val="005E3B19"/>
    <w:rsid w:val="005E4345"/>
    <w:rsid w:val="005E4F8F"/>
    <w:rsid w:val="005E62B7"/>
    <w:rsid w:val="005E63A2"/>
    <w:rsid w:val="005E6776"/>
    <w:rsid w:val="005F0F30"/>
    <w:rsid w:val="005F19D8"/>
    <w:rsid w:val="005F2898"/>
    <w:rsid w:val="005F6B98"/>
    <w:rsid w:val="005F7308"/>
    <w:rsid w:val="00604EF8"/>
    <w:rsid w:val="006103B8"/>
    <w:rsid w:val="0061280A"/>
    <w:rsid w:val="00613EBC"/>
    <w:rsid w:val="006142C0"/>
    <w:rsid w:val="00614E05"/>
    <w:rsid w:val="00616BF5"/>
    <w:rsid w:val="00623B22"/>
    <w:rsid w:val="00624CD0"/>
    <w:rsid w:val="006304C4"/>
    <w:rsid w:val="0063065A"/>
    <w:rsid w:val="00631A72"/>
    <w:rsid w:val="00631D13"/>
    <w:rsid w:val="006338FB"/>
    <w:rsid w:val="00633D26"/>
    <w:rsid w:val="00635C8F"/>
    <w:rsid w:val="006373C5"/>
    <w:rsid w:val="00640861"/>
    <w:rsid w:val="00640E3A"/>
    <w:rsid w:val="00641A8B"/>
    <w:rsid w:val="00642662"/>
    <w:rsid w:val="00642CD9"/>
    <w:rsid w:val="006435BD"/>
    <w:rsid w:val="00645F1A"/>
    <w:rsid w:val="00647E6E"/>
    <w:rsid w:val="0065138E"/>
    <w:rsid w:val="00651EF7"/>
    <w:rsid w:val="00652B78"/>
    <w:rsid w:val="0065308C"/>
    <w:rsid w:val="006559C1"/>
    <w:rsid w:val="00662216"/>
    <w:rsid w:val="00665670"/>
    <w:rsid w:val="00671292"/>
    <w:rsid w:val="00671648"/>
    <w:rsid w:val="0067465B"/>
    <w:rsid w:val="00680098"/>
    <w:rsid w:val="006803BD"/>
    <w:rsid w:val="00681416"/>
    <w:rsid w:val="00683465"/>
    <w:rsid w:val="0069726A"/>
    <w:rsid w:val="00697EDB"/>
    <w:rsid w:val="006A05E7"/>
    <w:rsid w:val="006A65F4"/>
    <w:rsid w:val="006B03C5"/>
    <w:rsid w:val="006B42CE"/>
    <w:rsid w:val="006B4954"/>
    <w:rsid w:val="006B5835"/>
    <w:rsid w:val="006C05BD"/>
    <w:rsid w:val="006C64AC"/>
    <w:rsid w:val="006C66A8"/>
    <w:rsid w:val="006C67BA"/>
    <w:rsid w:val="006D2123"/>
    <w:rsid w:val="006E4DB7"/>
    <w:rsid w:val="006E7F72"/>
    <w:rsid w:val="006F2290"/>
    <w:rsid w:val="006F6FB6"/>
    <w:rsid w:val="00700840"/>
    <w:rsid w:val="0070190D"/>
    <w:rsid w:val="00703EB6"/>
    <w:rsid w:val="0070451A"/>
    <w:rsid w:val="00704B14"/>
    <w:rsid w:val="00705CFB"/>
    <w:rsid w:val="00707909"/>
    <w:rsid w:val="007104D1"/>
    <w:rsid w:val="00710ADF"/>
    <w:rsid w:val="0071539B"/>
    <w:rsid w:val="00715FE7"/>
    <w:rsid w:val="007161AE"/>
    <w:rsid w:val="00723CC4"/>
    <w:rsid w:val="00725290"/>
    <w:rsid w:val="00725764"/>
    <w:rsid w:val="007279A0"/>
    <w:rsid w:val="00727DB2"/>
    <w:rsid w:val="00732C29"/>
    <w:rsid w:val="007337C0"/>
    <w:rsid w:val="00735F7F"/>
    <w:rsid w:val="00737348"/>
    <w:rsid w:val="007411AE"/>
    <w:rsid w:val="0074580D"/>
    <w:rsid w:val="0074771B"/>
    <w:rsid w:val="007515F4"/>
    <w:rsid w:val="007538C3"/>
    <w:rsid w:val="00755218"/>
    <w:rsid w:val="00756259"/>
    <w:rsid w:val="00761860"/>
    <w:rsid w:val="00763E9C"/>
    <w:rsid w:val="0076519E"/>
    <w:rsid w:val="00765582"/>
    <w:rsid w:val="00765CF1"/>
    <w:rsid w:val="00770328"/>
    <w:rsid w:val="007719C4"/>
    <w:rsid w:val="00773B73"/>
    <w:rsid w:val="00774D5D"/>
    <w:rsid w:val="007775C9"/>
    <w:rsid w:val="007814FB"/>
    <w:rsid w:val="0078355A"/>
    <w:rsid w:val="00783725"/>
    <w:rsid w:val="00783756"/>
    <w:rsid w:val="00784250"/>
    <w:rsid w:val="0078531E"/>
    <w:rsid w:val="007854DD"/>
    <w:rsid w:val="0078620A"/>
    <w:rsid w:val="00791D07"/>
    <w:rsid w:val="007934A7"/>
    <w:rsid w:val="007935FA"/>
    <w:rsid w:val="00794952"/>
    <w:rsid w:val="00797EE4"/>
    <w:rsid w:val="007A10F1"/>
    <w:rsid w:val="007A2732"/>
    <w:rsid w:val="007A27D5"/>
    <w:rsid w:val="007A5A8B"/>
    <w:rsid w:val="007A6272"/>
    <w:rsid w:val="007A76C1"/>
    <w:rsid w:val="007B03FF"/>
    <w:rsid w:val="007B4B80"/>
    <w:rsid w:val="007B549F"/>
    <w:rsid w:val="007B56F8"/>
    <w:rsid w:val="007B5FF3"/>
    <w:rsid w:val="007B6906"/>
    <w:rsid w:val="007B7FFA"/>
    <w:rsid w:val="007C0FA5"/>
    <w:rsid w:val="007C1578"/>
    <w:rsid w:val="007C1A68"/>
    <w:rsid w:val="007C3F66"/>
    <w:rsid w:val="007C6E9A"/>
    <w:rsid w:val="007D108A"/>
    <w:rsid w:val="007D1B2A"/>
    <w:rsid w:val="007D3CF8"/>
    <w:rsid w:val="007D4225"/>
    <w:rsid w:val="007E0C92"/>
    <w:rsid w:val="007E4D2E"/>
    <w:rsid w:val="007F3692"/>
    <w:rsid w:val="007F431B"/>
    <w:rsid w:val="007F4929"/>
    <w:rsid w:val="007F58EA"/>
    <w:rsid w:val="008037E0"/>
    <w:rsid w:val="00805CD1"/>
    <w:rsid w:val="00807188"/>
    <w:rsid w:val="00810934"/>
    <w:rsid w:val="00816DA7"/>
    <w:rsid w:val="00817C5A"/>
    <w:rsid w:val="00820A10"/>
    <w:rsid w:val="00823784"/>
    <w:rsid w:val="008243C3"/>
    <w:rsid w:val="008270B7"/>
    <w:rsid w:val="008374D0"/>
    <w:rsid w:val="008454FE"/>
    <w:rsid w:val="0084631F"/>
    <w:rsid w:val="0085071E"/>
    <w:rsid w:val="0085630C"/>
    <w:rsid w:val="00857325"/>
    <w:rsid w:val="00857619"/>
    <w:rsid w:val="00857763"/>
    <w:rsid w:val="008616EB"/>
    <w:rsid w:val="00863214"/>
    <w:rsid w:val="00863EBF"/>
    <w:rsid w:val="008662E3"/>
    <w:rsid w:val="0086711F"/>
    <w:rsid w:val="00867DB0"/>
    <w:rsid w:val="008709A9"/>
    <w:rsid w:val="00872A32"/>
    <w:rsid w:val="00873605"/>
    <w:rsid w:val="008755B2"/>
    <w:rsid w:val="00877C2A"/>
    <w:rsid w:val="008803BB"/>
    <w:rsid w:val="00882889"/>
    <w:rsid w:val="0088296D"/>
    <w:rsid w:val="00883221"/>
    <w:rsid w:val="0088771F"/>
    <w:rsid w:val="00891E11"/>
    <w:rsid w:val="00895F6E"/>
    <w:rsid w:val="008A0271"/>
    <w:rsid w:val="008A302B"/>
    <w:rsid w:val="008B4C57"/>
    <w:rsid w:val="008B65FB"/>
    <w:rsid w:val="008C01B3"/>
    <w:rsid w:val="008C21B8"/>
    <w:rsid w:val="008C2F0E"/>
    <w:rsid w:val="008C3964"/>
    <w:rsid w:val="008D21B8"/>
    <w:rsid w:val="008D3CB1"/>
    <w:rsid w:val="008E1666"/>
    <w:rsid w:val="008E225D"/>
    <w:rsid w:val="008E253A"/>
    <w:rsid w:val="008E2F38"/>
    <w:rsid w:val="008E32B0"/>
    <w:rsid w:val="008E4D2E"/>
    <w:rsid w:val="008F0C8F"/>
    <w:rsid w:val="008F135B"/>
    <w:rsid w:val="008F1FAC"/>
    <w:rsid w:val="008F2144"/>
    <w:rsid w:val="008F25B5"/>
    <w:rsid w:val="008F412A"/>
    <w:rsid w:val="008F4D8D"/>
    <w:rsid w:val="00901161"/>
    <w:rsid w:val="009016E4"/>
    <w:rsid w:val="0090233D"/>
    <w:rsid w:val="00902A49"/>
    <w:rsid w:val="00902EB8"/>
    <w:rsid w:val="009037E6"/>
    <w:rsid w:val="009055F3"/>
    <w:rsid w:val="00913A4B"/>
    <w:rsid w:val="009156CC"/>
    <w:rsid w:val="00920050"/>
    <w:rsid w:val="00920936"/>
    <w:rsid w:val="00922662"/>
    <w:rsid w:val="009248B0"/>
    <w:rsid w:val="00926F99"/>
    <w:rsid w:val="00932952"/>
    <w:rsid w:val="0093353F"/>
    <w:rsid w:val="009361E0"/>
    <w:rsid w:val="00936A2E"/>
    <w:rsid w:val="00936F45"/>
    <w:rsid w:val="00941FA1"/>
    <w:rsid w:val="00942B4A"/>
    <w:rsid w:val="00943853"/>
    <w:rsid w:val="00943EE4"/>
    <w:rsid w:val="009444C9"/>
    <w:rsid w:val="009470CE"/>
    <w:rsid w:val="00947169"/>
    <w:rsid w:val="00947716"/>
    <w:rsid w:val="00952167"/>
    <w:rsid w:val="0095277B"/>
    <w:rsid w:val="00954BF8"/>
    <w:rsid w:val="00955ACE"/>
    <w:rsid w:val="00956B6B"/>
    <w:rsid w:val="00957C27"/>
    <w:rsid w:val="00960214"/>
    <w:rsid w:val="009604B3"/>
    <w:rsid w:val="00960587"/>
    <w:rsid w:val="009616F3"/>
    <w:rsid w:val="00964A6D"/>
    <w:rsid w:val="0096622A"/>
    <w:rsid w:val="00966E51"/>
    <w:rsid w:val="0097056E"/>
    <w:rsid w:val="009730C9"/>
    <w:rsid w:val="00975C2B"/>
    <w:rsid w:val="00976FDC"/>
    <w:rsid w:val="00980107"/>
    <w:rsid w:val="0098074F"/>
    <w:rsid w:val="0098268D"/>
    <w:rsid w:val="00983407"/>
    <w:rsid w:val="00986F28"/>
    <w:rsid w:val="00987205"/>
    <w:rsid w:val="009874E4"/>
    <w:rsid w:val="0099099A"/>
    <w:rsid w:val="00990BE7"/>
    <w:rsid w:val="009913EE"/>
    <w:rsid w:val="009935D2"/>
    <w:rsid w:val="00993F6D"/>
    <w:rsid w:val="0099558E"/>
    <w:rsid w:val="00996BD2"/>
    <w:rsid w:val="009A01CF"/>
    <w:rsid w:val="009A12B2"/>
    <w:rsid w:val="009A5C63"/>
    <w:rsid w:val="009A609C"/>
    <w:rsid w:val="009A677A"/>
    <w:rsid w:val="009B2378"/>
    <w:rsid w:val="009B46D1"/>
    <w:rsid w:val="009B70E8"/>
    <w:rsid w:val="009B74A3"/>
    <w:rsid w:val="009C0F8C"/>
    <w:rsid w:val="009C5AB0"/>
    <w:rsid w:val="009C6DB9"/>
    <w:rsid w:val="009D04CC"/>
    <w:rsid w:val="009D2F68"/>
    <w:rsid w:val="009D3D95"/>
    <w:rsid w:val="009D55B2"/>
    <w:rsid w:val="009D5EC4"/>
    <w:rsid w:val="009D6047"/>
    <w:rsid w:val="009E012B"/>
    <w:rsid w:val="009E7260"/>
    <w:rsid w:val="009F1F53"/>
    <w:rsid w:val="009F2344"/>
    <w:rsid w:val="009F49A3"/>
    <w:rsid w:val="009F4CCD"/>
    <w:rsid w:val="009F75FD"/>
    <w:rsid w:val="00A0143F"/>
    <w:rsid w:val="00A029C9"/>
    <w:rsid w:val="00A03A6D"/>
    <w:rsid w:val="00A04C8E"/>
    <w:rsid w:val="00A11B68"/>
    <w:rsid w:val="00A16338"/>
    <w:rsid w:val="00A21D6E"/>
    <w:rsid w:val="00A22C53"/>
    <w:rsid w:val="00A258AA"/>
    <w:rsid w:val="00A345E0"/>
    <w:rsid w:val="00A35A43"/>
    <w:rsid w:val="00A3603D"/>
    <w:rsid w:val="00A40540"/>
    <w:rsid w:val="00A40B95"/>
    <w:rsid w:val="00A415A3"/>
    <w:rsid w:val="00A44388"/>
    <w:rsid w:val="00A44690"/>
    <w:rsid w:val="00A44F1A"/>
    <w:rsid w:val="00A451FC"/>
    <w:rsid w:val="00A45BC4"/>
    <w:rsid w:val="00A4621F"/>
    <w:rsid w:val="00A510EF"/>
    <w:rsid w:val="00A54DD2"/>
    <w:rsid w:val="00A551FA"/>
    <w:rsid w:val="00A5568A"/>
    <w:rsid w:val="00A55C27"/>
    <w:rsid w:val="00A609FD"/>
    <w:rsid w:val="00A627D5"/>
    <w:rsid w:val="00A63BE2"/>
    <w:rsid w:val="00A64BBF"/>
    <w:rsid w:val="00A657E8"/>
    <w:rsid w:val="00A6696A"/>
    <w:rsid w:val="00A72948"/>
    <w:rsid w:val="00A76059"/>
    <w:rsid w:val="00A81B8A"/>
    <w:rsid w:val="00A81D75"/>
    <w:rsid w:val="00A824A1"/>
    <w:rsid w:val="00A85702"/>
    <w:rsid w:val="00A9074F"/>
    <w:rsid w:val="00A916E7"/>
    <w:rsid w:val="00A93121"/>
    <w:rsid w:val="00A943AD"/>
    <w:rsid w:val="00A97710"/>
    <w:rsid w:val="00AA067B"/>
    <w:rsid w:val="00AA1A6D"/>
    <w:rsid w:val="00AA3483"/>
    <w:rsid w:val="00AA5263"/>
    <w:rsid w:val="00AA5962"/>
    <w:rsid w:val="00AA732D"/>
    <w:rsid w:val="00AC2E63"/>
    <w:rsid w:val="00AC488A"/>
    <w:rsid w:val="00AC5F32"/>
    <w:rsid w:val="00AC78C5"/>
    <w:rsid w:val="00AD08C5"/>
    <w:rsid w:val="00AD173B"/>
    <w:rsid w:val="00AD3B69"/>
    <w:rsid w:val="00AD3C49"/>
    <w:rsid w:val="00AD4594"/>
    <w:rsid w:val="00AE26A9"/>
    <w:rsid w:val="00AE7C7E"/>
    <w:rsid w:val="00AF0059"/>
    <w:rsid w:val="00AF14C2"/>
    <w:rsid w:val="00AF2BD5"/>
    <w:rsid w:val="00AF325B"/>
    <w:rsid w:val="00AF73A1"/>
    <w:rsid w:val="00AF746F"/>
    <w:rsid w:val="00B049FA"/>
    <w:rsid w:val="00B061AE"/>
    <w:rsid w:val="00B06A56"/>
    <w:rsid w:val="00B07434"/>
    <w:rsid w:val="00B10614"/>
    <w:rsid w:val="00B13DD1"/>
    <w:rsid w:val="00B13E55"/>
    <w:rsid w:val="00B143AA"/>
    <w:rsid w:val="00B14416"/>
    <w:rsid w:val="00B14A28"/>
    <w:rsid w:val="00B17983"/>
    <w:rsid w:val="00B26AE5"/>
    <w:rsid w:val="00B26B06"/>
    <w:rsid w:val="00B27B56"/>
    <w:rsid w:val="00B35E72"/>
    <w:rsid w:val="00B370DF"/>
    <w:rsid w:val="00B43B85"/>
    <w:rsid w:val="00B45F1B"/>
    <w:rsid w:val="00B461A9"/>
    <w:rsid w:val="00B51026"/>
    <w:rsid w:val="00B53D17"/>
    <w:rsid w:val="00B55376"/>
    <w:rsid w:val="00B55823"/>
    <w:rsid w:val="00B56EA0"/>
    <w:rsid w:val="00B63EAB"/>
    <w:rsid w:val="00B73164"/>
    <w:rsid w:val="00B75577"/>
    <w:rsid w:val="00B77001"/>
    <w:rsid w:val="00B80B3B"/>
    <w:rsid w:val="00B80FEC"/>
    <w:rsid w:val="00B827E3"/>
    <w:rsid w:val="00B82E3E"/>
    <w:rsid w:val="00B845AD"/>
    <w:rsid w:val="00B90767"/>
    <w:rsid w:val="00B91619"/>
    <w:rsid w:val="00B91BD0"/>
    <w:rsid w:val="00B92451"/>
    <w:rsid w:val="00B92AD5"/>
    <w:rsid w:val="00B93462"/>
    <w:rsid w:val="00B94889"/>
    <w:rsid w:val="00B95781"/>
    <w:rsid w:val="00B9669F"/>
    <w:rsid w:val="00B96AA5"/>
    <w:rsid w:val="00B97D6D"/>
    <w:rsid w:val="00BA29FA"/>
    <w:rsid w:val="00BA443C"/>
    <w:rsid w:val="00BA5C8B"/>
    <w:rsid w:val="00BA7D40"/>
    <w:rsid w:val="00BB0820"/>
    <w:rsid w:val="00BB6B8C"/>
    <w:rsid w:val="00BC20DC"/>
    <w:rsid w:val="00BC3749"/>
    <w:rsid w:val="00BC433F"/>
    <w:rsid w:val="00BC4C70"/>
    <w:rsid w:val="00BD1EB1"/>
    <w:rsid w:val="00BD2208"/>
    <w:rsid w:val="00BD3E17"/>
    <w:rsid w:val="00BD40ED"/>
    <w:rsid w:val="00BD4379"/>
    <w:rsid w:val="00BD7ACB"/>
    <w:rsid w:val="00BE0034"/>
    <w:rsid w:val="00BE1420"/>
    <w:rsid w:val="00BE4405"/>
    <w:rsid w:val="00BE6147"/>
    <w:rsid w:val="00BE765F"/>
    <w:rsid w:val="00BE7BD9"/>
    <w:rsid w:val="00BF05CF"/>
    <w:rsid w:val="00BF0EEC"/>
    <w:rsid w:val="00BF157D"/>
    <w:rsid w:val="00BF20A5"/>
    <w:rsid w:val="00BF215F"/>
    <w:rsid w:val="00BF24AA"/>
    <w:rsid w:val="00BF7288"/>
    <w:rsid w:val="00C0071F"/>
    <w:rsid w:val="00C00DC3"/>
    <w:rsid w:val="00C04A3B"/>
    <w:rsid w:val="00C12FED"/>
    <w:rsid w:val="00C13E6A"/>
    <w:rsid w:val="00C17D54"/>
    <w:rsid w:val="00C20B95"/>
    <w:rsid w:val="00C26183"/>
    <w:rsid w:val="00C26844"/>
    <w:rsid w:val="00C26DD5"/>
    <w:rsid w:val="00C3047A"/>
    <w:rsid w:val="00C327C8"/>
    <w:rsid w:val="00C36BF0"/>
    <w:rsid w:val="00C37580"/>
    <w:rsid w:val="00C37C52"/>
    <w:rsid w:val="00C41773"/>
    <w:rsid w:val="00C433BF"/>
    <w:rsid w:val="00C45DA1"/>
    <w:rsid w:val="00C519F2"/>
    <w:rsid w:val="00C5380A"/>
    <w:rsid w:val="00C5561D"/>
    <w:rsid w:val="00C57571"/>
    <w:rsid w:val="00C602BB"/>
    <w:rsid w:val="00C6052C"/>
    <w:rsid w:val="00C60D4D"/>
    <w:rsid w:val="00C61DC3"/>
    <w:rsid w:val="00C6252B"/>
    <w:rsid w:val="00C63007"/>
    <w:rsid w:val="00C7267D"/>
    <w:rsid w:val="00C748B7"/>
    <w:rsid w:val="00C7550B"/>
    <w:rsid w:val="00C76707"/>
    <w:rsid w:val="00C77983"/>
    <w:rsid w:val="00C77E54"/>
    <w:rsid w:val="00C807CF"/>
    <w:rsid w:val="00C826E6"/>
    <w:rsid w:val="00C90F7E"/>
    <w:rsid w:val="00C96BED"/>
    <w:rsid w:val="00CA71FC"/>
    <w:rsid w:val="00CB01FD"/>
    <w:rsid w:val="00CB1C05"/>
    <w:rsid w:val="00CB47FF"/>
    <w:rsid w:val="00CB5C26"/>
    <w:rsid w:val="00CB62F7"/>
    <w:rsid w:val="00CC01D0"/>
    <w:rsid w:val="00CC1807"/>
    <w:rsid w:val="00CC76BE"/>
    <w:rsid w:val="00CD0159"/>
    <w:rsid w:val="00CD4C1E"/>
    <w:rsid w:val="00CD6C56"/>
    <w:rsid w:val="00CD7839"/>
    <w:rsid w:val="00CD7B29"/>
    <w:rsid w:val="00CE05C4"/>
    <w:rsid w:val="00CE1D05"/>
    <w:rsid w:val="00CE2565"/>
    <w:rsid w:val="00CE4096"/>
    <w:rsid w:val="00CE6F00"/>
    <w:rsid w:val="00CF1D68"/>
    <w:rsid w:val="00CF6F7E"/>
    <w:rsid w:val="00D026A4"/>
    <w:rsid w:val="00D07522"/>
    <w:rsid w:val="00D12EBC"/>
    <w:rsid w:val="00D14EB6"/>
    <w:rsid w:val="00D164EF"/>
    <w:rsid w:val="00D22C9C"/>
    <w:rsid w:val="00D246FC"/>
    <w:rsid w:val="00D2489F"/>
    <w:rsid w:val="00D260C0"/>
    <w:rsid w:val="00D371A1"/>
    <w:rsid w:val="00D40118"/>
    <w:rsid w:val="00D41C66"/>
    <w:rsid w:val="00D4395F"/>
    <w:rsid w:val="00D45054"/>
    <w:rsid w:val="00D4763D"/>
    <w:rsid w:val="00D47AA2"/>
    <w:rsid w:val="00D51029"/>
    <w:rsid w:val="00D5350A"/>
    <w:rsid w:val="00D56846"/>
    <w:rsid w:val="00D61CFC"/>
    <w:rsid w:val="00D631B3"/>
    <w:rsid w:val="00D666ED"/>
    <w:rsid w:val="00D67587"/>
    <w:rsid w:val="00D71908"/>
    <w:rsid w:val="00D71D2B"/>
    <w:rsid w:val="00D72345"/>
    <w:rsid w:val="00D72C3D"/>
    <w:rsid w:val="00D807D6"/>
    <w:rsid w:val="00D8129A"/>
    <w:rsid w:val="00D82822"/>
    <w:rsid w:val="00D83579"/>
    <w:rsid w:val="00D83ADC"/>
    <w:rsid w:val="00D85677"/>
    <w:rsid w:val="00D87DA3"/>
    <w:rsid w:val="00D91A3E"/>
    <w:rsid w:val="00D9278E"/>
    <w:rsid w:val="00DA1AB3"/>
    <w:rsid w:val="00DB1CF3"/>
    <w:rsid w:val="00DB2EB2"/>
    <w:rsid w:val="00DB584D"/>
    <w:rsid w:val="00DB5C11"/>
    <w:rsid w:val="00DB7B35"/>
    <w:rsid w:val="00DB7E15"/>
    <w:rsid w:val="00DC0668"/>
    <w:rsid w:val="00DC175F"/>
    <w:rsid w:val="00DC2BAE"/>
    <w:rsid w:val="00DC3AE5"/>
    <w:rsid w:val="00DC4959"/>
    <w:rsid w:val="00DC4AA4"/>
    <w:rsid w:val="00DC53CE"/>
    <w:rsid w:val="00DC5645"/>
    <w:rsid w:val="00DC5D29"/>
    <w:rsid w:val="00DC7258"/>
    <w:rsid w:val="00DE091A"/>
    <w:rsid w:val="00DE6A70"/>
    <w:rsid w:val="00DF0420"/>
    <w:rsid w:val="00DF25F7"/>
    <w:rsid w:val="00DF6740"/>
    <w:rsid w:val="00DF7032"/>
    <w:rsid w:val="00E0160D"/>
    <w:rsid w:val="00E0637F"/>
    <w:rsid w:val="00E06A51"/>
    <w:rsid w:val="00E12A74"/>
    <w:rsid w:val="00E13C2A"/>
    <w:rsid w:val="00E15A9F"/>
    <w:rsid w:val="00E15D40"/>
    <w:rsid w:val="00E17723"/>
    <w:rsid w:val="00E17E65"/>
    <w:rsid w:val="00E201F8"/>
    <w:rsid w:val="00E21D6C"/>
    <w:rsid w:val="00E315E7"/>
    <w:rsid w:val="00E33324"/>
    <w:rsid w:val="00E33866"/>
    <w:rsid w:val="00E35559"/>
    <w:rsid w:val="00E35F8A"/>
    <w:rsid w:val="00E3773E"/>
    <w:rsid w:val="00E37904"/>
    <w:rsid w:val="00E4169A"/>
    <w:rsid w:val="00E42013"/>
    <w:rsid w:val="00E43716"/>
    <w:rsid w:val="00E442BC"/>
    <w:rsid w:val="00E45D84"/>
    <w:rsid w:val="00E50493"/>
    <w:rsid w:val="00E50B41"/>
    <w:rsid w:val="00E50F4E"/>
    <w:rsid w:val="00E51146"/>
    <w:rsid w:val="00E57C10"/>
    <w:rsid w:val="00E607EA"/>
    <w:rsid w:val="00E6758C"/>
    <w:rsid w:val="00E70E5A"/>
    <w:rsid w:val="00E7245D"/>
    <w:rsid w:val="00E77CC3"/>
    <w:rsid w:val="00E85714"/>
    <w:rsid w:val="00E85D38"/>
    <w:rsid w:val="00E9076D"/>
    <w:rsid w:val="00E92171"/>
    <w:rsid w:val="00E94C0A"/>
    <w:rsid w:val="00E9732A"/>
    <w:rsid w:val="00EA2469"/>
    <w:rsid w:val="00EA394C"/>
    <w:rsid w:val="00EA63DC"/>
    <w:rsid w:val="00EB0834"/>
    <w:rsid w:val="00EB527A"/>
    <w:rsid w:val="00EB7E42"/>
    <w:rsid w:val="00EC44FF"/>
    <w:rsid w:val="00EC76E5"/>
    <w:rsid w:val="00ED2075"/>
    <w:rsid w:val="00ED2DC0"/>
    <w:rsid w:val="00ED32F7"/>
    <w:rsid w:val="00ED6081"/>
    <w:rsid w:val="00EE01BE"/>
    <w:rsid w:val="00EE4B1F"/>
    <w:rsid w:val="00EE50CB"/>
    <w:rsid w:val="00EE5903"/>
    <w:rsid w:val="00EF0886"/>
    <w:rsid w:val="00EF195F"/>
    <w:rsid w:val="00EF25D8"/>
    <w:rsid w:val="00EF2B57"/>
    <w:rsid w:val="00EF39AC"/>
    <w:rsid w:val="00EF42DD"/>
    <w:rsid w:val="00F007DA"/>
    <w:rsid w:val="00F01007"/>
    <w:rsid w:val="00F033C7"/>
    <w:rsid w:val="00F037AE"/>
    <w:rsid w:val="00F043F6"/>
    <w:rsid w:val="00F0769B"/>
    <w:rsid w:val="00F076D9"/>
    <w:rsid w:val="00F10211"/>
    <w:rsid w:val="00F1187A"/>
    <w:rsid w:val="00F14142"/>
    <w:rsid w:val="00F14C45"/>
    <w:rsid w:val="00F1577C"/>
    <w:rsid w:val="00F15B0D"/>
    <w:rsid w:val="00F20BFE"/>
    <w:rsid w:val="00F2181A"/>
    <w:rsid w:val="00F22A96"/>
    <w:rsid w:val="00F22FB5"/>
    <w:rsid w:val="00F25184"/>
    <w:rsid w:val="00F26EFC"/>
    <w:rsid w:val="00F30C1B"/>
    <w:rsid w:val="00F32DFD"/>
    <w:rsid w:val="00F3474B"/>
    <w:rsid w:val="00F360D2"/>
    <w:rsid w:val="00F426A8"/>
    <w:rsid w:val="00F46704"/>
    <w:rsid w:val="00F50AB8"/>
    <w:rsid w:val="00F517B0"/>
    <w:rsid w:val="00F521A2"/>
    <w:rsid w:val="00F568E7"/>
    <w:rsid w:val="00F613F9"/>
    <w:rsid w:val="00F64211"/>
    <w:rsid w:val="00F6633F"/>
    <w:rsid w:val="00F709AF"/>
    <w:rsid w:val="00F714B6"/>
    <w:rsid w:val="00F72582"/>
    <w:rsid w:val="00F72B44"/>
    <w:rsid w:val="00F760FC"/>
    <w:rsid w:val="00F81E9A"/>
    <w:rsid w:val="00F82809"/>
    <w:rsid w:val="00F856A4"/>
    <w:rsid w:val="00F8690E"/>
    <w:rsid w:val="00F90580"/>
    <w:rsid w:val="00F9060E"/>
    <w:rsid w:val="00F90724"/>
    <w:rsid w:val="00F91411"/>
    <w:rsid w:val="00F9445F"/>
    <w:rsid w:val="00F953A8"/>
    <w:rsid w:val="00F97E30"/>
    <w:rsid w:val="00FA18CD"/>
    <w:rsid w:val="00FA20ED"/>
    <w:rsid w:val="00FA5D26"/>
    <w:rsid w:val="00FA62FF"/>
    <w:rsid w:val="00FA64E2"/>
    <w:rsid w:val="00FA6CAE"/>
    <w:rsid w:val="00FB1C04"/>
    <w:rsid w:val="00FB5C7C"/>
    <w:rsid w:val="00FB5E4E"/>
    <w:rsid w:val="00FB7803"/>
    <w:rsid w:val="00FC3590"/>
    <w:rsid w:val="00FD237C"/>
    <w:rsid w:val="00FD577B"/>
    <w:rsid w:val="00FE431F"/>
    <w:rsid w:val="00FE7C7B"/>
    <w:rsid w:val="00FE7E39"/>
    <w:rsid w:val="00FF1839"/>
    <w:rsid w:val="00FF1EFB"/>
    <w:rsid w:val="00FF3248"/>
    <w:rsid w:val="00FF431D"/>
    <w:rsid w:val="00FF4665"/>
    <w:rsid w:val="00FF4F6E"/>
    <w:rsid w:val="00FF5AE3"/>
    <w:rsid w:val="00FF655E"/>
    <w:rsid w:val="0F772A51"/>
    <w:rsid w:val="16A278CB"/>
    <w:rsid w:val="1B502228"/>
    <w:rsid w:val="1F1D50DB"/>
    <w:rsid w:val="28AD6D61"/>
    <w:rsid w:val="28F955E8"/>
    <w:rsid w:val="32332427"/>
    <w:rsid w:val="340E1690"/>
    <w:rsid w:val="3CDC3D36"/>
    <w:rsid w:val="440E51B2"/>
    <w:rsid w:val="4AE82BF9"/>
    <w:rsid w:val="51791528"/>
    <w:rsid w:val="55DC6DED"/>
    <w:rsid w:val="57735D08"/>
    <w:rsid w:val="5AA02EBC"/>
    <w:rsid w:val="5B7C3D12"/>
    <w:rsid w:val="5E426F85"/>
    <w:rsid w:val="6A2D107E"/>
    <w:rsid w:val="6DB77747"/>
    <w:rsid w:val="70B0671D"/>
    <w:rsid w:val="7DCA3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overflowPunct w:val="0"/>
      <w:adjustRightInd w:val="0"/>
      <w:snapToGrid w:val="0"/>
      <w:spacing w:line="560" w:lineRule="exact"/>
      <w:ind w:firstLine="640" w:firstLineChars="200"/>
      <w:jc w:val="both"/>
    </w:pPr>
    <w:rPr>
      <w:rFonts w:ascii="Times New Roman" w:hAnsi="Times New Roman" w:eastAsia="仿宋_GB2312" w:cs="仿宋_GB2312"/>
      <w:sz w:val="32"/>
      <w:szCs w:val="32"/>
      <w:lang w:val="en-US" w:eastAsia="zh-CN" w:bidi="ar-SA"/>
    </w:rPr>
  </w:style>
  <w:style w:type="paragraph" w:styleId="4">
    <w:name w:val="heading 1"/>
    <w:basedOn w:val="1"/>
    <w:next w:val="1"/>
    <w:link w:val="24"/>
    <w:qFormat/>
    <w:uiPriority w:val="0"/>
    <w:pPr>
      <w:keepNext/>
      <w:keepLines/>
      <w:ind w:firstLine="200"/>
      <w:outlineLvl w:val="0"/>
    </w:pPr>
    <w:rPr>
      <w:rFonts w:eastAsia="黑体" w:cs="黑体"/>
      <w:bCs/>
      <w:kern w:val="44"/>
    </w:rPr>
  </w:style>
  <w:style w:type="paragraph" w:styleId="5">
    <w:name w:val="heading 2"/>
    <w:basedOn w:val="1"/>
    <w:next w:val="1"/>
    <w:link w:val="25"/>
    <w:qFormat/>
    <w:uiPriority w:val="9"/>
    <w:pPr>
      <w:autoSpaceDE w:val="0"/>
      <w:outlineLvl w:val="1"/>
    </w:pPr>
    <w:rPr>
      <w:rFonts w:eastAsia="楷体_GB2312" w:cs="Times New Roman"/>
    </w:rPr>
  </w:style>
  <w:style w:type="paragraph" w:styleId="6">
    <w:name w:val="heading 4"/>
    <w:basedOn w:val="1"/>
    <w:next w:val="1"/>
    <w:unhideWhenUsed/>
    <w:qFormat/>
    <w:uiPriority w:val="0"/>
    <w:pPr>
      <w:keepNext/>
      <w:keepLines/>
      <w:ind w:firstLine="562"/>
      <w:outlineLvl w:val="3"/>
    </w:pPr>
    <w:rPr>
      <w:b/>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left="0" w:leftChars="0" w:firstLine="420"/>
    </w:pPr>
  </w:style>
  <w:style w:type="paragraph" w:styleId="3">
    <w:name w:val="Body Text Indent"/>
    <w:basedOn w:val="1"/>
    <w:qFormat/>
    <w:uiPriority w:val="0"/>
    <w:pPr>
      <w:spacing w:after="120"/>
      <w:ind w:left="420" w:leftChars="200"/>
    </w:pPr>
  </w:style>
  <w:style w:type="paragraph" w:styleId="7">
    <w:name w:val="Normal Indent"/>
    <w:basedOn w:val="1"/>
    <w:unhideWhenUsed/>
    <w:qFormat/>
    <w:uiPriority w:val="99"/>
    <w:pPr>
      <w:ind w:firstLine="420"/>
    </w:pPr>
  </w:style>
  <w:style w:type="paragraph" w:styleId="8">
    <w:name w:val="annotation text"/>
    <w:basedOn w:val="1"/>
    <w:link w:val="22"/>
    <w:qFormat/>
    <w:uiPriority w:val="0"/>
  </w:style>
  <w:style w:type="paragraph" w:styleId="9">
    <w:name w:val="footer"/>
    <w:basedOn w:val="1"/>
    <w:link w:val="18"/>
    <w:qFormat/>
    <w:uiPriority w:val="99"/>
    <w:pPr>
      <w:tabs>
        <w:tab w:val="center" w:pos="4153"/>
        <w:tab w:val="right" w:pos="8306"/>
      </w:tabs>
    </w:pPr>
    <w:rPr>
      <w:sz w:val="18"/>
      <w:szCs w:val="18"/>
    </w:rPr>
  </w:style>
  <w:style w:type="paragraph" w:styleId="10">
    <w:name w:val="header"/>
    <w:basedOn w:val="1"/>
    <w:link w:val="17"/>
    <w:qFormat/>
    <w:uiPriority w:val="0"/>
    <w:pPr>
      <w:tabs>
        <w:tab w:val="center" w:pos="4153"/>
        <w:tab w:val="right" w:pos="8306"/>
      </w:tabs>
      <w:jc w:val="center"/>
    </w:pPr>
    <w:rPr>
      <w:sz w:val="18"/>
      <w:szCs w:val="18"/>
    </w:rPr>
  </w:style>
  <w:style w:type="paragraph" w:styleId="11">
    <w:name w:val="Title"/>
    <w:basedOn w:val="1"/>
    <w:next w:val="1"/>
    <w:link w:val="20"/>
    <w:qFormat/>
    <w:uiPriority w:val="0"/>
    <w:pPr>
      <w:ind w:firstLine="0" w:firstLineChars="0"/>
      <w:jc w:val="center"/>
      <w:outlineLvl w:val="0"/>
    </w:pPr>
    <w:rPr>
      <w:rFonts w:eastAsia="微软雅黑" w:cs="微软雅黑"/>
      <w:sz w:val="44"/>
      <w:szCs w:val="44"/>
    </w:rPr>
  </w:style>
  <w:style w:type="paragraph" w:styleId="12">
    <w:name w:val="annotation subject"/>
    <w:basedOn w:val="8"/>
    <w:next w:val="8"/>
    <w:link w:val="23"/>
    <w:qFormat/>
    <w:uiPriority w:val="0"/>
    <w:pPr>
      <w:jc w:val="left"/>
    </w:pPr>
    <w:rPr>
      <w:b/>
      <w:bCs/>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页眉 字符"/>
    <w:basedOn w:val="15"/>
    <w:link w:val="10"/>
    <w:qFormat/>
    <w:uiPriority w:val="0"/>
    <w:rPr>
      <w:rFonts w:ascii="宋体" w:hAnsi="宋体" w:eastAsia="宋体" w:cs="宋体"/>
      <w:sz w:val="18"/>
      <w:szCs w:val="18"/>
    </w:rPr>
  </w:style>
  <w:style w:type="character" w:customStyle="1" w:styleId="18">
    <w:name w:val="页脚 字符"/>
    <w:basedOn w:val="15"/>
    <w:link w:val="9"/>
    <w:qFormat/>
    <w:uiPriority w:val="99"/>
    <w:rPr>
      <w:rFonts w:ascii="宋体" w:hAnsi="宋体" w:eastAsia="宋体" w:cs="宋体"/>
      <w:sz w:val="18"/>
      <w:szCs w:val="18"/>
    </w:rPr>
  </w:style>
  <w:style w:type="paragraph" w:customStyle="1" w:styleId="19">
    <w:name w:val="修订1"/>
    <w:hidden/>
    <w:unhideWhenUsed/>
    <w:qFormat/>
    <w:uiPriority w:val="99"/>
    <w:rPr>
      <w:rFonts w:ascii="宋体" w:hAnsi="宋体" w:eastAsia="宋体" w:cs="宋体"/>
      <w:sz w:val="24"/>
      <w:szCs w:val="24"/>
      <w:lang w:val="en-US" w:eastAsia="zh-CN" w:bidi="ar-SA"/>
    </w:rPr>
  </w:style>
  <w:style w:type="character" w:customStyle="1" w:styleId="20">
    <w:name w:val="标题 字符"/>
    <w:basedOn w:val="15"/>
    <w:link w:val="11"/>
    <w:qFormat/>
    <w:uiPriority w:val="0"/>
    <w:rPr>
      <w:rFonts w:ascii="Times New Roman" w:hAnsi="Times New Roman" w:eastAsia="微软雅黑" w:cs="微软雅黑"/>
      <w:sz w:val="44"/>
      <w:szCs w:val="44"/>
    </w:rPr>
  </w:style>
  <w:style w:type="paragraph" w:customStyle="1" w:styleId="21">
    <w:name w:val="修订2"/>
    <w:hidden/>
    <w:unhideWhenUsed/>
    <w:qFormat/>
    <w:uiPriority w:val="99"/>
    <w:rPr>
      <w:rFonts w:ascii="Times New Roman" w:hAnsi="Times New Roman" w:eastAsia="仿宋_GB2312" w:cs="仿宋_GB2312"/>
      <w:sz w:val="32"/>
      <w:szCs w:val="32"/>
      <w:lang w:val="en-US" w:eastAsia="zh-CN" w:bidi="ar-SA"/>
    </w:rPr>
  </w:style>
  <w:style w:type="character" w:customStyle="1" w:styleId="22">
    <w:name w:val="批注文字 字符"/>
    <w:basedOn w:val="15"/>
    <w:link w:val="8"/>
    <w:qFormat/>
    <w:uiPriority w:val="0"/>
    <w:rPr>
      <w:rFonts w:ascii="Times New Roman" w:hAnsi="Times New Roman" w:eastAsia="仿宋_GB2312" w:cs="仿宋_GB2312"/>
      <w:sz w:val="32"/>
      <w:szCs w:val="32"/>
    </w:rPr>
  </w:style>
  <w:style w:type="character" w:customStyle="1" w:styleId="23">
    <w:name w:val="批注主题 字符"/>
    <w:basedOn w:val="22"/>
    <w:link w:val="12"/>
    <w:qFormat/>
    <w:uiPriority w:val="0"/>
    <w:rPr>
      <w:rFonts w:ascii="Times New Roman" w:hAnsi="Times New Roman" w:eastAsia="仿宋_GB2312" w:cs="仿宋_GB2312"/>
      <w:b/>
      <w:bCs/>
      <w:sz w:val="32"/>
      <w:szCs w:val="32"/>
    </w:rPr>
  </w:style>
  <w:style w:type="character" w:customStyle="1" w:styleId="24">
    <w:name w:val="标题 1 字符"/>
    <w:basedOn w:val="15"/>
    <w:link w:val="4"/>
    <w:qFormat/>
    <w:uiPriority w:val="0"/>
    <w:rPr>
      <w:rFonts w:ascii="Times New Roman" w:hAnsi="Times New Roman" w:eastAsia="黑体" w:cs="黑体"/>
      <w:bCs/>
      <w:kern w:val="44"/>
      <w:sz w:val="32"/>
      <w:szCs w:val="32"/>
    </w:rPr>
  </w:style>
  <w:style w:type="character" w:customStyle="1" w:styleId="25">
    <w:name w:val="标题 2 字符"/>
    <w:basedOn w:val="15"/>
    <w:link w:val="5"/>
    <w:qFormat/>
    <w:uiPriority w:val="9"/>
    <w:rPr>
      <w:rFonts w:ascii="Times New Roman" w:hAnsi="Times New Roman" w:eastAsia="楷体_GB2312" w:cs="Times New Roman"/>
      <w:sz w:val="32"/>
      <w:szCs w:val="32"/>
    </w:rPr>
  </w:style>
  <w:style w:type="paragraph" w:customStyle="1" w:styleId="26">
    <w:name w:val="修订3"/>
    <w:hidden/>
    <w:unhideWhenUsed/>
    <w:qFormat/>
    <w:uiPriority w:val="99"/>
    <w:rPr>
      <w:rFonts w:ascii="Times New Roman" w:hAnsi="Times New Roman" w:eastAsia="仿宋_GB2312" w:cs="仿宋_GB2312"/>
      <w:sz w:val="32"/>
      <w:szCs w:val="32"/>
      <w:lang w:val="en-US" w:eastAsia="zh-CN" w:bidi="ar-SA"/>
    </w:rPr>
  </w:style>
  <w:style w:type="paragraph" w:customStyle="1" w:styleId="27">
    <w:name w:val="Revision"/>
    <w:hidden/>
    <w:unhideWhenUsed/>
    <w:uiPriority w:val="99"/>
    <w:rPr>
      <w:rFonts w:ascii="Times New Roman" w:hAnsi="Times New Roman" w:eastAsia="仿宋_GB2312" w:cs="仿宋_GB231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16CF14-E8C5-4D2A-8824-0C2175C4F31B}">
  <ds:schemaRefs/>
</ds:datastoreItem>
</file>

<file path=docProps/app.xml><?xml version="1.0" encoding="utf-8"?>
<Properties xmlns="http://schemas.openxmlformats.org/officeDocument/2006/extended-properties" xmlns:vt="http://schemas.openxmlformats.org/officeDocument/2006/docPropsVTypes">
  <Template>Normal</Template>
  <Pages>11</Pages>
  <Words>4067</Words>
  <Characters>4125</Characters>
  <Lines>30</Lines>
  <Paragraphs>8</Paragraphs>
  <TotalTime>6</TotalTime>
  <ScaleCrop>false</ScaleCrop>
  <LinksUpToDate>false</LinksUpToDate>
  <CharactersWithSpaces>4129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2025-03-13T06:52:00Z</dcterms:created>
  <dc:creator>sxj</dc:creator>
  <cp:lastModifiedBy>62428</cp:lastModifiedBy>
  <cp:lastPrinted>2025-03-24T01:37:00Z</cp:lastPrinted>
  <dcterms:modified xsi:type="dcterms:W3CDTF">2026-07-27T03:49:54Z</dcterms:modified>
  <cp:revision>887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54A1F9C463C04DAAA006AF7F61B89834_13</vt:lpwstr>
  </property>
  <property fmtid="{D5CDD505-2E9C-101B-9397-08002B2CF9AE}" pid="4" name="KSOTemplateDocerSaveRecord">
    <vt:lpwstr>eyJoZGlkIjoiYjg5Nzk2MGQ1YzVlMzg3OGIwNDA0OGU4YzI2OWM4MWQiLCJ1c2VySWQiOiIzMDcyMzQ3ODkifQ==</vt:lpwstr>
  </property>
</Properties>
</file>