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0541A">
      <w:pPr>
        <w:tabs>
          <w:tab w:val="left" w:pos="8643"/>
        </w:tabs>
        <w:spacing w:line="580" w:lineRule="exact"/>
        <w:ind w:right="201" w:rightChars="100"/>
        <w:rPr>
          <w:rFonts w:hint="default" w:eastAsia="仿宋_GB2312" w:cs="Times New Roman"/>
          <w:color w:val="auto"/>
          <w:sz w:val="32"/>
          <w:szCs w:val="32"/>
          <w:lang w:val="en-US" w:eastAsia="zh-CN"/>
        </w:rPr>
      </w:pPr>
    </w:p>
    <w:p w14:paraId="0F982BBE">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val="0"/>
        <w:spacing w:line="580" w:lineRule="exact"/>
        <w:ind w:left="0" w:leftChars="0" w:firstLine="0" w:firstLineChars="0"/>
        <w:jc w:val="center"/>
        <w:textAlignment w:val="auto"/>
        <w:outlineLvl w:val="9"/>
        <w:rPr>
          <w:rFonts w:hint="eastAsia" w:ascii="方正小标宋简体" w:hAnsi="方正小标宋简体" w:eastAsia="方正小标宋简体" w:cs="方正小标宋简体"/>
          <w:color w:val="auto"/>
          <w:sz w:val="44"/>
          <w:szCs w:val="44"/>
          <w:lang w:val="en" w:eastAsia="zh-CN"/>
        </w:rPr>
      </w:pPr>
      <w:bookmarkStart w:id="0" w:name="_GoBack"/>
      <w:r>
        <w:rPr>
          <w:rFonts w:hint="eastAsia" w:ascii="方正小标宋简体" w:hAnsi="方正小标宋简体" w:eastAsia="方正小标宋简体" w:cs="方正小标宋简体"/>
          <w:color w:val="auto"/>
          <w:sz w:val="44"/>
          <w:szCs w:val="44"/>
          <w:lang w:val="en" w:eastAsia="zh-CN"/>
        </w:rPr>
        <w:t>天津市智能机器人产业创新发展行动方案</w:t>
      </w:r>
    </w:p>
    <w:p w14:paraId="063429F2">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val="0"/>
        <w:spacing w:line="580" w:lineRule="exact"/>
        <w:ind w:left="0" w:leftChars="0" w:firstLine="0" w:firstLineChars="0"/>
        <w:jc w:val="center"/>
        <w:textAlignment w:val="auto"/>
        <w:outlineLvl w:val="9"/>
        <w:rPr>
          <w:rFonts w:hint="default" w:ascii="Times New Roman" w:hAnsi="Times New Roman" w:eastAsia="方正小标宋简体" w:cs="Times New Roman"/>
          <w:color w:val="auto"/>
          <w:sz w:val="32"/>
          <w:szCs w:val="32"/>
          <w:lang w:val="en" w:eastAsia="zh-CN"/>
        </w:rPr>
      </w:pPr>
      <w:r>
        <w:rPr>
          <w:rFonts w:hint="default" w:ascii="Times New Roman" w:hAnsi="Times New Roman" w:eastAsia="方正小标宋简体" w:cs="Times New Roman"/>
          <w:color w:val="auto"/>
          <w:sz w:val="44"/>
          <w:szCs w:val="44"/>
          <w:lang w:val="en" w:eastAsia="zh-CN"/>
        </w:rPr>
        <w:t>（2026—2028年）</w:t>
      </w:r>
    </w:p>
    <w:bookmarkEnd w:id="0"/>
    <w:p w14:paraId="31393285">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p>
    <w:p w14:paraId="2619B1BF">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color w:val="auto"/>
          <w:sz w:val="32"/>
          <w:szCs w:val="32"/>
          <w:lang w:val="en" w:eastAsia="zh-CN"/>
        </w:rPr>
        <w:t>为深入贯彻国务院关于实施“人工智能+”行动部署，加快推动具身智能产业创新发展，紧紧抓住现代化首都都市圈建设、北京（京津冀）国际科技创新中心扩围机遇，一体推进智能机器人基础研究、技术创新、成果转化、应用推广、服务配套等，加快培育壮大本市智能机器人产业，制定本方案。</w:t>
      </w:r>
    </w:p>
    <w:p w14:paraId="303788BC">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黑体" w:hAnsi="黑体" w:eastAsia="黑体" w:cs="黑体"/>
          <w:color w:val="auto"/>
          <w:sz w:val="32"/>
          <w:szCs w:val="32"/>
          <w:lang w:val="en" w:eastAsia="zh-CN"/>
        </w:rPr>
      </w:pPr>
      <w:r>
        <w:rPr>
          <w:rFonts w:hint="eastAsia" w:ascii="黑体" w:hAnsi="黑体" w:eastAsia="黑体" w:cs="黑体"/>
          <w:color w:val="auto"/>
          <w:sz w:val="32"/>
          <w:szCs w:val="32"/>
          <w:lang w:val="en" w:eastAsia="zh-CN"/>
        </w:rPr>
        <w:t>一、主要工作目标</w:t>
      </w:r>
    </w:p>
    <w:p w14:paraId="4395D783">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color w:val="auto"/>
          <w:sz w:val="32"/>
          <w:szCs w:val="32"/>
          <w:lang w:val="en" w:eastAsia="zh-CN"/>
        </w:rPr>
        <w:t>到2028年底，全市智能机器人产业形成“科技创新+场景牵引”双轮驱动新格局，智能机器人产业京津冀区域配套率提升至60%以上，产值年均增速超过15%，核心产值突破200亿元，形成“研发—制造—应用—服务”全环节、“决策及控制—本体—核心零部件—集成服务”全链条产业生态。建成1个智能机器人创新联合体，争创1至2家国家级创新平台，攻关智能机器人主控芯片、操作系统、减速器、伺服电机等方面核心技术，形成20项技术产品。培育产值超10亿元企业3家以上、国家级专精特新“小巨人”企业20家。建设天津市智能机器人创新中心、天津市智能机器人敏捷智造中心，打造一批展示体验中心。建设不少于20个实景实训空间，在工业制造、特种作业、民生服务等领域形成100个以上示范应用场景。</w:t>
      </w:r>
    </w:p>
    <w:p w14:paraId="47AE466F">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黑体" w:hAnsi="黑体" w:eastAsia="黑体" w:cs="黑体"/>
          <w:color w:val="auto"/>
          <w:sz w:val="32"/>
          <w:szCs w:val="32"/>
          <w:lang w:val="en" w:eastAsia="zh-CN"/>
        </w:rPr>
      </w:pPr>
      <w:r>
        <w:rPr>
          <w:rFonts w:hint="eastAsia" w:ascii="黑体" w:hAnsi="黑体" w:eastAsia="黑体" w:cs="黑体"/>
          <w:color w:val="auto"/>
          <w:sz w:val="32"/>
          <w:szCs w:val="32"/>
          <w:lang w:val="en" w:eastAsia="zh-CN"/>
        </w:rPr>
        <w:t>二、实施六项行动</w:t>
      </w:r>
    </w:p>
    <w:p w14:paraId="2966CA62">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（一）核心技术攻关行动</w:t>
      </w:r>
    </w:p>
    <w:p w14:paraId="0B57F15D">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1．攻关端云协同的芯片和操作系统。</w:t>
      </w:r>
      <w:r>
        <w:rPr>
          <w:rFonts w:hint="eastAsia" w:ascii="Times New Roman" w:hAnsi="Times New Roman" w:eastAsia="仿宋_GB2312"/>
          <w:color w:val="auto"/>
          <w:sz w:val="32"/>
          <w:szCs w:val="32"/>
          <w:lang w:val="en" w:eastAsia="zh-CN"/>
        </w:rPr>
        <w:t>依托本市信创产业基础，聚焦感知、决策、执行等环节，推动“信创底层硬件—机器人智能算力—实时控制软件”融合创新。突破端侧智算芯片及使能软件技术，强化高实时性推理决策能力。攻关忆阻器类脑解码智能芯片，创新数模混合、存算一体等架构，提升运算吞吐量和能效比。突破智能机器人实时操作系统关键技术，支撑多模型部署与异构算力适配，提供模块化软件接口，提升可靠性、通用性、安全性。</w:t>
      </w:r>
      <w:r>
        <w:rPr>
          <w:rFonts w:hint="eastAsia" w:ascii="楷体_GB2312" w:hAnsi="楷体_GB2312" w:eastAsia="楷体_GB2312" w:cs="楷体_GB2312"/>
          <w:color w:val="auto"/>
          <w:sz w:val="32"/>
          <w:szCs w:val="32"/>
          <w:lang w:val="en" w:eastAsia="zh-CN"/>
        </w:rPr>
        <w:t>（市科技局、市发展改革委、市工业和信息化局、市教委，相关区职能部门按职责分工负责）</w:t>
      </w:r>
    </w:p>
    <w:p w14:paraId="44EEF5DE">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2．提升关键零部件性能与质量。</w:t>
      </w:r>
      <w:r>
        <w:rPr>
          <w:rFonts w:hint="eastAsia" w:ascii="Times New Roman" w:hAnsi="Times New Roman" w:eastAsia="仿宋_GB2312"/>
          <w:color w:val="auto"/>
          <w:sz w:val="32"/>
          <w:szCs w:val="32"/>
          <w:lang w:val="en" w:eastAsia="zh-CN"/>
        </w:rPr>
        <w:t>重点推进驱控一体控制器、轻量化高负重比仿生本体结构、高集成度关节、高性能伺服电机、高精度减速器、多模态融合传感器、灵巧手等核心部件技术攻关，在精密传动领域培育制造业单项冠军企业。</w:t>
      </w:r>
      <w:r>
        <w:rPr>
          <w:rFonts w:hint="eastAsia" w:ascii="楷体_GB2312" w:hAnsi="楷体_GB2312" w:eastAsia="楷体_GB2312" w:cs="楷体_GB2312"/>
          <w:color w:val="auto"/>
          <w:sz w:val="32"/>
          <w:szCs w:val="32"/>
          <w:lang w:val="en" w:eastAsia="zh-CN"/>
        </w:rPr>
        <w:t>（市科技局、市发展改革委、市工业和信息化局、市教委，相关区职能部门按职责分工负责）</w:t>
      </w:r>
    </w:p>
    <w:p w14:paraId="164EEBFF">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Times New Roman" w:hAnsi="Times New Roman" w:eastAsia="仿宋_GB2312"/>
          <w:b/>
          <w:bCs/>
          <w:color w:val="auto"/>
          <w:sz w:val="32"/>
          <w:szCs w:val="32"/>
          <w:lang w:val="en" w:eastAsia="zh-CN"/>
        </w:rPr>
        <w:t>3．优化迭代创新算法模型。</w:t>
      </w:r>
      <w:r>
        <w:rPr>
          <w:rFonts w:hint="eastAsia" w:ascii="Times New Roman" w:hAnsi="Times New Roman" w:eastAsia="仿宋_GB2312"/>
          <w:color w:val="auto"/>
          <w:sz w:val="32"/>
          <w:szCs w:val="32"/>
          <w:lang w:val="en" w:eastAsia="zh-CN"/>
        </w:rPr>
        <w:t>重点研发支持端、边、云协同部署的模型架构，增强模型跨环境、跨任务和跨本体的适应性和泛化能力。开发适配典型场景的专用模型，整合抓取、放置、移动等元动作技能，实现高效率、低成本完成任务。研发工业类专用模型不少于200个。</w:t>
      </w:r>
      <w:r>
        <w:rPr>
          <w:rFonts w:hint="eastAsia" w:ascii="楷体_GB2312" w:hAnsi="楷体_GB2312" w:eastAsia="楷体_GB2312" w:cs="楷体_GB2312"/>
          <w:color w:val="auto"/>
          <w:sz w:val="32"/>
          <w:szCs w:val="32"/>
          <w:lang w:val="en" w:eastAsia="zh-CN"/>
        </w:rPr>
        <w:t>（市科技局、市发展改革委、市工业和信息化局、市教委，相关区职能部门按职责分工负责）</w:t>
      </w:r>
    </w:p>
    <w:p w14:paraId="261833F5">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4．加强高质量数据集供给。</w:t>
      </w:r>
      <w:r>
        <w:rPr>
          <w:rFonts w:hint="eastAsia" w:ascii="Times New Roman" w:hAnsi="Times New Roman" w:eastAsia="仿宋_GB2312"/>
          <w:color w:val="auto"/>
          <w:sz w:val="32"/>
          <w:szCs w:val="32"/>
          <w:lang w:val="en" w:eastAsia="zh-CN"/>
        </w:rPr>
        <w:t>围绕汽车、高端装备、新一代信息技术等领域，布局建设智能机器人数据采集、加工、训练综合体，为企业提供数据采集、标注加工、模型训练、检验验证一站式解决方案。鼓励企业、高校、科研机构及相关领域行业组织，加快重点场景物理交互、环境感知、运动控制等真机交互数据集建设，扩大高质量数据集供给，形成支撑智能机器人训练的高质量数据集不少于100个，组织开展行业高质量数据集建设场景供需对接。</w:t>
      </w:r>
      <w:r>
        <w:rPr>
          <w:rFonts w:hint="eastAsia" w:ascii="楷体_GB2312" w:hAnsi="楷体_GB2312" w:eastAsia="楷体_GB2312" w:cs="楷体_GB2312"/>
          <w:color w:val="auto"/>
          <w:sz w:val="32"/>
          <w:szCs w:val="32"/>
          <w:lang w:val="en" w:eastAsia="zh-CN"/>
        </w:rPr>
        <w:t>（市数据局、市工业和信息化局、市科技局，相关区职能部门按职责分工负责）</w:t>
      </w:r>
    </w:p>
    <w:p w14:paraId="6CFF1AEE">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（二）产品谱系培优行动</w:t>
      </w:r>
    </w:p>
    <w:p w14:paraId="5AB2E5D8">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5．做强工业机器人。</w:t>
      </w:r>
      <w:r>
        <w:rPr>
          <w:rFonts w:hint="eastAsia" w:ascii="Times New Roman" w:hAnsi="Times New Roman" w:eastAsia="仿宋_GB2312"/>
          <w:color w:val="auto"/>
          <w:sz w:val="32"/>
          <w:szCs w:val="32"/>
          <w:lang w:val="en" w:eastAsia="zh-CN"/>
        </w:rPr>
        <w:t>立足全市重点产业发展布局，围绕绿色石化、汽车、高端装备、新一代信息技术、新能源、新材料等优势支柱产业智能化改造需求，聚焦焊接、并联加工、精密装配、重载搬运、高精度检测等主流应用品类，聚力研发制造新型高性能工业机器人。巩固并联工业机器人市场占有率国内领先优势。</w:t>
      </w:r>
      <w:r>
        <w:rPr>
          <w:rFonts w:hint="eastAsia" w:ascii="楷体_GB2312" w:hAnsi="楷体_GB2312" w:eastAsia="楷体_GB2312" w:cs="楷体_GB2312"/>
          <w:color w:val="auto"/>
          <w:sz w:val="32"/>
          <w:szCs w:val="32"/>
          <w:lang w:val="en" w:eastAsia="zh-CN"/>
        </w:rPr>
        <w:t>（市工业和信息化局、市发展改革委、市科技局，相关区职能部门按职责分工负责）</w:t>
      </w:r>
    </w:p>
    <w:p w14:paraId="09B5C725">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6．做优特种机器人。</w:t>
      </w:r>
      <w:r>
        <w:rPr>
          <w:rFonts w:hint="eastAsia" w:ascii="Times New Roman" w:hAnsi="Times New Roman" w:eastAsia="仿宋_GB2312"/>
          <w:color w:val="auto"/>
          <w:sz w:val="32"/>
          <w:szCs w:val="32"/>
          <w:lang w:val="en" w:eastAsia="zh-CN"/>
        </w:rPr>
        <w:t>巩固“海—陆—空”特色领域优势，海洋、水下方向重点发展深海探测、水下作业、港口智能装卸机器人；陆域方向布局油气开采、石化化工、电力巡检带电作业、消防救援、管网检测机器人；空中方向重点发展机场跑道检测机器人、多场景巡检空中机器人（无人机）等。全面覆盖能源开采、工业运维、海港空港、应急救援重点场景，提升其复杂环境适应、智能决策及自主作业能力，水下机器人、重载移动机器人等领域关键技术保持国内领先。</w:t>
      </w:r>
      <w:r>
        <w:rPr>
          <w:rFonts w:hint="eastAsia" w:ascii="楷体_GB2312" w:hAnsi="楷体_GB2312" w:eastAsia="楷体_GB2312" w:cs="楷体_GB2312"/>
          <w:color w:val="auto"/>
          <w:sz w:val="32"/>
          <w:szCs w:val="32"/>
          <w:lang w:val="en" w:eastAsia="zh-CN"/>
        </w:rPr>
        <w:t>（市工业和信息化局、市发展改革委、市科技局，相关区职能部门按职责分工负责）</w:t>
      </w:r>
    </w:p>
    <w:p w14:paraId="1417A5E2">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7．做精服务机器人。</w:t>
      </w:r>
      <w:r>
        <w:rPr>
          <w:rFonts w:hint="eastAsia" w:ascii="Times New Roman" w:hAnsi="Times New Roman" w:eastAsia="仿宋_GB2312"/>
          <w:color w:val="auto"/>
          <w:sz w:val="32"/>
          <w:szCs w:val="32"/>
          <w:lang w:val="en" w:eastAsia="zh-CN"/>
        </w:rPr>
        <w:t>面向医疗康养、教育文化、政务商业、社区治理等需求，发展康复辅助、病房巡检、数字人助教、政务咨询、商业导引、家庭安防等服务机器人，形成一批安全可靠的先进适用产品，提升民生服务智能化水平。</w:t>
      </w:r>
      <w:r>
        <w:rPr>
          <w:rFonts w:hint="eastAsia" w:ascii="楷体_GB2312" w:hAnsi="楷体_GB2312" w:eastAsia="楷体_GB2312" w:cs="楷体_GB2312"/>
          <w:color w:val="auto"/>
          <w:sz w:val="32"/>
          <w:szCs w:val="32"/>
          <w:lang w:val="en" w:eastAsia="zh-CN"/>
        </w:rPr>
        <w:t>（市工业和信息化局、市发展改革委、市科技局，相关区职能部门按职责分工负责）</w:t>
      </w:r>
    </w:p>
    <w:p w14:paraId="3081014C">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8．差异化布局人形及仿生机器人。</w:t>
      </w:r>
      <w:r>
        <w:rPr>
          <w:rFonts w:hint="eastAsia" w:ascii="Times New Roman" w:hAnsi="Times New Roman" w:eastAsia="仿宋_GB2312"/>
          <w:color w:val="auto"/>
          <w:sz w:val="32"/>
          <w:szCs w:val="32"/>
          <w:lang w:val="en" w:eastAsia="zh-CN"/>
        </w:rPr>
        <w:t>面向柔性产线自适应作业、多楼层物料转运、家庭陪伴与安全监护、高危和恶劣环境作业等差异化场景，突破动态平衡控制、复杂环境适应、人机安全交互等核心技术以及轻质高强度合金、柔性电子、超滑减阻等关键新材料，重点发展混合移动式、足式、轮履式等人形及新型仿生机器人，推动人形和四足机器人形成独立品牌并实现规模化量产。</w:t>
      </w:r>
      <w:r>
        <w:rPr>
          <w:rFonts w:hint="eastAsia" w:ascii="楷体_GB2312" w:hAnsi="楷体_GB2312" w:eastAsia="楷体_GB2312" w:cs="楷体_GB2312"/>
          <w:color w:val="auto"/>
          <w:sz w:val="32"/>
          <w:szCs w:val="32"/>
          <w:lang w:val="en" w:eastAsia="zh-CN"/>
        </w:rPr>
        <w:t>（市工业和信息化局、市发展改革委、市科技局，相关区职能部门按职责分工负责）</w:t>
      </w:r>
    </w:p>
    <w:p w14:paraId="0A5D4F5D">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（三）强企兴链聚群行动</w:t>
      </w:r>
    </w:p>
    <w:p w14:paraId="04F61EAB">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9．梯度培育企业主体。</w:t>
      </w:r>
      <w:r>
        <w:rPr>
          <w:rFonts w:hint="eastAsia" w:ascii="Times New Roman" w:hAnsi="Times New Roman" w:eastAsia="仿宋_GB2312"/>
          <w:color w:val="auto"/>
          <w:sz w:val="32"/>
          <w:szCs w:val="32"/>
          <w:lang w:val="en" w:eastAsia="zh-CN"/>
        </w:rPr>
        <w:t>着力培育具有全球竞争力的智能机器人领军企业，支持建设具有生态影响力的智能机器人全栈自研技术体系。面向企业初创、成长、成熟等全生命周期提供精准服务，构建“创新型中小企业、专精特新中小企业、国家级专精特新‘小巨人’企业—制造业单项冠军企业”和“科技型中小企业—国家高新技术企业—科技领军企业”双螺旋梯度培育体系。</w:t>
      </w:r>
      <w:r>
        <w:rPr>
          <w:rFonts w:hint="eastAsia" w:ascii="楷体_GB2312" w:hAnsi="楷体_GB2312" w:eastAsia="楷体_GB2312" w:cs="楷体_GB2312"/>
          <w:color w:val="auto"/>
          <w:sz w:val="32"/>
          <w:szCs w:val="32"/>
          <w:lang w:val="en" w:eastAsia="zh-CN"/>
        </w:rPr>
        <w:t>（市工业和信息化局、市科技局，相关区职能部门按职责分工负责）</w:t>
      </w:r>
    </w:p>
    <w:p w14:paraId="6CDB48FF">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10．加强关键零部件配套。</w:t>
      </w:r>
      <w:r>
        <w:rPr>
          <w:rFonts w:hint="eastAsia" w:ascii="Times New Roman" w:hAnsi="Times New Roman" w:eastAsia="仿宋_GB2312"/>
          <w:color w:val="auto"/>
          <w:sz w:val="32"/>
          <w:szCs w:val="32"/>
          <w:lang w:val="en" w:eastAsia="zh-CN"/>
        </w:rPr>
        <w:t>立足京津冀机器人产业协同发展布局，聚焦区域产业链供应链韧性提升与协同保障核心需求，打通产业链关键堵点、断点，加速推进关键零部件本地及区域化配套，京津冀区域配套率提升至60%以上。推动现有汽车产业提升整车装配、精密零部件加工、动力传动和伺服控制、电池制造等能力，力争20%以上规上企业复用转化应用于智能机器人本体制造、核心零部件研发及系统集成领域。打造一批解决方案服务商，面向特定行业需求提供产品定制开发、环境改造与应用培训等服务。</w:t>
      </w:r>
      <w:r>
        <w:rPr>
          <w:rFonts w:hint="eastAsia" w:ascii="楷体_GB2312" w:hAnsi="楷体_GB2312" w:eastAsia="楷体_GB2312" w:cs="楷体_GB2312"/>
          <w:color w:val="auto"/>
          <w:sz w:val="32"/>
          <w:szCs w:val="32"/>
          <w:lang w:val="en" w:eastAsia="zh-CN"/>
        </w:rPr>
        <w:t>（市工业和信息化局、市发展改革委，相关区职能部门按职责分工负责）</w:t>
      </w:r>
    </w:p>
    <w:p w14:paraId="1F09F3E8">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11．打造特色产业聚集区。</w:t>
      </w:r>
      <w:r>
        <w:rPr>
          <w:rFonts w:hint="eastAsia" w:ascii="Times New Roman" w:hAnsi="Times New Roman" w:eastAsia="仿宋_GB2312"/>
          <w:color w:val="auto"/>
          <w:sz w:val="32"/>
          <w:szCs w:val="32"/>
          <w:lang w:val="en" w:eastAsia="zh-CN"/>
        </w:rPr>
        <w:t>支持各重点区立足资源禀赋、聚焦细分赛道，打造主题鲜明、特色突出的智能机器人产业聚集区。支持滨海新区依托高端装备制造基础与海洋、港口特色场景，打造智能机器人核心产业综合承载区；支持南开区依托天开高教科创园核心区聚焦前端研发与中试转化，打造高校科技成果孵化承载地；</w:t>
      </w:r>
      <w:r>
        <w:rPr>
          <w:rFonts w:hint="eastAsia" w:ascii="Times New Roman" w:hAnsi="Times New Roman" w:eastAsia="仿宋_GB2312"/>
          <w:color w:val="auto"/>
          <w:sz w:val="32"/>
          <w:szCs w:val="32"/>
          <w:u w:val="none"/>
          <w:lang w:val="en" w:eastAsia="zh-CN"/>
        </w:rPr>
        <w:t>支持河西区打造具身智能主题产业园、支持和平区依托模创社区</w:t>
      </w:r>
      <w:r>
        <w:rPr>
          <w:rFonts w:hint="eastAsia" w:ascii="Times New Roman" w:hAnsi="Times New Roman" w:eastAsia="仿宋_GB2312"/>
          <w:color w:val="auto"/>
          <w:sz w:val="32"/>
          <w:szCs w:val="32"/>
          <w:lang w:val="en" w:eastAsia="zh-CN"/>
        </w:rPr>
        <w:t>，重点发展模型算法、多模态数据服务与系统集成等；支持津南区突出产教融合，建设智能机器人产业园和技能人才实训基地，发展工业机器人、仿生机器人及智能职教装备等；支持武清区重点对接北京人形机器人整机配套需求，发展高价值零部件制造、“人车复用”配套及集成应用；支持北辰区聚焦核心零部件攻坚与特种机器人孵化，重点布局精密减速器、无感传动等关键部件及康养、特种机器人；支持西青区依托天津南站科技商务区、天开高教科创园西青园等载体，重点发展传感器等关键零部件以及重载移动机器人等；</w:t>
      </w:r>
      <w:r>
        <w:rPr>
          <w:rFonts w:hint="eastAsia" w:ascii="Times New Roman" w:hAnsi="Times New Roman" w:eastAsia="仿宋_GB2312"/>
          <w:color w:val="auto"/>
          <w:sz w:val="32"/>
          <w:szCs w:val="32"/>
          <w:lang w:val="en-US" w:eastAsia="zh-CN"/>
        </w:rPr>
        <w:t>支持东丽区对接京津冀发展布局，重点发展工业机器人、医用机器人等</w:t>
      </w:r>
      <w:r>
        <w:rPr>
          <w:rFonts w:hint="eastAsia" w:ascii="Times New Roman" w:hAnsi="Times New Roman" w:eastAsia="仿宋_GB2312"/>
          <w:color w:val="auto"/>
          <w:sz w:val="32"/>
          <w:szCs w:val="32"/>
          <w:lang w:val="en" w:eastAsia="zh-CN"/>
        </w:rPr>
        <w:t>。</w:t>
      </w:r>
      <w:r>
        <w:rPr>
          <w:rFonts w:hint="eastAsia" w:ascii="Times New Roman" w:hAnsi="Times New Roman" w:eastAsia="仿宋_GB2312"/>
          <w:color w:val="auto"/>
          <w:sz w:val="32"/>
          <w:szCs w:val="32"/>
          <w:lang w:val="en-US" w:eastAsia="zh-CN"/>
        </w:rPr>
        <w:t>鼓励各区立足本区资源禀赋和产业基础发展机器人产业。</w:t>
      </w:r>
      <w:r>
        <w:rPr>
          <w:rFonts w:hint="eastAsia" w:ascii="楷体_GB2312" w:hAnsi="楷体_GB2312" w:eastAsia="楷体_GB2312" w:cs="楷体_GB2312"/>
          <w:color w:val="auto"/>
          <w:sz w:val="32"/>
          <w:szCs w:val="32"/>
          <w:lang w:val="en" w:eastAsia="zh-CN"/>
        </w:rPr>
        <w:t>（市工业和信息化局、市发展改革委、市科技局、市规划资源局，滨海新区、南开区、河西区、津南区、武清区、北辰区、西青区、和平区、东丽区等相关区职能部门按职责分工负责）</w:t>
      </w:r>
    </w:p>
    <w:p w14:paraId="2554B903">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12．大力开展招商引资。</w:t>
      </w:r>
      <w:r>
        <w:rPr>
          <w:rFonts w:hint="eastAsia" w:ascii="Times New Roman" w:hAnsi="Times New Roman" w:eastAsia="仿宋_GB2312"/>
          <w:color w:val="auto"/>
          <w:sz w:val="32"/>
          <w:szCs w:val="32"/>
          <w:lang w:val="en" w:eastAsia="zh-CN"/>
        </w:rPr>
        <w:t>立足本市智能机器人领域创新成果，推行“本地成果+产业链招商”模式，依托自有创新资源吸引产业链核心企业落地转化研发成果。聚焦本体制造、核心零部件、系统集成、算法软件等重点领域开展靶向招商。创新招商方式，采取“一企一策”方式开展“政府+链主企业+行业组织”联合招商，每年推动3至5个高质量项目落地，引育重点零部件配套项目不少于10个。</w:t>
      </w:r>
      <w:r>
        <w:rPr>
          <w:rFonts w:hint="eastAsia" w:ascii="楷体_GB2312" w:hAnsi="楷体_GB2312" w:eastAsia="楷体_GB2312" w:cs="楷体_GB2312"/>
          <w:color w:val="auto"/>
          <w:sz w:val="32"/>
          <w:szCs w:val="32"/>
          <w:lang w:val="en" w:eastAsia="zh-CN"/>
        </w:rPr>
        <w:t>（市投资促进局、市工业和信息化局，相关区职能部门按职责分工负责）</w:t>
      </w:r>
    </w:p>
    <w:p w14:paraId="58FA5E6D">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（四）共性平台赋能行动</w:t>
      </w:r>
    </w:p>
    <w:p w14:paraId="001B4709">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Times New Roman" w:hAnsi="Times New Roman" w:eastAsia="仿宋_GB2312"/>
          <w:b/>
          <w:bCs/>
          <w:color w:val="auto"/>
          <w:sz w:val="32"/>
          <w:szCs w:val="32"/>
          <w:lang w:val="en" w:eastAsia="zh-CN"/>
        </w:rPr>
        <w:t>13．搭建共性技术支撑平台。</w:t>
      </w:r>
      <w:r>
        <w:rPr>
          <w:rFonts w:hint="eastAsia" w:ascii="Times New Roman" w:hAnsi="Times New Roman" w:eastAsia="仿宋_GB2312"/>
          <w:color w:val="auto"/>
          <w:sz w:val="32"/>
          <w:szCs w:val="32"/>
          <w:lang w:val="en" w:eastAsia="zh-CN"/>
        </w:rPr>
        <w:t>聚焦智能机器人领域核心技术攻关与创新能力提升，动态完善《天津市智能机器人技术创新图谱》和天津市智能机器人领域重点高校技术成果清单，布局智能机器人方向市级重点实验室1至2个，研究建立相关海河实验室；引导优质企业联合上下游企业和高校院所组建天津市智能机器人创新联合体，面向需求场景开展技术与产品迭代；支持建设跨学科智能机器人研究院、应用创新中心、中试验证中心、检验检测平台等，提升技术研发、成果孵化、中试转化、检测认证等能力。编制智能机器人产业专利导航路线图，搭建专利与企业对接桥梁，促进专利成果转化应用。</w:t>
      </w:r>
      <w:r>
        <w:rPr>
          <w:rFonts w:hint="eastAsia" w:ascii="楷体_GB2312" w:hAnsi="楷体_GB2312" w:eastAsia="楷体_GB2312" w:cs="楷体_GB2312"/>
          <w:color w:val="auto"/>
          <w:sz w:val="32"/>
          <w:szCs w:val="32"/>
          <w:lang w:val="en" w:eastAsia="zh-CN"/>
        </w:rPr>
        <w:t>（市科技局、市工业和信息化局、市发展改革委、市教委、市知识产权局，相关区职能部门按职责分工负责）</w:t>
      </w:r>
    </w:p>
    <w:p w14:paraId="5FCCABD8">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14．打造产业创新服务平台。</w:t>
      </w:r>
      <w:r>
        <w:rPr>
          <w:rFonts w:hint="eastAsia" w:ascii="Times New Roman" w:hAnsi="Times New Roman" w:eastAsia="仿宋_GB2312"/>
          <w:color w:val="auto"/>
          <w:sz w:val="32"/>
          <w:szCs w:val="32"/>
          <w:lang w:val="en" w:eastAsia="zh-CN"/>
        </w:rPr>
        <w:t>整合全市智能机器人领域智能制造设备、生产工艺、仿真测试、算力数据等优质资源，建设2至3个开放共享的柔性和敏捷制造公共服务平台，面向产业链企业提供柔性化定制生产、工艺迭代优化、小批量试生产、产能共享等服务。推动搭建天津市智能机器人敏捷智造中心，面向南开大学、天津大学等高校师生与天开高教科创园及周边科技型小微企业开展概念验证、首台套试制、小批量个性化定制、成果转化等服务。鼓励各相关区责任部门结合产业基础与发展定位，布局市场化、专业化智能机器人服务平台，加速新技术落地、新产品研发与快速迭代，激发产业发展活力。</w:t>
      </w:r>
      <w:r>
        <w:rPr>
          <w:rFonts w:hint="eastAsia" w:ascii="楷体_GB2312" w:hAnsi="楷体_GB2312" w:eastAsia="楷体_GB2312" w:cs="楷体_GB2312"/>
          <w:color w:val="auto"/>
          <w:sz w:val="32"/>
          <w:szCs w:val="32"/>
          <w:lang w:val="en" w:eastAsia="zh-CN"/>
        </w:rPr>
        <w:t>（市工业和信息化局、市发展改革委、市科技局，南开区等相关区职能部门按职责分工负责）</w:t>
      </w:r>
    </w:p>
    <w:p w14:paraId="1E893F70">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Times New Roman" w:hAnsi="Times New Roman" w:eastAsia="仿宋_GB2312"/>
          <w:b/>
          <w:bCs/>
          <w:color w:val="auto"/>
          <w:sz w:val="32"/>
          <w:szCs w:val="32"/>
          <w:lang w:val="en" w:eastAsia="zh-CN"/>
        </w:rPr>
        <w:t>15．健全行业组织。</w:t>
      </w:r>
      <w:r>
        <w:rPr>
          <w:rFonts w:hint="eastAsia" w:ascii="Times New Roman" w:hAnsi="Times New Roman" w:eastAsia="仿宋_GB2312"/>
          <w:color w:val="auto"/>
          <w:sz w:val="32"/>
          <w:szCs w:val="32"/>
          <w:lang w:val="en" w:eastAsia="zh-CN"/>
        </w:rPr>
        <w:t>发挥好天津市机器人产业技术联盟作用，整合产业链上下游企业、高校院所、金融机构等多方资源，常态化开展整机与零部件企业供需对接、难点堵点与关键核心技术研讨和联合攻关、新产品与典型应用案例推介、专业人才引育交流等活动，推动产业链聚链成势、协同攻关、共建生态，促进学学相长、研企相长、企企相长。发挥行业组织纽带作用，依托天津市机器人产业协会、京津冀智能制造装备产业联盟等机构，常态化开展科技成果转化、上下游供需对接、行业标准研制等工作，打造服务京津冀、辐射全国的智能机器人综合服务体系。</w:t>
      </w:r>
      <w:r>
        <w:rPr>
          <w:rFonts w:hint="eastAsia" w:ascii="楷体_GB2312" w:hAnsi="楷体_GB2312" w:eastAsia="楷体_GB2312" w:cs="楷体_GB2312"/>
          <w:color w:val="auto"/>
          <w:sz w:val="32"/>
          <w:szCs w:val="32"/>
          <w:lang w:val="en" w:eastAsia="zh-CN"/>
        </w:rPr>
        <w:t>（市工业和信息化局、市发展改革委、市科技局，相关区职能部门按职责分工负责）</w:t>
      </w:r>
    </w:p>
    <w:p w14:paraId="2BCCCEDD">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（五）京津冀协同提速行动</w:t>
      </w:r>
    </w:p>
    <w:p w14:paraId="494B5670">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16．主动对接北京优质资源。</w:t>
      </w:r>
      <w:r>
        <w:rPr>
          <w:rFonts w:hint="eastAsia" w:ascii="Times New Roman" w:hAnsi="Times New Roman" w:eastAsia="仿宋_GB2312"/>
          <w:color w:val="auto"/>
          <w:sz w:val="32"/>
          <w:szCs w:val="32"/>
          <w:lang w:val="en" w:eastAsia="zh-CN"/>
        </w:rPr>
        <w:t>积极争取国家战略科技力量布局，主动融入北京（京津冀）国际科技创新中心，加快推进京津冀人形机器人产业链协进工程，全方位对接区域机器人产业发展规划与创新体系，推动更多成果在津转化。持续深化科创资源联动合作，积极拓展与国家地方共建具身智能机器人创新中心、中关村机器人产业创新中心等科创平台的深度合作，搭建产学研用协同合作通道，联合开展技术攻关、产品迭代和场景试点应用，充分借力北京科创资源优势，破解产业核心技术瓶颈。</w:t>
      </w:r>
      <w:r>
        <w:rPr>
          <w:rFonts w:hint="eastAsia" w:ascii="楷体_GB2312" w:hAnsi="楷体_GB2312" w:eastAsia="楷体_GB2312" w:cs="楷体_GB2312"/>
          <w:color w:val="auto"/>
          <w:sz w:val="32"/>
          <w:szCs w:val="32"/>
          <w:lang w:val="en" w:eastAsia="zh-CN"/>
        </w:rPr>
        <w:t>（市工业和信息化局、市发展改革委、市科技局，相关区职能部门按职责分工负责）</w:t>
      </w:r>
    </w:p>
    <w:p w14:paraId="7822F970">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17．推动区域资源共享。</w:t>
      </w:r>
      <w:r>
        <w:rPr>
          <w:rFonts w:hint="eastAsia" w:ascii="Times New Roman" w:hAnsi="Times New Roman" w:eastAsia="仿宋_GB2312"/>
          <w:color w:val="auto"/>
          <w:sz w:val="32"/>
          <w:szCs w:val="32"/>
          <w:lang w:val="en" w:eastAsia="zh-CN"/>
        </w:rPr>
        <w:t>立足区域产业互补优势，联动北京市、河北省扎实推进智能机器人产业基础配套建设，重点完善基础材料、核心零部件加工、精密制造配套等上下游产业体系，补齐区域产业配套短板，构建分工明确、优势互补、高效协同的产业发展格局。全力推动京津冀机器人全产业链协同体系建设，打通区域间技术成果转化壁垒，推进产品检测认证、资源互通共享，健全区域供应链、产业链、创新链配套机制，促进创新资源、产业资源、市场资源高效流转整合，持续打造资源共享、优势互补、协同共赢的京津冀机器人产业协同发展共同体，推动区域智能机器人产业高质量协同发展。</w:t>
      </w:r>
      <w:r>
        <w:rPr>
          <w:rFonts w:hint="eastAsia" w:ascii="楷体_GB2312" w:hAnsi="楷体_GB2312" w:eastAsia="楷体_GB2312" w:cs="楷体_GB2312"/>
          <w:color w:val="auto"/>
          <w:sz w:val="32"/>
          <w:szCs w:val="32"/>
          <w:lang w:val="en" w:eastAsia="zh-CN"/>
        </w:rPr>
        <w:t>（市工业和信息化局、市科技局、市发展改革委、市投资促进局，相关区职能部门按职责分工负责）</w:t>
      </w:r>
    </w:p>
    <w:p w14:paraId="3A0D8E54">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（六）应用场景示范行动</w:t>
      </w:r>
    </w:p>
    <w:p w14:paraId="0075ADD3">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18．打造具身智能实景实训场景。</w:t>
      </w:r>
      <w:r>
        <w:rPr>
          <w:rFonts w:hint="eastAsia" w:ascii="Times New Roman" w:hAnsi="Times New Roman" w:eastAsia="仿宋_GB2312"/>
          <w:color w:val="auto"/>
          <w:sz w:val="32"/>
          <w:szCs w:val="32"/>
          <w:lang w:val="en" w:eastAsia="zh-CN"/>
        </w:rPr>
        <w:t>加快推动智能机器人在真实生产生活环境中常态化部署应用，围绕工业、服务、特种领域，聚焦生产制造、检测分析、维修维护、仓储物流、餐饮零售、医疗康养、安全生产、应急救援、防灾减灾等重点场景的人形机器人、四足机器人应用需求，打造实景实训空间，鼓励以用户单位、整机企业（或应用服务商）为主体，会同模型算法、零部件等供应链企业以及科研院所等，围绕实景实训空间组建创新应用联合体，攻关实用化作业技能，加快实景应用验证与常态部署。</w:t>
      </w:r>
      <w:r>
        <w:rPr>
          <w:rFonts w:hint="eastAsia" w:ascii="楷体_GB2312" w:hAnsi="楷体_GB2312" w:eastAsia="楷体_GB2312" w:cs="楷体_GB2312"/>
          <w:color w:val="auto"/>
          <w:sz w:val="32"/>
          <w:szCs w:val="32"/>
          <w:lang w:val="en" w:eastAsia="zh-CN"/>
        </w:rPr>
        <w:t>（市工业和信息化局、市国资委，相关区职能部门按职责分工负责）</w:t>
      </w:r>
    </w:p>
    <w:p w14:paraId="2D766846">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19．深化工业制造场景应用。</w:t>
      </w:r>
      <w:r>
        <w:rPr>
          <w:rFonts w:hint="eastAsia" w:ascii="Times New Roman" w:hAnsi="Times New Roman" w:eastAsia="仿宋_GB2312"/>
          <w:color w:val="auto"/>
          <w:sz w:val="32"/>
          <w:szCs w:val="32"/>
          <w:lang w:val="en" w:eastAsia="zh-CN"/>
        </w:rPr>
        <w:t>推动“机器人+制造”深度融合，在绿色石化、汽车、高端装备、生物医药、新一代信息技术、新能源、新材料等领域，面向生产制造、检验检测、运维管理等制造业核心环节，打造工业制造示范应用场景不少于40个，积极探索构建基于智能机器人的制造业新型生产模式。</w:t>
      </w:r>
      <w:r>
        <w:rPr>
          <w:rFonts w:hint="eastAsia" w:ascii="楷体_GB2312" w:hAnsi="楷体_GB2312" w:eastAsia="楷体_GB2312" w:cs="楷体_GB2312"/>
          <w:color w:val="auto"/>
          <w:sz w:val="32"/>
          <w:szCs w:val="32"/>
          <w:lang w:val="en" w:eastAsia="zh-CN"/>
        </w:rPr>
        <w:t>（市工业和信息化局，相关区职能部门按职责分工负责）</w:t>
      </w:r>
    </w:p>
    <w:p w14:paraId="04F81F06">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Times New Roman" w:hAnsi="Times New Roman" w:eastAsia="仿宋_GB2312"/>
          <w:b/>
          <w:bCs/>
          <w:color w:val="auto"/>
          <w:sz w:val="32"/>
          <w:szCs w:val="32"/>
          <w:lang w:val="en" w:eastAsia="zh-CN"/>
        </w:rPr>
        <w:t>20．推进特种作业场景应用。</w:t>
      </w:r>
      <w:r>
        <w:rPr>
          <w:rFonts w:hint="eastAsia" w:ascii="Times New Roman" w:hAnsi="Times New Roman" w:eastAsia="仿宋_GB2312"/>
          <w:color w:val="auto"/>
          <w:sz w:val="32"/>
          <w:szCs w:val="32"/>
          <w:lang w:val="en" w:eastAsia="zh-CN"/>
        </w:rPr>
        <w:t>在海洋开发、港口物流、电力运维、交通运输、应急处置等领域，以示范项目牵引特种机器人应用落地，多领域拓展特种作业智能应用场景，打造特种作业示范应用场景不少于30个，全方位赋能产业升级与城市现代化治理。</w:t>
      </w:r>
      <w:r>
        <w:rPr>
          <w:rFonts w:hint="eastAsia" w:ascii="楷体_GB2312" w:hAnsi="楷体_GB2312" w:eastAsia="楷体_GB2312" w:cs="楷体_GB2312"/>
          <w:color w:val="auto"/>
          <w:sz w:val="32"/>
          <w:szCs w:val="32"/>
          <w:lang w:val="en" w:eastAsia="zh-CN"/>
        </w:rPr>
        <w:t>（市发展改革委、市工业和信息化局、市科技局、市国资委、市交通运输委、市应急管理局等，相关区职能部门按职责分工负责）</w:t>
      </w:r>
    </w:p>
    <w:p w14:paraId="39F8B9B4">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Times New Roman" w:hAnsi="Times New Roman" w:eastAsia="仿宋_GB2312"/>
          <w:b/>
          <w:bCs/>
          <w:color w:val="auto"/>
          <w:sz w:val="32"/>
          <w:szCs w:val="32"/>
          <w:lang w:val="en" w:eastAsia="zh-CN"/>
        </w:rPr>
        <w:t>21．拓展民生服务场景应用。</w:t>
      </w:r>
      <w:r>
        <w:rPr>
          <w:rFonts w:hint="eastAsia" w:ascii="Times New Roman" w:hAnsi="Times New Roman" w:eastAsia="仿宋_GB2312"/>
          <w:color w:val="auto"/>
          <w:sz w:val="32"/>
          <w:szCs w:val="32"/>
          <w:lang w:val="en" w:eastAsia="zh-CN"/>
        </w:rPr>
        <w:t>在城市治理、智能家居、医疗康养、教育、文旅商圈等领域，以提升公共服务便捷化为核心，打造民生服务示范应用场景不少于30个，推动智能机器人在民生服务领域深度应用，</w:t>
      </w:r>
      <w:r>
        <w:rPr>
          <w:rFonts w:hint="eastAsia" w:ascii="Times New Roman" w:hAnsi="Times New Roman" w:eastAsia="仿宋_GB2312"/>
          <w:color w:val="auto"/>
          <w:sz w:val="32"/>
          <w:szCs w:val="32"/>
          <w:lang w:val="en-US" w:eastAsia="zh-CN"/>
        </w:rPr>
        <w:t>围绕</w:t>
      </w:r>
      <w:r>
        <w:rPr>
          <w:rFonts w:hint="eastAsia" w:ascii="Times New Roman" w:hAnsi="Times New Roman" w:eastAsia="仿宋_GB2312"/>
          <w:color w:val="auto"/>
          <w:sz w:val="32"/>
          <w:szCs w:val="32"/>
          <w:lang w:val="en" w:eastAsia="zh-CN"/>
        </w:rPr>
        <w:t>117大厦和蓝海公园打造示范应用场景。</w:t>
      </w:r>
      <w:r>
        <w:rPr>
          <w:rFonts w:hint="eastAsia" w:ascii="楷体_GB2312" w:hAnsi="楷体_GB2312" w:eastAsia="楷体_GB2312" w:cs="楷体_GB2312"/>
          <w:color w:val="auto"/>
          <w:sz w:val="32"/>
          <w:szCs w:val="32"/>
          <w:lang w:val="en" w:eastAsia="zh-CN"/>
        </w:rPr>
        <w:t>（市发展改革委、市科技局、市卫生健康委、市商务局、市教委、市文化和旅游局、市城市管理委、市民政局、市残联等，</w:t>
      </w:r>
      <w:r>
        <w:rPr>
          <w:rFonts w:hint="eastAsia" w:ascii="楷体_GB2312" w:hAnsi="楷体_GB2312" w:eastAsia="楷体_GB2312" w:cs="楷体_GB2312"/>
          <w:color w:val="auto"/>
          <w:sz w:val="32"/>
          <w:szCs w:val="32"/>
          <w:u w:val="none"/>
          <w:lang w:val="en" w:eastAsia="zh-CN"/>
        </w:rPr>
        <w:t>滨海高新区等</w:t>
      </w:r>
      <w:r>
        <w:rPr>
          <w:rFonts w:hint="eastAsia" w:ascii="楷体_GB2312" w:hAnsi="楷体_GB2312" w:eastAsia="楷体_GB2312" w:cs="楷体_GB2312"/>
          <w:color w:val="auto"/>
          <w:sz w:val="32"/>
          <w:szCs w:val="32"/>
          <w:lang w:val="en" w:eastAsia="zh-CN"/>
        </w:rPr>
        <w:t>相关区职能部门按职责分工负责）</w:t>
      </w:r>
    </w:p>
    <w:p w14:paraId="34261AED">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黑体" w:hAnsi="黑体" w:eastAsia="黑体" w:cs="黑体"/>
          <w:color w:val="auto"/>
          <w:sz w:val="32"/>
          <w:szCs w:val="32"/>
          <w:lang w:val="en" w:eastAsia="zh-CN"/>
        </w:rPr>
      </w:pPr>
      <w:r>
        <w:rPr>
          <w:rFonts w:hint="eastAsia" w:ascii="黑体" w:hAnsi="黑体" w:eastAsia="黑体" w:cs="黑体"/>
          <w:color w:val="auto"/>
          <w:sz w:val="32"/>
          <w:szCs w:val="32"/>
          <w:lang w:val="en" w:eastAsia="zh-CN"/>
        </w:rPr>
        <w:t>三、强化要素保障</w:t>
      </w:r>
    </w:p>
    <w:p w14:paraId="1B3F3D6E">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（一）强化金融赋能。</w:t>
      </w:r>
      <w:r>
        <w:rPr>
          <w:rFonts w:hint="eastAsia" w:ascii="Times New Roman" w:hAnsi="Times New Roman" w:eastAsia="仿宋_GB2312"/>
          <w:color w:val="auto"/>
          <w:sz w:val="32"/>
          <w:szCs w:val="32"/>
          <w:lang w:val="en" w:eastAsia="zh-CN"/>
        </w:rPr>
        <w:t>构建政府引导、市场主导的多元基金体系，鼓励海河产业基金、科创母基金、各区产业基金强化智能机器人领域投资，研究设立市级机器人产业专项基金，争取国家级基金支持，重点投向核心零部件研发、整机制造、人工智能与机器人融合、面向特定场景应用的智能机器人等关键领域。鼓励企业在境内外上市，建立智能机器人企业“白名单”融资机制，开展知识产权质押融资、产业链供应链金融服务。依托天津东疆综合保税区融资租赁</w:t>
      </w:r>
      <w:r>
        <w:rPr>
          <w:rFonts w:hint="eastAsia" w:eastAsia="仿宋_GB2312"/>
          <w:color w:val="auto"/>
          <w:szCs w:val="32"/>
          <w:highlight w:val="none"/>
          <w:u w:val="none"/>
          <w:lang w:val="en"/>
        </w:rPr>
        <w:t>和滨海高新区科技租赁</w:t>
      </w:r>
      <w:r>
        <w:rPr>
          <w:rFonts w:hint="eastAsia" w:ascii="Times New Roman" w:hAnsi="Times New Roman" w:eastAsia="仿宋_GB2312"/>
          <w:color w:val="auto"/>
          <w:sz w:val="32"/>
          <w:szCs w:val="32"/>
          <w:u w:val="none"/>
          <w:lang w:val="en" w:eastAsia="zh-CN"/>
        </w:rPr>
        <w:t>产</w:t>
      </w:r>
      <w:r>
        <w:rPr>
          <w:rFonts w:hint="eastAsia" w:ascii="Times New Roman" w:hAnsi="Times New Roman" w:eastAsia="仿宋_GB2312"/>
          <w:color w:val="auto"/>
          <w:sz w:val="32"/>
          <w:szCs w:val="32"/>
          <w:lang w:val="en" w:eastAsia="zh-CN"/>
        </w:rPr>
        <w:t>业优势，探索开展智能机器人以租代售、委托租赁、杠杆租赁等现代化科技租赁服务。</w:t>
      </w:r>
      <w:r>
        <w:rPr>
          <w:rFonts w:hint="eastAsia" w:ascii="楷体_GB2312" w:hAnsi="楷体_GB2312" w:eastAsia="楷体_GB2312" w:cs="楷体_GB2312"/>
          <w:color w:val="auto"/>
          <w:sz w:val="32"/>
          <w:szCs w:val="32"/>
          <w:lang w:val="en" w:eastAsia="zh-CN"/>
        </w:rPr>
        <w:t>（市地方金融管理局、市财政局、市知识产权局、市发展改革委、市工业和信息化局、天津证监局，相关区职能部门按职责分工负责）</w:t>
      </w:r>
    </w:p>
    <w:p w14:paraId="125C0095">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（二）加强人才培养。</w:t>
      </w:r>
      <w:r>
        <w:rPr>
          <w:rFonts w:hint="eastAsia" w:ascii="Times New Roman" w:hAnsi="Times New Roman" w:eastAsia="仿宋_GB2312"/>
          <w:color w:val="auto"/>
          <w:sz w:val="32"/>
          <w:szCs w:val="32"/>
          <w:lang w:val="en" w:eastAsia="zh-CN"/>
        </w:rPr>
        <w:t>充分利用科技创新人才政策，加大对科创人才的引育扶持力度，精准引进智能机器人算法、核心零部件研发、系统集成等领域的高层次人才，切实做好人才入职落户、教育医疗等服务保障。深化产教融合，支持高校设立机器人交叉学科，共建实训基地，定向培育研发设计、生产制造、运维服务等复合型人才。</w:t>
      </w:r>
      <w:r>
        <w:rPr>
          <w:rFonts w:hint="eastAsia" w:ascii="楷体_GB2312" w:hAnsi="楷体_GB2312" w:eastAsia="楷体_GB2312" w:cs="楷体_GB2312"/>
          <w:color w:val="auto"/>
          <w:sz w:val="32"/>
          <w:szCs w:val="32"/>
          <w:lang w:val="en" w:eastAsia="zh-CN"/>
        </w:rPr>
        <w:t>（市人社局、市教委、市科技局，相关区职能部门按职责分工负责）</w:t>
      </w:r>
    </w:p>
    <w:p w14:paraId="5D299761">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（三）探索新型商业模式。</w:t>
      </w:r>
      <w:r>
        <w:rPr>
          <w:rFonts w:hint="eastAsia" w:ascii="Times New Roman" w:hAnsi="Times New Roman" w:eastAsia="仿宋_GB2312"/>
          <w:color w:val="auto"/>
          <w:sz w:val="32"/>
          <w:szCs w:val="32"/>
          <w:lang w:val="en" w:eastAsia="zh-CN"/>
        </w:rPr>
        <w:t>鼓励智能机器人二次开发应用，支持“机器人6S店”新型商业体建设，积极探索“可售、可租、可定制、可体验、可维修、可反馈”的全方位运营推广机制，加速商业化落地。支持跨境电商营销中心建设，打造智能机器人出海总部基地。发挥中国—上海合作组织数字经济合作平台作用，优化数字经济企业“出海”服务生态，促进技术交流，鼓励智能机器人产品“出海”，支持外商投资设立研发中心，促进原创技术和产品推广。</w:t>
      </w:r>
      <w:r>
        <w:rPr>
          <w:rFonts w:hint="eastAsia" w:ascii="楷体_GB2312" w:hAnsi="楷体_GB2312" w:eastAsia="楷体_GB2312" w:cs="楷体_GB2312"/>
          <w:color w:val="auto"/>
          <w:sz w:val="32"/>
          <w:szCs w:val="32"/>
          <w:lang w:val="en" w:eastAsia="zh-CN"/>
        </w:rPr>
        <w:t>（市商务局、市数据局，河西区、南开区、滨海新区等相关区职能部门按职责分工负责）</w:t>
      </w:r>
    </w:p>
    <w:p w14:paraId="44093474">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（四）用好支持政策。</w:t>
      </w:r>
      <w:r>
        <w:rPr>
          <w:rFonts w:hint="eastAsia" w:ascii="Times New Roman" w:hAnsi="Times New Roman" w:eastAsia="仿宋_GB2312"/>
          <w:color w:val="auto"/>
          <w:sz w:val="32"/>
          <w:szCs w:val="32"/>
          <w:lang w:val="en" w:eastAsia="zh-CN"/>
        </w:rPr>
        <w:t>积极争取国家“两重”、“两新”和中央预算内资金、国家重大科技专项、制造业高质量发展等专项支持，统筹用好市级制造业高质量发展、科技型企业高质量发展等政策，加大对智能机器人研发创新、成果转化、场景应用等环节支持力度，鼓励各区结合产业基础出台差异化支持政策。建立智能机器人首台套产品、首版次软件、首批次新材料培育库，重点支持智能机器人首台套产品，智能机器人操作系统、具身智能模型等首版次软件，高端合金材料、柔性电子等首批次新材料，以创新产品引领产业迭代，加速市场化推广。</w:t>
      </w:r>
      <w:r>
        <w:rPr>
          <w:rFonts w:hint="eastAsia" w:ascii="楷体_GB2312" w:hAnsi="楷体_GB2312" w:eastAsia="楷体_GB2312" w:cs="楷体_GB2312"/>
          <w:color w:val="auto"/>
          <w:sz w:val="32"/>
          <w:szCs w:val="32"/>
          <w:lang w:val="en" w:eastAsia="zh-CN"/>
        </w:rPr>
        <w:t>（市工业和信息化局、市发展改革委、市科技局、市财政局、市数据局、市投资促进局、市地方金融管理局、市知识产权局，相关区职能部门按职责分工负责）</w:t>
      </w:r>
    </w:p>
    <w:p w14:paraId="1C30883A">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楷体_GB2312" w:hAnsi="楷体_GB2312" w:eastAsia="楷体_GB2312" w:cs="楷体_GB2312"/>
          <w:color w:val="auto"/>
          <w:sz w:val="32"/>
          <w:szCs w:val="32"/>
          <w:lang w:val="en" w:eastAsia="zh-CN"/>
        </w:rPr>
        <w:t>（五）营造良好氛围。</w:t>
      </w:r>
      <w:r>
        <w:rPr>
          <w:rFonts w:hint="eastAsia" w:ascii="Times New Roman" w:hAnsi="Times New Roman" w:eastAsia="仿宋_GB2312"/>
          <w:color w:val="auto"/>
          <w:sz w:val="32"/>
          <w:szCs w:val="32"/>
          <w:lang w:val="en" w:eastAsia="zh-CN"/>
        </w:rPr>
        <w:t>依托世界智能产业博览会、天津机器人大会等平台，组织开展专题交流、展演展示、前沿论坛等系列活动，擦亮天津机器人产业名片，强化区域产业辐射带动作用。依托“117项目”片区建设“机器人小镇”，</w:t>
      </w:r>
      <w:r>
        <w:rPr>
          <w:rFonts w:hint="eastAsia" w:eastAsia="仿宋_GB2312"/>
          <w:color w:val="auto"/>
          <w:szCs w:val="32"/>
          <w:highlight w:val="none"/>
          <w:u w:val="none"/>
          <w:lang w:val="en"/>
        </w:rPr>
        <w:t>构建“信创底座</w:t>
      </w:r>
      <w:r>
        <w:rPr>
          <w:rFonts w:hint="eastAsia" w:eastAsia="仿宋_GB2312"/>
          <w:color w:val="auto"/>
          <w:szCs w:val="32"/>
          <w:highlight w:val="none"/>
          <w:u w:val="none"/>
        </w:rPr>
        <w:t>+制造中试+场景验证</w:t>
      </w:r>
      <w:r>
        <w:rPr>
          <w:rFonts w:hint="eastAsia" w:eastAsia="仿宋_GB2312"/>
          <w:color w:val="auto"/>
          <w:szCs w:val="32"/>
          <w:highlight w:val="none"/>
          <w:u w:val="none"/>
          <w:lang w:val="en"/>
        </w:rPr>
        <w:t>”的特色产业优势，打造“机器人自主可信可控产业生态”策源地和天津市智能机器人先行区</w:t>
      </w:r>
      <w:r>
        <w:rPr>
          <w:rFonts w:hint="eastAsia" w:ascii="Times New Roman" w:hAnsi="Times New Roman" w:eastAsia="仿宋_GB2312"/>
          <w:color w:val="auto"/>
          <w:sz w:val="32"/>
          <w:szCs w:val="32"/>
          <w:highlight w:val="none"/>
          <w:u w:val="none"/>
          <w:lang w:val="en" w:eastAsia="zh-CN"/>
        </w:rPr>
        <w:t>。</w:t>
      </w:r>
      <w:r>
        <w:rPr>
          <w:rFonts w:hint="eastAsia" w:ascii="Times New Roman" w:hAnsi="Times New Roman" w:eastAsia="仿宋_GB2312"/>
          <w:color w:val="auto"/>
          <w:sz w:val="32"/>
          <w:szCs w:val="32"/>
          <w:lang w:val="en" w:eastAsia="zh-CN"/>
        </w:rPr>
        <w:t>依托天开高教科创园核心区建设“天津市智能机器人应用展示体验中心”，开展产品展示和资源对接活动。</w:t>
      </w:r>
      <w:r>
        <w:rPr>
          <w:rFonts w:hint="eastAsia" w:ascii="楷体_GB2312" w:hAnsi="楷体_GB2312" w:eastAsia="楷体_GB2312" w:cs="楷体_GB2312"/>
          <w:color w:val="auto"/>
          <w:sz w:val="32"/>
          <w:szCs w:val="32"/>
          <w:lang w:val="en" w:eastAsia="zh-CN"/>
        </w:rPr>
        <w:t>（市工业和信息化局、市科技局、市商务局，</w:t>
      </w:r>
      <w:r>
        <w:rPr>
          <w:rFonts w:hint="eastAsia" w:ascii="楷体_GB2312" w:hAnsi="楷体_GB2312" w:eastAsia="楷体_GB2312" w:cs="楷体_GB2312"/>
          <w:color w:val="auto"/>
          <w:sz w:val="32"/>
          <w:szCs w:val="32"/>
          <w:u w:val="none"/>
          <w:lang w:val="en" w:eastAsia="zh-CN"/>
        </w:rPr>
        <w:t>南开区、滨海高新区等</w:t>
      </w:r>
      <w:r>
        <w:rPr>
          <w:rFonts w:hint="eastAsia" w:ascii="楷体_GB2312" w:hAnsi="楷体_GB2312" w:eastAsia="楷体_GB2312" w:cs="楷体_GB2312"/>
          <w:color w:val="auto"/>
          <w:sz w:val="32"/>
          <w:szCs w:val="32"/>
          <w:lang w:val="en" w:eastAsia="zh-CN"/>
        </w:rPr>
        <w:t>相关区职能部门按职责分工负责）</w:t>
      </w:r>
    </w:p>
    <w:p w14:paraId="3EDE4B5E">
      <w:pPr>
        <w:pStyle w:val="2"/>
        <w:keepNext w:val="0"/>
        <w:keepLines w:val="0"/>
        <w:pageBreakBefore w:val="0"/>
        <w:widowControl w:val="0"/>
        <w:numPr>
          <w:ilvl w:val="0"/>
          <w:numId w:val="0"/>
        </w:numPr>
        <w:tabs>
          <w:tab w:val="left" w:pos="7920"/>
        </w:tabs>
        <w:kinsoku/>
        <w:wordWrap/>
        <w:overflowPunct/>
        <w:topLinePunct w:val="0"/>
        <w:autoSpaceDE/>
        <w:autoSpaceDN/>
        <w:bidi w:val="0"/>
        <w:adjustRightInd/>
        <w:snapToGrid/>
        <w:spacing w:line="580" w:lineRule="exact"/>
        <w:ind w:firstLine="622" w:firstLineChars="200"/>
        <w:jc w:val="both"/>
        <w:textAlignment w:val="auto"/>
        <w:outlineLvl w:val="9"/>
        <w:rPr>
          <w:rFonts w:hint="eastAsia" w:ascii="Times New Roman" w:hAnsi="Times New Roman" w:eastAsia="仿宋_GB2312"/>
          <w:color w:val="auto"/>
          <w:sz w:val="32"/>
          <w:szCs w:val="32"/>
          <w:lang w:val="en" w:eastAsia="zh-CN"/>
        </w:rPr>
      </w:pPr>
      <w:r>
        <w:rPr>
          <w:rFonts w:hint="eastAsia" w:ascii="楷体_GB2312" w:hAnsi="楷体_GB2312" w:eastAsia="楷体_GB2312" w:cs="楷体_GB2312"/>
          <w:color w:val="auto"/>
          <w:sz w:val="32"/>
          <w:szCs w:val="32"/>
          <w:lang w:val="en" w:eastAsia="zh-CN"/>
        </w:rPr>
        <w:t>（六）强化安全监管。</w:t>
      </w:r>
      <w:r>
        <w:rPr>
          <w:rFonts w:hint="eastAsia" w:ascii="Times New Roman" w:hAnsi="Times New Roman" w:eastAsia="仿宋_GB2312"/>
          <w:color w:val="auto"/>
          <w:sz w:val="32"/>
          <w:szCs w:val="32"/>
          <w:lang w:val="en" w:eastAsia="zh-CN"/>
        </w:rPr>
        <w:t>优化行业监管服务，加强智能机器人产品安全技术研究与伦理治理探索，参与国家相关标准与规范建设，规范智能机器人数据采集、存储、使用等行为，强化安全监测、风险预警和应急处置能力，防范数据滥用与泄露风险，保障产业健康发展。</w:t>
      </w:r>
      <w:r>
        <w:rPr>
          <w:rFonts w:hint="eastAsia" w:ascii="楷体_GB2312" w:hAnsi="楷体_GB2312" w:eastAsia="楷体_GB2312" w:cs="楷体_GB2312"/>
          <w:color w:val="auto"/>
          <w:sz w:val="32"/>
          <w:szCs w:val="32"/>
          <w:lang w:val="en" w:eastAsia="zh-CN"/>
        </w:rPr>
        <w:t>（市工业和信息化局、市科技局、市委网信办、市通信管理局，相关区职能部门按职责分工负责）</w:t>
      </w:r>
    </w:p>
    <w:p w14:paraId="1EBF6C74">
      <w:pPr>
        <w:tabs>
          <w:tab w:val="left" w:pos="8643"/>
        </w:tabs>
        <w:spacing w:line="580" w:lineRule="exact"/>
        <w:ind w:right="201" w:rightChars="100"/>
        <w:rPr>
          <w:rFonts w:hint="default" w:eastAsia="仿宋_GB2312" w:cs="Times New Roman"/>
          <w:sz w:val="32"/>
          <w:szCs w:val="32"/>
          <w:lang w:val="en-US" w:eastAsia="zh-CN"/>
        </w:rPr>
      </w:pPr>
    </w:p>
    <w:sectPr>
      <w:footerReference r:id="rId3" w:type="default"/>
      <w:footerReference r:id="rId4" w:type="even"/>
      <w:pgSz w:w="11906" w:h="16838"/>
      <w:pgMar w:top="2098" w:right="1474" w:bottom="1985" w:left="1588" w:header="851" w:footer="1077" w:gutter="0"/>
      <w:pgNumType w:fmt="numberInDash" w:start="1"/>
      <w:cols w:space="720" w:num="1"/>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622C3">
    <w:pPr>
      <w:pStyle w:val="5"/>
      <w:framePr w:w="1310" w:h="567" w:hRule="exact" w:wrap="around" w:vAnchor="page" w:hAnchor="margin" w:xAlign="outside" w:y="15140"/>
      <w:spacing w:line="280" w:lineRule="exact"/>
      <w:jc w:val="center"/>
      <w:rPr>
        <w:rStyle w:val="10"/>
        <w:rFonts w:hint="eastAsia" w:ascii="宋体" w:hAnsi="宋体"/>
        <w:sz w:val="28"/>
        <w:szCs w:val="28"/>
      </w:rPr>
    </w:pP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lang w:val="en-US" w:eastAsia="zh-CN"/>
      </w:rPr>
      <w:t>- 1 -</w:t>
    </w:r>
    <w:r>
      <w:rPr>
        <w:rStyle w:val="10"/>
        <w:rFonts w:ascii="宋体" w:hAnsi="宋体"/>
        <w:sz w:val="28"/>
        <w:szCs w:val="28"/>
      </w:rPr>
      <w:fldChar w:fldCharType="end"/>
    </w:r>
  </w:p>
  <w:p w14:paraId="35D48426">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E1483">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11A4240A">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revisionView w:markup="0"/>
  <w:documentProtection w:enforcement="0"/>
  <w:defaultTabStop w:val="420"/>
  <w:drawingGridHorizontalSpacing w:val="201"/>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81A"/>
    <w:rsid w:val="00002F68"/>
    <w:rsid w:val="000144F3"/>
    <w:rsid w:val="00020C56"/>
    <w:rsid w:val="00023CF7"/>
    <w:rsid w:val="00046F69"/>
    <w:rsid w:val="00047EED"/>
    <w:rsid w:val="0006656E"/>
    <w:rsid w:val="00072218"/>
    <w:rsid w:val="00083F8C"/>
    <w:rsid w:val="00086EC4"/>
    <w:rsid w:val="000A4124"/>
    <w:rsid w:val="000B12FA"/>
    <w:rsid w:val="000B6B4C"/>
    <w:rsid w:val="000D5F7A"/>
    <w:rsid w:val="000E6765"/>
    <w:rsid w:val="001006A8"/>
    <w:rsid w:val="00100C4E"/>
    <w:rsid w:val="00102A79"/>
    <w:rsid w:val="001032D1"/>
    <w:rsid w:val="00107027"/>
    <w:rsid w:val="00163844"/>
    <w:rsid w:val="00166523"/>
    <w:rsid w:val="0017190E"/>
    <w:rsid w:val="00194FE5"/>
    <w:rsid w:val="001A2DE2"/>
    <w:rsid w:val="001A6E73"/>
    <w:rsid w:val="001C4BA3"/>
    <w:rsid w:val="001D4F6B"/>
    <w:rsid w:val="001F2E84"/>
    <w:rsid w:val="001F4533"/>
    <w:rsid w:val="001F581A"/>
    <w:rsid w:val="00212C15"/>
    <w:rsid w:val="0021602F"/>
    <w:rsid w:val="00223CC7"/>
    <w:rsid w:val="00224AC8"/>
    <w:rsid w:val="00224C9C"/>
    <w:rsid w:val="002305B4"/>
    <w:rsid w:val="00236910"/>
    <w:rsid w:val="00240AAF"/>
    <w:rsid w:val="00257820"/>
    <w:rsid w:val="00265288"/>
    <w:rsid w:val="00284EA7"/>
    <w:rsid w:val="002A125B"/>
    <w:rsid w:val="002A56A6"/>
    <w:rsid w:val="002A7BE3"/>
    <w:rsid w:val="002C182A"/>
    <w:rsid w:val="002C284E"/>
    <w:rsid w:val="002C4980"/>
    <w:rsid w:val="002E404E"/>
    <w:rsid w:val="002F6FB4"/>
    <w:rsid w:val="00302117"/>
    <w:rsid w:val="00307012"/>
    <w:rsid w:val="0030788E"/>
    <w:rsid w:val="00317A00"/>
    <w:rsid w:val="00324738"/>
    <w:rsid w:val="00344FFC"/>
    <w:rsid w:val="003564B8"/>
    <w:rsid w:val="00383994"/>
    <w:rsid w:val="0039400E"/>
    <w:rsid w:val="003A0AC9"/>
    <w:rsid w:val="003A3DA5"/>
    <w:rsid w:val="003A4D68"/>
    <w:rsid w:val="003B38AB"/>
    <w:rsid w:val="003C7E64"/>
    <w:rsid w:val="003D38DC"/>
    <w:rsid w:val="003E2E59"/>
    <w:rsid w:val="003E737B"/>
    <w:rsid w:val="003F4947"/>
    <w:rsid w:val="00411811"/>
    <w:rsid w:val="00413CDE"/>
    <w:rsid w:val="00430BE2"/>
    <w:rsid w:val="00432DCC"/>
    <w:rsid w:val="00437AB0"/>
    <w:rsid w:val="004405C3"/>
    <w:rsid w:val="00442A6F"/>
    <w:rsid w:val="00451077"/>
    <w:rsid w:val="0045180F"/>
    <w:rsid w:val="00454417"/>
    <w:rsid w:val="004655FB"/>
    <w:rsid w:val="0047071B"/>
    <w:rsid w:val="00470A0A"/>
    <w:rsid w:val="004A2739"/>
    <w:rsid w:val="004B0A1A"/>
    <w:rsid w:val="004B5B63"/>
    <w:rsid w:val="004C289E"/>
    <w:rsid w:val="004C3631"/>
    <w:rsid w:val="004C6787"/>
    <w:rsid w:val="004C734D"/>
    <w:rsid w:val="004D26C0"/>
    <w:rsid w:val="004E065E"/>
    <w:rsid w:val="004E3C4C"/>
    <w:rsid w:val="004F3D93"/>
    <w:rsid w:val="00506EAE"/>
    <w:rsid w:val="0052303E"/>
    <w:rsid w:val="0055024E"/>
    <w:rsid w:val="00560A51"/>
    <w:rsid w:val="00561059"/>
    <w:rsid w:val="0057494E"/>
    <w:rsid w:val="0057569C"/>
    <w:rsid w:val="005813F5"/>
    <w:rsid w:val="00584234"/>
    <w:rsid w:val="005860B8"/>
    <w:rsid w:val="005A1580"/>
    <w:rsid w:val="005A1E09"/>
    <w:rsid w:val="005A3311"/>
    <w:rsid w:val="005A332F"/>
    <w:rsid w:val="005A60B8"/>
    <w:rsid w:val="005B0BAC"/>
    <w:rsid w:val="005C7B51"/>
    <w:rsid w:val="005D549A"/>
    <w:rsid w:val="005E6A9B"/>
    <w:rsid w:val="005F0582"/>
    <w:rsid w:val="005F0A0C"/>
    <w:rsid w:val="005F2B76"/>
    <w:rsid w:val="006048F6"/>
    <w:rsid w:val="006050FD"/>
    <w:rsid w:val="00606809"/>
    <w:rsid w:val="00607A73"/>
    <w:rsid w:val="006222EE"/>
    <w:rsid w:val="006225AD"/>
    <w:rsid w:val="00627D66"/>
    <w:rsid w:val="0064073B"/>
    <w:rsid w:val="00643A09"/>
    <w:rsid w:val="00647C1A"/>
    <w:rsid w:val="00653696"/>
    <w:rsid w:val="00656B26"/>
    <w:rsid w:val="00663A31"/>
    <w:rsid w:val="0067276C"/>
    <w:rsid w:val="00677C1D"/>
    <w:rsid w:val="00677D79"/>
    <w:rsid w:val="006871A3"/>
    <w:rsid w:val="006A05AB"/>
    <w:rsid w:val="006A2FC7"/>
    <w:rsid w:val="006C5368"/>
    <w:rsid w:val="006D39AD"/>
    <w:rsid w:val="006E5173"/>
    <w:rsid w:val="00707A04"/>
    <w:rsid w:val="00710A82"/>
    <w:rsid w:val="00711092"/>
    <w:rsid w:val="00711FD0"/>
    <w:rsid w:val="00730792"/>
    <w:rsid w:val="00734B13"/>
    <w:rsid w:val="00735301"/>
    <w:rsid w:val="00736456"/>
    <w:rsid w:val="00736EB7"/>
    <w:rsid w:val="0074633E"/>
    <w:rsid w:val="00754CAD"/>
    <w:rsid w:val="00756732"/>
    <w:rsid w:val="007615B2"/>
    <w:rsid w:val="007640B0"/>
    <w:rsid w:val="00780B93"/>
    <w:rsid w:val="007B23D9"/>
    <w:rsid w:val="007B2D83"/>
    <w:rsid w:val="007D54E9"/>
    <w:rsid w:val="007E0ACD"/>
    <w:rsid w:val="007E114E"/>
    <w:rsid w:val="00801FC9"/>
    <w:rsid w:val="00803B03"/>
    <w:rsid w:val="00804211"/>
    <w:rsid w:val="0080438F"/>
    <w:rsid w:val="0081210F"/>
    <w:rsid w:val="008301C4"/>
    <w:rsid w:val="00830F62"/>
    <w:rsid w:val="00836ABA"/>
    <w:rsid w:val="00840C66"/>
    <w:rsid w:val="00841072"/>
    <w:rsid w:val="008512B8"/>
    <w:rsid w:val="00854F6B"/>
    <w:rsid w:val="00861F8F"/>
    <w:rsid w:val="00865D9A"/>
    <w:rsid w:val="008700B4"/>
    <w:rsid w:val="00880AFD"/>
    <w:rsid w:val="0088379F"/>
    <w:rsid w:val="00897C42"/>
    <w:rsid w:val="008C1364"/>
    <w:rsid w:val="008D28D9"/>
    <w:rsid w:val="008D303B"/>
    <w:rsid w:val="00901F62"/>
    <w:rsid w:val="009210E4"/>
    <w:rsid w:val="00934CBC"/>
    <w:rsid w:val="009412CD"/>
    <w:rsid w:val="009634C8"/>
    <w:rsid w:val="009709D5"/>
    <w:rsid w:val="0097316F"/>
    <w:rsid w:val="0098720A"/>
    <w:rsid w:val="00997ACE"/>
    <w:rsid w:val="009A2F05"/>
    <w:rsid w:val="009B117D"/>
    <w:rsid w:val="009B265E"/>
    <w:rsid w:val="009B273F"/>
    <w:rsid w:val="009B62F6"/>
    <w:rsid w:val="009C28DB"/>
    <w:rsid w:val="009C635A"/>
    <w:rsid w:val="009E2BC6"/>
    <w:rsid w:val="009E44F3"/>
    <w:rsid w:val="00A17BB1"/>
    <w:rsid w:val="00A271FD"/>
    <w:rsid w:val="00A2746E"/>
    <w:rsid w:val="00A324DD"/>
    <w:rsid w:val="00A32528"/>
    <w:rsid w:val="00A441EB"/>
    <w:rsid w:val="00A51E02"/>
    <w:rsid w:val="00A52BE2"/>
    <w:rsid w:val="00A55425"/>
    <w:rsid w:val="00A640FE"/>
    <w:rsid w:val="00A77B75"/>
    <w:rsid w:val="00A85EB7"/>
    <w:rsid w:val="00A95AAA"/>
    <w:rsid w:val="00AA5A4E"/>
    <w:rsid w:val="00AC60BF"/>
    <w:rsid w:val="00AC7B35"/>
    <w:rsid w:val="00AD22C8"/>
    <w:rsid w:val="00AE4E9E"/>
    <w:rsid w:val="00B04A5D"/>
    <w:rsid w:val="00B063DE"/>
    <w:rsid w:val="00B13A78"/>
    <w:rsid w:val="00B13D34"/>
    <w:rsid w:val="00B22939"/>
    <w:rsid w:val="00B2774B"/>
    <w:rsid w:val="00B47F31"/>
    <w:rsid w:val="00B50BC0"/>
    <w:rsid w:val="00B53DCB"/>
    <w:rsid w:val="00B7733D"/>
    <w:rsid w:val="00B87CD9"/>
    <w:rsid w:val="00B905BD"/>
    <w:rsid w:val="00B92693"/>
    <w:rsid w:val="00B957BC"/>
    <w:rsid w:val="00B966C1"/>
    <w:rsid w:val="00BA6E4F"/>
    <w:rsid w:val="00BD18D1"/>
    <w:rsid w:val="00BE1878"/>
    <w:rsid w:val="00C07644"/>
    <w:rsid w:val="00C11C8F"/>
    <w:rsid w:val="00C3205B"/>
    <w:rsid w:val="00C3260F"/>
    <w:rsid w:val="00C3642B"/>
    <w:rsid w:val="00C40D18"/>
    <w:rsid w:val="00C67352"/>
    <w:rsid w:val="00C8470A"/>
    <w:rsid w:val="00C95D69"/>
    <w:rsid w:val="00CB0CA7"/>
    <w:rsid w:val="00CC30BC"/>
    <w:rsid w:val="00CC75D5"/>
    <w:rsid w:val="00CC78A6"/>
    <w:rsid w:val="00CD11C7"/>
    <w:rsid w:val="00CE4482"/>
    <w:rsid w:val="00CE6DAF"/>
    <w:rsid w:val="00CE70B8"/>
    <w:rsid w:val="00CE7C32"/>
    <w:rsid w:val="00D35541"/>
    <w:rsid w:val="00D5337E"/>
    <w:rsid w:val="00D543E3"/>
    <w:rsid w:val="00D8047C"/>
    <w:rsid w:val="00D83EAB"/>
    <w:rsid w:val="00DB14B0"/>
    <w:rsid w:val="00DB345F"/>
    <w:rsid w:val="00DB6AD6"/>
    <w:rsid w:val="00DB7F5E"/>
    <w:rsid w:val="00DD4CDD"/>
    <w:rsid w:val="00DE39EC"/>
    <w:rsid w:val="00DE75AF"/>
    <w:rsid w:val="00DF710E"/>
    <w:rsid w:val="00E05C24"/>
    <w:rsid w:val="00E15D10"/>
    <w:rsid w:val="00E34793"/>
    <w:rsid w:val="00E53B2F"/>
    <w:rsid w:val="00E5598D"/>
    <w:rsid w:val="00E6116D"/>
    <w:rsid w:val="00E63ACA"/>
    <w:rsid w:val="00E6431C"/>
    <w:rsid w:val="00E65710"/>
    <w:rsid w:val="00E65745"/>
    <w:rsid w:val="00E7395C"/>
    <w:rsid w:val="00E822E8"/>
    <w:rsid w:val="00E91460"/>
    <w:rsid w:val="00E94D61"/>
    <w:rsid w:val="00EA487E"/>
    <w:rsid w:val="00EB2C93"/>
    <w:rsid w:val="00ED5645"/>
    <w:rsid w:val="00EF6FB6"/>
    <w:rsid w:val="00F029BA"/>
    <w:rsid w:val="00F1314D"/>
    <w:rsid w:val="00F21126"/>
    <w:rsid w:val="00F324CF"/>
    <w:rsid w:val="00F479D1"/>
    <w:rsid w:val="00F47A65"/>
    <w:rsid w:val="00F50C1D"/>
    <w:rsid w:val="00F5467C"/>
    <w:rsid w:val="00F63D89"/>
    <w:rsid w:val="00F6588C"/>
    <w:rsid w:val="00F86262"/>
    <w:rsid w:val="00F86DDA"/>
    <w:rsid w:val="00F97090"/>
    <w:rsid w:val="00FC5FED"/>
    <w:rsid w:val="00FF2A6C"/>
    <w:rsid w:val="0CFA39C1"/>
    <w:rsid w:val="10DE21D8"/>
    <w:rsid w:val="16BDAD5E"/>
    <w:rsid w:val="1A572E18"/>
    <w:rsid w:val="2BFF29C3"/>
    <w:rsid w:val="32FDA366"/>
    <w:rsid w:val="3B1E415F"/>
    <w:rsid w:val="494748BD"/>
    <w:rsid w:val="4FFC783E"/>
    <w:rsid w:val="597F0F30"/>
    <w:rsid w:val="59EF976C"/>
    <w:rsid w:val="5FFF0C67"/>
    <w:rsid w:val="679F6245"/>
    <w:rsid w:val="6BDF9C72"/>
    <w:rsid w:val="7B772B3D"/>
    <w:rsid w:val="7BFF3856"/>
    <w:rsid w:val="7C3B9122"/>
    <w:rsid w:val="7DBB43D2"/>
    <w:rsid w:val="7EFDC358"/>
    <w:rsid w:val="7F93D1FC"/>
    <w:rsid w:val="7FB77F43"/>
    <w:rsid w:val="7FB7A66B"/>
    <w:rsid w:val="93CDCA3C"/>
    <w:rsid w:val="9750FF32"/>
    <w:rsid w:val="9BF5A1B5"/>
    <w:rsid w:val="ABBF2444"/>
    <w:rsid w:val="C7EFE3B2"/>
    <w:rsid w:val="DCFECBFE"/>
    <w:rsid w:val="DD3FC813"/>
    <w:rsid w:val="EC7F9267"/>
    <w:rsid w:val="FABD5027"/>
    <w:rsid w:val="FDBE76F8"/>
    <w:rsid w:val="FE93E427"/>
    <w:rsid w:val="FEEFFAF9"/>
    <w:rsid w:val="FEFE5C29"/>
    <w:rsid w:val="FF68FAEF"/>
    <w:rsid w:val="FFF4C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720" w:firstLineChars="225"/>
    </w:pPr>
    <w:rPr>
      <w:sz w:val="32"/>
      <w:szCs w:val="20"/>
    </w:rPr>
  </w:style>
  <w:style w:type="paragraph" w:styleId="3">
    <w:name w:val="Date"/>
    <w:basedOn w:val="1"/>
    <w:next w:val="1"/>
    <w:qFormat/>
    <w:uiPriority w:val="0"/>
    <w:pPr>
      <w:ind w:left="100" w:leftChars="2500"/>
    </w:pPr>
    <w:rPr>
      <w:rFonts w:ascii="仿宋_GB2312" w:eastAsia="仿宋_GB2312"/>
      <w:sz w:val="32"/>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Hei Ti"/>
    <w:qFormat/>
    <w:uiPriority w:val="0"/>
    <w:rPr>
      <w:rFonts w:ascii="黑体" w:hAnsi="黑体" w:eastAsia="黑体" w:cs="黑体"/>
      <w:sz w:val="32"/>
    </w:rPr>
  </w:style>
  <w:style w:type="character" w:customStyle="1" w:styleId="12">
    <w:name w:val="Hei Ti Bold"/>
    <w:qFormat/>
    <w:uiPriority w:val="0"/>
    <w:rPr>
      <w:rFonts w:ascii="黑体" w:hAnsi="黑体" w:eastAsia="黑体" w:cs="黑体"/>
      <w:b/>
      <w:sz w:val="32"/>
    </w:rPr>
  </w:style>
  <w:style w:type="character" w:customStyle="1" w:styleId="13">
    <w:name w:val="Hei Ti Bold1"/>
    <w:qFormat/>
    <w:uiPriority w:val="0"/>
    <w:rPr>
      <w:rFonts w:ascii="黑体" w:hAnsi="黑体" w:eastAsia="黑体" w:cs="黑体"/>
      <w:b/>
      <w:sz w:val="36"/>
    </w:rPr>
  </w:style>
  <w:style w:type="character" w:customStyle="1" w:styleId="14">
    <w:name w:val="GB_2312"/>
    <w:qFormat/>
    <w:uiPriority w:val="0"/>
    <w:rPr>
      <w:rFonts w:ascii="仿宋_GB2312" w:hAnsi="仿宋_GB2312" w:eastAsia="仿宋_GB2312" w:cs="仿宋_GB2312"/>
      <w:sz w:val="32"/>
    </w:rPr>
  </w:style>
  <w:style w:type="character" w:customStyle="1" w:styleId="15">
    <w:name w:val="GB_23121"/>
    <w:qFormat/>
    <w:uiPriority w:val="0"/>
    <w:rPr>
      <w:rFonts w:ascii="仿宋_GB2312" w:hAnsi="仿宋_GB2312" w:eastAsia="仿宋_GB2312" w:cs="仿宋_GB2312"/>
      <w:sz w:val="36"/>
    </w:rPr>
  </w:style>
  <w:style w:type="character" w:customStyle="1" w:styleId="16">
    <w:name w:val="Red_Color"/>
    <w:qFormat/>
    <w:uiPriority w:val="0"/>
    <w:rPr>
      <w:rFonts w:ascii="方正小标宋简体" w:hAnsi="方正小标宋简体" w:eastAsia="方正小标宋简体" w:cs="方正小标宋简体"/>
      <w:color w:val="FF0000"/>
      <w:sz w:val="65"/>
    </w:rPr>
  </w:style>
  <w:style w:type="character" w:customStyle="1" w:styleId="17">
    <w:name w:val="KaiTi"/>
    <w:qFormat/>
    <w:uiPriority w:val="0"/>
    <w:rPr>
      <w:rFonts w:ascii="楷体_GB2312" w:hAnsi="楷体_GB2312" w:eastAsia="楷体_GB2312" w:cs="楷体_GB2312"/>
      <w:sz w:val="32"/>
    </w:rPr>
  </w:style>
  <w:style w:type="character" w:customStyle="1" w:styleId="18">
    <w:name w:val="Fz_Xbs"/>
    <w:qFormat/>
    <w:uiPriority w:val="0"/>
    <w:rPr>
      <w:rFonts w:ascii="方正小标宋简体" w:hAnsi="方正小标宋简体" w:eastAsia="方正小标宋简体" w:cs="方正小标宋简体"/>
      <w:sz w:val="44"/>
    </w:rPr>
  </w:style>
  <w:style w:type="paragraph" w:customStyle="1" w:styleId="19">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kylin\C:\Documents%20and%20Settings\Hangyan\Application%20Data\Microsoft\Templates\&#24179;&#32423;&#21457;&#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平级发文.dot</Template>
  <Company>tjec</Company>
  <Pages>13</Pages>
  <Words>7262</Words>
  <Characters>7342</Characters>
  <Lines>0</Lines>
  <Paragraphs>0</Paragraphs>
  <TotalTime>15</TotalTime>
  <ScaleCrop>false</ScaleCrop>
  <LinksUpToDate>false</LinksUpToDate>
  <CharactersWithSpaces>7373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2026-02-08T00:32:00Z</dcterms:created>
  <dc:creator>办公室</dc:creator>
  <cp:lastModifiedBy>英雄的黎明</cp:lastModifiedBy>
  <cp:lastPrinted>2018-02-13T08:04:00Z</cp:lastPrinted>
  <dcterms:modified xsi:type="dcterms:W3CDTF">2026-08-10T02:58:35Z</dcterms:modified>
  <dc:title>津经[2003]号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974E63A8F52D4E35AE8F4F0C45D5AFA5_13</vt:lpwstr>
  </property>
  <property fmtid="{D5CDD505-2E9C-101B-9397-08002B2CF9AE}" pid="4" name="KSOTemplateDocerSaveRecord">
    <vt:lpwstr>eyJoZGlkIjoiNjUwMjRhZTU5OGRkNzhkMDM1ZjFhMzU1OGYzNDA5NTIiLCJ1c2VySWQiOiIzODc1NzcxNzEifQ==</vt:lpwstr>
  </property>
</Properties>
</file>