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B1950">
      <w:pPr>
        <w:adjustRightInd w:val="0"/>
        <w:snapToGrid w:val="0"/>
        <w:spacing w:line="560" w:lineRule="exact"/>
        <w:ind w:firstLine="0" w:firstLineChars="0"/>
        <w:rPr>
          <w:rFonts w:ascii="微软雅黑" w:hAnsi="微软雅黑" w:eastAsia="微软雅黑" w:cs="微软雅黑"/>
          <w:szCs w:val="32"/>
          <w:highlight w:val="none"/>
          <w:lang w:val="en-US"/>
        </w:rPr>
      </w:pPr>
      <w:r>
        <w:rPr>
          <w:rFonts w:hint="eastAsia" w:ascii="微软雅黑" w:hAnsi="微软雅黑" w:eastAsia="微软雅黑" w:cs="微软雅黑"/>
          <w:szCs w:val="32"/>
          <w:highlight w:val="none"/>
          <w:lang w:val="en-US"/>
        </w:rPr>
        <w:t>附件1</w:t>
      </w:r>
    </w:p>
    <w:p w14:paraId="1C070E85">
      <w:pPr>
        <w:adjustRightInd w:val="0"/>
        <w:snapToGrid w:val="0"/>
        <w:spacing w:line="560" w:lineRule="exact"/>
        <w:ind w:firstLine="640"/>
        <w:rPr>
          <w:highlight w:val="none"/>
          <w:lang w:val="en-US"/>
        </w:rPr>
      </w:pPr>
    </w:p>
    <w:p w14:paraId="518C25B3">
      <w:pPr>
        <w:pStyle w:val="2"/>
        <w:adjustRightInd w:val="0"/>
        <w:snapToGrid w:val="0"/>
        <w:spacing w:line="560" w:lineRule="exact"/>
        <w:rPr>
          <w:rFonts w:hint="eastAsia"/>
          <w:highlight w:val="none"/>
          <w:lang w:val="en-US"/>
        </w:rPr>
      </w:pPr>
      <w:r>
        <w:rPr>
          <w:rFonts w:hint="eastAsia"/>
          <w:highlight w:val="none"/>
          <w:lang w:val="en-US" w:eastAsia="zh"/>
          <w:woUserID w:val="2"/>
        </w:rPr>
        <w:t>广投资本管理集团有限公司及旗下管理人在管母基金公开遴选</w:t>
      </w:r>
      <w:r>
        <w:rPr>
          <w:rFonts w:hint="eastAsia"/>
          <w:highlight w:val="none"/>
          <w:lang w:val="en-US" w:eastAsia="zh-CN"/>
          <w:woUserID w:val="2"/>
        </w:rPr>
        <w:t>子</w:t>
      </w:r>
      <w:r>
        <w:rPr>
          <w:rFonts w:hint="eastAsia"/>
          <w:highlight w:val="none"/>
          <w:lang w:val="en-US" w:eastAsia="zh"/>
          <w:woUserID w:val="2"/>
        </w:rPr>
        <w:t>基金管理机构</w:t>
      </w:r>
      <w:r>
        <w:rPr>
          <w:rFonts w:hint="eastAsia"/>
          <w:highlight w:val="none"/>
          <w:lang w:val="en-US"/>
        </w:rPr>
        <w:t>申报指南</w:t>
      </w:r>
    </w:p>
    <w:p w14:paraId="35FE805A">
      <w:pPr>
        <w:pStyle w:val="2"/>
        <w:adjustRightInd w:val="0"/>
        <w:snapToGrid w:val="0"/>
        <w:spacing w:line="560" w:lineRule="exact"/>
        <w:rPr>
          <w:rFonts w:hint="default" w:eastAsia="方正小标宋简体"/>
          <w:highlight w:val="none"/>
          <w:lang w:val="en-US" w:eastAsia="zh-CN"/>
        </w:rPr>
      </w:pPr>
      <w:r>
        <w:rPr>
          <w:rFonts w:hint="eastAsia"/>
          <w:highlight w:val="none"/>
          <w:lang w:val="en-US" w:eastAsia="zh-CN"/>
        </w:rPr>
        <w:t>（第二期）</w:t>
      </w:r>
    </w:p>
    <w:p w14:paraId="7AD969BA">
      <w:pPr>
        <w:adjustRightInd w:val="0"/>
        <w:snapToGrid w:val="0"/>
        <w:spacing w:line="560" w:lineRule="exact"/>
        <w:ind w:firstLine="640"/>
        <w:rPr>
          <w:highlight w:val="none"/>
          <w:lang w:val="en-US"/>
        </w:rPr>
      </w:pPr>
    </w:p>
    <w:p w14:paraId="01BA0CCB">
      <w:pPr>
        <w:pStyle w:val="3"/>
        <w:numPr>
          <w:ilvl w:val="0"/>
          <w:numId w:val="1"/>
        </w:numPr>
        <w:adjustRightInd w:val="0"/>
        <w:snapToGrid w:val="0"/>
        <w:spacing w:line="560" w:lineRule="exact"/>
        <w:ind w:firstLine="640"/>
        <w:rPr>
          <w:rFonts w:ascii="黑体" w:hAnsi="黑体" w:cs="黑体"/>
          <w:highlight w:val="none"/>
          <w:lang w:val="en-US"/>
        </w:rPr>
      </w:pPr>
      <w:r>
        <w:rPr>
          <w:rFonts w:hint="eastAsia" w:ascii="黑体" w:hAnsi="黑体" w:cs="黑体"/>
          <w:highlight w:val="none"/>
          <w:lang w:val="en-US"/>
        </w:rPr>
        <w:t>基金要素</w:t>
      </w:r>
    </w:p>
    <w:p w14:paraId="598983EA">
      <w:pPr>
        <w:autoSpaceDE/>
        <w:autoSpaceDN/>
        <w:adjustRightInd w:val="0"/>
        <w:snapToGrid w:val="0"/>
        <w:spacing w:line="560" w:lineRule="exact"/>
        <w:ind w:firstLine="643"/>
        <w:rPr>
          <w:b/>
          <w:bCs/>
          <w:kern w:val="2"/>
          <w:szCs w:val="32"/>
          <w:highlight w:val="none"/>
          <w:lang w:val="en-US" w:bidi="ar-SA"/>
        </w:rPr>
      </w:pPr>
      <w:r>
        <w:rPr>
          <w:rFonts w:hint="eastAsia"/>
          <w:b/>
          <w:bCs/>
          <w:kern w:val="2"/>
          <w:szCs w:val="32"/>
          <w:highlight w:val="none"/>
          <w:lang w:val="en-US" w:bidi="ar-SA"/>
        </w:rPr>
        <w:t>申报单位</w:t>
      </w:r>
      <w:r>
        <w:rPr>
          <w:rFonts w:hint="eastAsia"/>
          <w:b/>
          <w:bCs/>
          <w:kern w:val="2"/>
          <w:szCs w:val="32"/>
          <w:highlight w:val="none"/>
          <w:lang w:val="en-US" w:eastAsia="zh" w:bidi="ar-SA"/>
          <w:woUserID w:val="11"/>
        </w:rPr>
        <w:t>（即指基金管理机构）</w:t>
      </w:r>
      <w:r>
        <w:rPr>
          <w:rFonts w:hint="eastAsia"/>
          <w:b/>
          <w:bCs/>
          <w:kern w:val="2"/>
          <w:szCs w:val="32"/>
          <w:highlight w:val="none"/>
          <w:lang w:val="en-US" w:bidi="ar-SA"/>
        </w:rPr>
        <w:t>须在下列要素的基本要求上，根据自身情况，逐条提出明确、可量化、有竞争力的安排和阐述，按附件格式要求形成基金申报方案。</w:t>
      </w:r>
    </w:p>
    <w:p w14:paraId="0B967C62">
      <w:pPr>
        <w:autoSpaceDE/>
        <w:autoSpaceDN/>
        <w:adjustRightInd w:val="0"/>
        <w:snapToGrid w:val="0"/>
        <w:spacing w:line="560" w:lineRule="exact"/>
        <w:ind w:firstLine="640"/>
        <w:outlineLvl w:val="2"/>
        <w:rPr>
          <w:rFonts w:ascii="楷体" w:hAnsi="楷体" w:eastAsia="楷体" w:cs="楷体"/>
          <w:b/>
          <w:bCs/>
          <w:kern w:val="44"/>
          <w:szCs w:val="32"/>
          <w:highlight w:val="none"/>
          <w:lang w:val="en-US" w:bidi="ar-SA"/>
        </w:rPr>
      </w:pPr>
      <w:r>
        <w:rPr>
          <w:rFonts w:hint="eastAsia" w:ascii="楷体_GB2312" w:hAnsi="楷体_GB2312" w:eastAsia="楷体_GB2312" w:cs="楷体_GB2312"/>
          <w:kern w:val="44"/>
          <w:szCs w:val="32"/>
          <w:highlight w:val="none"/>
          <w:lang w:val="en-US" w:bidi="ar-SA"/>
        </w:rPr>
        <w:t>（一）基金名称：</w:t>
      </w:r>
      <w:r>
        <w:rPr>
          <w:rFonts w:hint="eastAsia"/>
          <w:kern w:val="2"/>
          <w:szCs w:val="32"/>
          <w:highlight w:val="none"/>
          <w:lang w:val="en-US" w:bidi="ar-SA"/>
        </w:rPr>
        <w:t>产业或创业投资基金（有限合伙）（具体以商事登记为准）</w:t>
      </w:r>
      <w:r>
        <w:rPr>
          <w:kern w:val="2"/>
          <w:szCs w:val="32"/>
          <w:highlight w:val="none"/>
          <w:lang w:val="en-US" w:bidi="ar-SA"/>
        </w:rPr>
        <w:t>。</w:t>
      </w:r>
    </w:p>
    <w:p w14:paraId="272E73F3">
      <w:pPr>
        <w:autoSpaceDE/>
        <w:autoSpaceDN/>
        <w:adjustRightInd w:val="0"/>
        <w:snapToGrid w:val="0"/>
        <w:spacing w:line="560" w:lineRule="exact"/>
        <w:ind w:firstLine="640"/>
        <w:outlineLvl w:val="2"/>
        <w:rPr>
          <w:kern w:val="2"/>
          <w:szCs w:val="32"/>
          <w:highlight w:val="none"/>
          <w:lang w:val="en-US" w:bidi="ar-SA"/>
        </w:rPr>
      </w:pPr>
      <w:r>
        <w:rPr>
          <w:rFonts w:hint="eastAsia" w:ascii="楷体_GB2312" w:hAnsi="楷体_GB2312" w:eastAsia="楷体_GB2312" w:cs="楷体_GB2312"/>
          <w:kern w:val="44"/>
          <w:szCs w:val="32"/>
          <w:highlight w:val="none"/>
          <w:lang w:val="en-US" w:bidi="ar-SA"/>
        </w:rPr>
        <w:t>（二）基金组织类型：</w:t>
      </w:r>
      <w:r>
        <w:rPr>
          <w:rFonts w:hint="eastAsia"/>
          <w:kern w:val="2"/>
          <w:szCs w:val="32"/>
          <w:highlight w:val="none"/>
          <w:lang w:val="en-US" w:bidi="ar-SA"/>
        </w:rPr>
        <w:t>原则上采取有限合伙企业。</w:t>
      </w:r>
    </w:p>
    <w:p w14:paraId="3C22FB88">
      <w:pPr>
        <w:autoSpaceDE/>
        <w:autoSpaceDN/>
        <w:adjustRightInd w:val="0"/>
        <w:snapToGrid w:val="0"/>
        <w:spacing w:line="560" w:lineRule="exact"/>
        <w:ind w:firstLine="640"/>
        <w:outlineLvl w:val="2"/>
        <w:rPr>
          <w:rFonts w:ascii="楷体_GB2312" w:hAnsi="楷体_GB2312" w:eastAsia="楷体_GB2312" w:cs="楷体_GB2312"/>
          <w:kern w:val="44"/>
          <w:szCs w:val="32"/>
          <w:highlight w:val="none"/>
          <w:lang w:val="en-US" w:bidi="ar-SA"/>
        </w:rPr>
      </w:pPr>
      <w:r>
        <w:rPr>
          <w:rFonts w:hint="eastAsia" w:ascii="楷体_GB2312" w:hAnsi="楷体_GB2312" w:eastAsia="楷体_GB2312" w:cs="楷体_GB2312"/>
          <w:kern w:val="44"/>
          <w:szCs w:val="32"/>
          <w:highlight w:val="none"/>
          <w:lang w:val="en-US" w:bidi="ar-SA"/>
        </w:rPr>
        <w:t>（三）基金规模</w:t>
      </w:r>
    </w:p>
    <w:p w14:paraId="25186A79">
      <w:pPr>
        <w:autoSpaceDE/>
        <w:autoSpaceDN/>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单只基金规模原则上不低于2亿元，分期缴付，首次缴付出资比例视基金拟投项目总量而定。</w:t>
      </w:r>
    </w:p>
    <w:p w14:paraId="4744B903">
      <w:pPr>
        <w:autoSpaceDE/>
        <w:autoSpaceDN/>
        <w:adjustRightInd w:val="0"/>
        <w:snapToGrid w:val="0"/>
        <w:spacing w:line="560" w:lineRule="exact"/>
        <w:ind w:firstLine="640"/>
        <w:outlineLvl w:val="2"/>
        <w:rPr>
          <w:rFonts w:ascii="楷体_GB2312" w:hAnsi="楷体_GB2312" w:eastAsia="楷体_GB2312" w:cs="楷体_GB2312"/>
          <w:kern w:val="44"/>
          <w:szCs w:val="32"/>
          <w:highlight w:val="none"/>
          <w:lang w:val="en-US" w:bidi="ar-SA"/>
        </w:rPr>
      </w:pPr>
      <w:r>
        <w:rPr>
          <w:rFonts w:hint="eastAsia" w:ascii="楷体_GB2312" w:hAnsi="楷体_GB2312" w:eastAsia="楷体_GB2312" w:cs="楷体_GB2312"/>
          <w:kern w:val="44"/>
          <w:szCs w:val="32"/>
          <w:highlight w:val="none"/>
          <w:lang w:val="en-US" w:bidi="ar-SA"/>
        </w:rPr>
        <w:t>（四）出资结构和要求</w:t>
      </w:r>
    </w:p>
    <w:p w14:paraId="327A7771">
      <w:pPr>
        <w:autoSpaceDE/>
        <w:autoSpaceDN/>
        <w:adjustRightInd w:val="0"/>
        <w:snapToGrid w:val="0"/>
        <w:spacing w:line="560" w:lineRule="exact"/>
        <w:ind w:firstLine="640"/>
        <w:rPr>
          <w:rFonts w:hint="eastAsia" w:ascii="Times New Roman Regular" w:hAnsi="Times New Roman Regular" w:eastAsia="仿宋_GB2312" w:cs="Times New Roman Regular"/>
          <w:kern w:val="2"/>
          <w:szCs w:val="32"/>
          <w:highlight w:val="none"/>
          <w:lang w:val="en-US" w:eastAsia="zh-CN" w:bidi="ar-SA"/>
          <w:woUserID w:val="4"/>
        </w:rPr>
      </w:pPr>
      <w:r>
        <w:rPr>
          <w:rFonts w:ascii="Times New Roman Regular" w:hAnsi="Times New Roman Regular" w:cs="Times New Roman Regular"/>
          <w:kern w:val="2"/>
          <w:szCs w:val="32"/>
          <w:highlight w:val="none"/>
          <w:lang w:val="en-US" w:bidi="ar-SA"/>
        </w:rPr>
        <w:t>1.</w:t>
      </w:r>
      <w:r>
        <w:rPr>
          <w:rFonts w:hint="eastAsia" w:ascii="Times New Roman Regular" w:hAnsi="Times New Roman Regular" w:cs="Times New Roman Regular"/>
          <w:kern w:val="2"/>
          <w:szCs w:val="32"/>
          <w:highlight w:val="none"/>
          <w:lang w:val="en-US" w:eastAsia="zh" w:bidi="ar-SA"/>
          <w:woUserID w:val="4"/>
        </w:rPr>
        <w:t>广投资本统筹协调</w:t>
      </w:r>
      <w:r>
        <w:rPr>
          <w:rFonts w:ascii="Times New Roman Regular" w:hAnsi="Times New Roman Regular" w:cs="Times New Roman Regular"/>
          <w:kern w:val="2"/>
          <w:szCs w:val="32"/>
          <w:highlight w:val="none"/>
          <w:lang w:val="en-US" w:bidi="ar-SA"/>
        </w:rPr>
        <w:t>各母基金主体对单只基金合计出资原则上不超过基金目标规模的50%，剩余部分由</w:t>
      </w:r>
      <w:r>
        <w:rPr>
          <w:rFonts w:hint="eastAsia" w:ascii="Times New Roman Regular" w:hAnsi="Times New Roman Regular" w:cs="Times New Roman Regular"/>
          <w:kern w:val="2"/>
          <w:szCs w:val="32"/>
          <w:highlight w:val="none"/>
          <w:lang w:val="en-US" w:eastAsia="zh" w:bidi="ar-SA"/>
          <w:woUserID w:val="11"/>
        </w:rPr>
        <w:t>基金</w:t>
      </w:r>
      <w:r>
        <w:rPr>
          <w:rFonts w:ascii="Times New Roman Regular" w:hAnsi="Times New Roman Regular" w:cs="Times New Roman Regular"/>
          <w:kern w:val="2"/>
          <w:szCs w:val="32"/>
          <w:highlight w:val="none"/>
          <w:lang w:val="en-US" w:bidi="ar-SA"/>
        </w:rPr>
        <w:t>管理机构自行募集</w:t>
      </w:r>
      <w:r>
        <w:rPr>
          <w:rFonts w:hint="eastAsia" w:ascii="Times New Roman Regular" w:hAnsi="Times New Roman Regular" w:cs="Times New Roman Regular"/>
          <w:kern w:val="2"/>
          <w:szCs w:val="32"/>
          <w:highlight w:val="none"/>
          <w:lang w:val="en-US" w:eastAsia="zh" w:bidi="ar-SA"/>
          <w:woUserID w:val="11"/>
        </w:rPr>
        <w:t>，其中除自治区财政及国有企业外的</w:t>
      </w:r>
      <w:r>
        <w:rPr>
          <w:rFonts w:ascii="Times New Roman Regular" w:hAnsi="Times New Roman Regular" w:cs="Times New Roman Regular"/>
          <w:kern w:val="2"/>
          <w:szCs w:val="32"/>
          <w:highlight w:val="none"/>
          <w:lang w:val="en-US" w:bidi="ar-SA"/>
        </w:rPr>
        <w:t>社会资本出资原则上应不低于30%</w:t>
      </w:r>
      <w:r>
        <w:rPr>
          <w:rFonts w:hint="eastAsia" w:ascii="Times New Roman Regular" w:hAnsi="Times New Roman Regular" w:cs="Times New Roman Regular"/>
          <w:kern w:val="2"/>
          <w:szCs w:val="32"/>
          <w:highlight w:val="none"/>
          <w:lang w:val="en-US" w:eastAsia="zh" w:bidi="ar-SA"/>
          <w:woUserID w:val="4"/>
        </w:rPr>
        <w:t>，在广投资本及各母基金主体签署入伙协议前，募集的社会资本</w:t>
      </w:r>
      <w:r>
        <w:rPr>
          <w:rFonts w:hint="eastAsia" w:ascii="Times New Roman Regular" w:hAnsi="Times New Roman Regular" w:cs="Times New Roman Regular"/>
          <w:kern w:val="2"/>
          <w:szCs w:val="32"/>
          <w:highlight w:val="none"/>
          <w:lang w:val="en-US" w:eastAsia="zh" w:bidi="ar-SA"/>
          <w:woUserID w:val="10"/>
        </w:rPr>
        <w:t>原则上</w:t>
      </w:r>
      <w:r>
        <w:rPr>
          <w:rFonts w:hint="eastAsia" w:ascii="Times New Roman Regular" w:hAnsi="Times New Roman Regular" w:cs="Times New Roman Regular"/>
          <w:kern w:val="2"/>
          <w:szCs w:val="32"/>
          <w:highlight w:val="none"/>
          <w:lang w:val="en-US" w:eastAsia="zh" w:bidi="ar-SA"/>
          <w:woUserID w:val="4"/>
        </w:rPr>
        <w:t>须满足上述社会资本出资比例</w:t>
      </w:r>
      <w:r>
        <w:rPr>
          <w:rFonts w:hint="eastAsia" w:ascii="Times New Roman Regular" w:hAnsi="Times New Roman Regular" w:cs="Times New Roman Regular"/>
          <w:kern w:val="2"/>
          <w:szCs w:val="32"/>
          <w:highlight w:val="none"/>
          <w:lang w:val="en-US" w:eastAsia="zh-CN" w:bidi="ar-SA"/>
          <w:woUserID w:val="4"/>
        </w:rPr>
        <w:t>；</w:t>
      </w:r>
    </w:p>
    <w:p w14:paraId="32015E0D">
      <w:pPr>
        <w:autoSpaceDE/>
        <w:autoSpaceDN/>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hint="eastAsia" w:ascii="Times New Roman Regular" w:hAnsi="Times New Roman Regular" w:cs="Times New Roman Regular"/>
          <w:kern w:val="2"/>
          <w:szCs w:val="32"/>
          <w:highlight w:val="none"/>
          <w:lang w:val="en-US" w:eastAsia="zh" w:bidi="ar-SA"/>
          <w:woUserID w:val="4"/>
        </w:rPr>
        <w:t>2</w:t>
      </w:r>
      <w:r>
        <w:rPr>
          <w:rFonts w:ascii="Times New Roman Regular" w:hAnsi="Times New Roman Regular" w:cs="Times New Roman Regular"/>
          <w:kern w:val="2"/>
          <w:szCs w:val="32"/>
          <w:highlight w:val="none"/>
          <w:lang w:val="en-US" w:bidi="ar-SA"/>
        </w:rPr>
        <w:t>.募资期内</w:t>
      </w:r>
      <w:r>
        <w:rPr>
          <w:rFonts w:hint="eastAsia" w:ascii="Times New Roman Regular" w:hAnsi="Times New Roman Regular" w:cs="Times New Roman Regular"/>
          <w:kern w:val="2"/>
          <w:szCs w:val="32"/>
          <w:highlight w:val="none"/>
          <w:lang w:val="en-US" w:eastAsia="zh" w:bidi="ar-SA"/>
          <w:woUserID w:val="11"/>
        </w:rPr>
        <w:t>，基金</w:t>
      </w:r>
      <w:r>
        <w:rPr>
          <w:rFonts w:ascii="Times New Roman Regular" w:hAnsi="Times New Roman Regular" w:cs="Times New Roman Regular"/>
          <w:kern w:val="2"/>
          <w:szCs w:val="32"/>
          <w:highlight w:val="none"/>
          <w:lang w:val="en-US" w:bidi="ar-SA"/>
        </w:rPr>
        <w:t>管理机构募集的资金原则上以平价取得基金份额；</w:t>
      </w:r>
    </w:p>
    <w:p w14:paraId="7981D8DC">
      <w:pPr>
        <w:autoSpaceDE/>
        <w:autoSpaceDN/>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hint="eastAsia" w:ascii="Times New Roman Regular" w:hAnsi="Times New Roman Regular" w:cs="Times New Roman Regular"/>
          <w:kern w:val="2"/>
          <w:szCs w:val="32"/>
          <w:highlight w:val="none"/>
          <w:lang w:val="en-US" w:eastAsia="zh" w:bidi="ar-SA"/>
          <w:woUserID w:val="4"/>
        </w:rPr>
        <w:t>3</w:t>
      </w:r>
      <w:r>
        <w:rPr>
          <w:rFonts w:ascii="Times New Roman Regular" w:hAnsi="Times New Roman Regular" w:cs="Times New Roman Regular"/>
          <w:kern w:val="2"/>
          <w:szCs w:val="32"/>
          <w:highlight w:val="none"/>
          <w:lang w:val="en-US" w:bidi="ar-SA"/>
        </w:rPr>
        <w:t>.</w:t>
      </w:r>
      <w:r>
        <w:rPr>
          <w:rFonts w:hint="eastAsia" w:ascii="Times New Roman Regular" w:hAnsi="Times New Roman Regular" w:cs="Times New Roman Regular"/>
          <w:kern w:val="2"/>
          <w:szCs w:val="32"/>
          <w:highlight w:val="none"/>
          <w:lang w:val="en-US" w:eastAsia="zh" w:bidi="ar-SA"/>
          <w:woUserID w:val="11"/>
        </w:rPr>
        <w:t>基金</w:t>
      </w:r>
      <w:r>
        <w:rPr>
          <w:rFonts w:ascii="Times New Roman Regular" w:hAnsi="Times New Roman Regular" w:cs="Times New Roman Regular"/>
          <w:kern w:val="2"/>
          <w:szCs w:val="32"/>
          <w:highlight w:val="none"/>
          <w:lang w:val="en-US" w:bidi="ar-SA"/>
        </w:rPr>
        <w:t>管理机构或与其存在关联关系的普通合伙人，单独或合计在本基金中认缴出资不低于基金备案规模的1%；</w:t>
      </w:r>
    </w:p>
    <w:p w14:paraId="0FE01689">
      <w:pPr>
        <w:autoSpaceDE/>
        <w:autoSpaceDN/>
        <w:adjustRightInd w:val="0"/>
        <w:snapToGrid w:val="0"/>
        <w:spacing w:line="560" w:lineRule="exact"/>
        <w:ind w:firstLine="640"/>
        <w:rPr>
          <w:rFonts w:hint="eastAsia" w:ascii="Times New Roman Regular" w:hAnsi="Times New Roman Regular" w:eastAsia="仿宋_GB2312" w:cs="Times New Roman Regular"/>
          <w:kern w:val="2"/>
          <w:szCs w:val="32"/>
          <w:highlight w:val="none"/>
          <w:lang w:val="en-US" w:eastAsia="zh-CN" w:bidi="ar-SA"/>
        </w:rPr>
      </w:pPr>
      <w:r>
        <w:rPr>
          <w:rFonts w:hint="eastAsia" w:ascii="Times New Roman Regular" w:hAnsi="Times New Roman Regular" w:cs="Times New Roman Regular"/>
          <w:kern w:val="2"/>
          <w:szCs w:val="32"/>
          <w:highlight w:val="none"/>
          <w:lang w:val="en-US" w:eastAsia="zh" w:bidi="ar-SA"/>
          <w:woUserID w:val="4"/>
        </w:rPr>
        <w:t>4</w:t>
      </w:r>
      <w:r>
        <w:rPr>
          <w:rFonts w:ascii="Times New Roman Regular" w:hAnsi="Times New Roman Regular" w:cs="Times New Roman Regular"/>
          <w:kern w:val="2"/>
          <w:szCs w:val="32"/>
          <w:highlight w:val="none"/>
          <w:lang w:val="en-US" w:bidi="ar-SA"/>
        </w:rPr>
        <w:t>.</w:t>
      </w:r>
      <w:r>
        <w:rPr>
          <w:rFonts w:hint="eastAsia" w:ascii="Times New Roman Regular" w:hAnsi="Times New Roman Regular" w:cs="Times New Roman Regular"/>
          <w:kern w:val="2"/>
          <w:szCs w:val="32"/>
          <w:highlight w:val="none"/>
          <w:lang w:val="en-US" w:eastAsia="zh" w:bidi="ar-SA"/>
          <w:woUserID w:val="11"/>
        </w:rPr>
        <w:t>基金</w:t>
      </w:r>
      <w:r>
        <w:rPr>
          <w:rFonts w:ascii="Times New Roman Regular" w:hAnsi="Times New Roman Regular" w:cs="Times New Roman Regular"/>
          <w:kern w:val="2"/>
          <w:szCs w:val="32"/>
          <w:highlight w:val="none"/>
          <w:lang w:val="en-US" w:bidi="ar-SA"/>
        </w:rPr>
        <w:t>管理机构提出的具体基金架构安排，应确保满足中国证券投资基金业协会（简称中基协）备案要求</w:t>
      </w:r>
      <w:r>
        <w:rPr>
          <w:rFonts w:hint="eastAsia" w:ascii="Times New Roman Regular" w:hAnsi="Times New Roman Regular" w:cs="Times New Roman Regular"/>
          <w:kern w:val="2"/>
          <w:szCs w:val="32"/>
          <w:highlight w:val="none"/>
          <w:lang w:val="en-US" w:eastAsia="zh-CN" w:bidi="ar-SA"/>
        </w:rPr>
        <w:t>；</w:t>
      </w:r>
    </w:p>
    <w:p w14:paraId="05695C59">
      <w:pPr>
        <w:autoSpaceDE/>
        <w:autoSpaceDN/>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hint="eastAsia" w:ascii="Times New Roman Regular" w:hAnsi="Times New Roman Regular" w:cs="Times New Roman Regular"/>
          <w:kern w:val="2"/>
          <w:szCs w:val="32"/>
          <w:highlight w:val="none"/>
          <w:lang w:val="en-US" w:eastAsia="zh" w:bidi="ar-SA"/>
          <w:woUserID w:val="4"/>
        </w:rPr>
        <w:t>5.</w:t>
      </w:r>
      <w:r>
        <w:rPr>
          <w:rFonts w:ascii="Times New Roman Regular" w:hAnsi="Times New Roman Regular" w:cs="Times New Roman Regular"/>
          <w:kern w:val="2"/>
          <w:szCs w:val="32"/>
          <w:highlight w:val="none"/>
          <w:lang w:val="en-US" w:bidi="ar-SA"/>
          <w:woUserID w:val="4"/>
        </w:rPr>
        <w:t>原则上基金所有出资方同步实缴出资</w:t>
      </w:r>
      <w:r>
        <w:rPr>
          <w:rFonts w:ascii="Times New Roman Regular" w:hAnsi="Times New Roman Regular" w:cs="Times New Roman Regular"/>
          <w:kern w:val="2"/>
          <w:szCs w:val="32"/>
          <w:highlight w:val="none"/>
          <w:lang w:val="en-US" w:bidi="ar-SA"/>
        </w:rPr>
        <w:t>。</w:t>
      </w:r>
    </w:p>
    <w:p w14:paraId="36086F84">
      <w:pPr>
        <w:autoSpaceDE/>
        <w:autoSpaceDN/>
        <w:adjustRightInd w:val="0"/>
        <w:snapToGrid w:val="0"/>
        <w:spacing w:line="560" w:lineRule="exact"/>
        <w:ind w:firstLine="643"/>
        <w:rPr>
          <w:highlight w:val="none"/>
          <w:lang w:val="en-US"/>
        </w:rPr>
      </w:pPr>
      <w:r>
        <w:rPr>
          <w:rFonts w:hint="eastAsia"/>
          <w:b/>
          <w:bCs/>
          <w:kern w:val="2"/>
          <w:szCs w:val="32"/>
          <w:highlight w:val="none"/>
          <w:lang w:val="en-US" w:bidi="ar-SA"/>
        </w:rPr>
        <w:t>提示：</w:t>
      </w:r>
      <w:r>
        <w:rPr>
          <w:rFonts w:hint="eastAsia"/>
          <w:b w:val="0"/>
          <w:bCs w:val="0"/>
          <w:kern w:val="2"/>
          <w:szCs w:val="32"/>
          <w:highlight w:val="none"/>
          <w:lang w:val="en-US" w:eastAsia="zh" w:bidi="ar-SA"/>
          <w:woUserID w:val="11"/>
        </w:rPr>
        <w:t>申报方案</w:t>
      </w:r>
      <w:r>
        <w:rPr>
          <w:rFonts w:hint="eastAsia"/>
          <w:kern w:val="2"/>
          <w:szCs w:val="32"/>
          <w:highlight w:val="none"/>
          <w:lang w:val="en-US" w:bidi="ar-SA"/>
        </w:rPr>
        <w:t>应提出完整详细的基金出资结构与募资时间安排。</w:t>
      </w:r>
      <w:r>
        <w:rPr>
          <w:rFonts w:hint="eastAsia"/>
          <w:highlight w:val="none"/>
          <w:lang w:val="en-US"/>
        </w:rPr>
        <w:t>鼓励募集更高比例社会资本、加大</w:t>
      </w:r>
      <w:r>
        <w:rPr>
          <w:rFonts w:hint="eastAsia"/>
          <w:highlight w:val="none"/>
          <w:lang w:val="en-US" w:eastAsia="zh"/>
          <w:woUserID w:val="11"/>
        </w:rPr>
        <w:t>基金</w:t>
      </w:r>
      <w:r>
        <w:rPr>
          <w:rFonts w:hint="eastAsia"/>
          <w:highlight w:val="none"/>
          <w:lang w:val="en-US"/>
        </w:rPr>
        <w:t>管理机构或与其存在关联关系的普通合伙人的认缴出资；鼓励产业方或</w:t>
      </w:r>
      <w:r>
        <w:rPr>
          <w:rFonts w:hint="eastAsia"/>
          <w:highlight w:val="none"/>
          <w:lang w:val="en-US" w:eastAsia="zh"/>
          <w:woUserID w:val="11"/>
        </w:rPr>
        <w:t>基金</w:t>
      </w:r>
      <w:r>
        <w:rPr>
          <w:rFonts w:hint="eastAsia"/>
          <w:highlight w:val="none"/>
          <w:lang w:val="en-US"/>
        </w:rPr>
        <w:t>管理机构及其关联方以自有资金出资。以上将作为遴选评审的考量因素之一。</w:t>
      </w:r>
    </w:p>
    <w:p w14:paraId="7CAAE2BB">
      <w:pPr>
        <w:keepNext/>
        <w:keepLines/>
        <w:adjustRightInd w:val="0"/>
        <w:snapToGrid w:val="0"/>
        <w:spacing w:line="560" w:lineRule="exact"/>
        <w:ind w:firstLine="640"/>
        <w:outlineLvl w:val="2"/>
        <w:rPr>
          <w:kern w:val="2"/>
          <w:szCs w:val="32"/>
          <w:highlight w:val="none"/>
          <w:lang w:val="en-US" w:bidi="ar-SA"/>
        </w:rPr>
      </w:pPr>
      <w:r>
        <w:rPr>
          <w:rFonts w:hint="eastAsia" w:eastAsia="楷体_GB2312"/>
          <w:highlight w:val="none"/>
          <w:lang w:val="en-US"/>
        </w:rPr>
        <w:t>（五）存续期限：</w:t>
      </w:r>
      <w:r>
        <w:rPr>
          <w:rFonts w:ascii="Times New Roman Regular" w:hAnsi="Times New Roman Regular" w:cs="Times New Roman Regular"/>
          <w:kern w:val="2"/>
          <w:szCs w:val="32"/>
          <w:highlight w:val="none"/>
          <w:lang w:val="en-US" w:bidi="ar-SA"/>
        </w:rPr>
        <w:t>基金存续期不超过10年（含投资期、退出期、延长期）</w:t>
      </w:r>
      <w:r>
        <w:rPr>
          <w:rFonts w:hint="eastAsia"/>
          <w:kern w:val="2"/>
          <w:szCs w:val="32"/>
          <w:highlight w:val="none"/>
          <w:lang w:val="en-US" w:bidi="ar-SA"/>
        </w:rPr>
        <w:t>。</w:t>
      </w:r>
    </w:p>
    <w:p w14:paraId="42C92096">
      <w:pPr>
        <w:adjustRightInd w:val="0"/>
        <w:snapToGrid w:val="0"/>
        <w:ind w:firstLine="640"/>
        <w:contextualSpacing/>
        <w:outlineLvl w:val="2"/>
        <w:rPr>
          <w:szCs w:val="32"/>
          <w:highlight w:val="none"/>
          <w:lang w:bidi="ar"/>
        </w:rPr>
      </w:pPr>
      <w:r>
        <w:rPr>
          <w:rFonts w:hint="eastAsia" w:eastAsia="楷体_GB2312"/>
          <w:highlight w:val="none"/>
          <w:lang w:val="en-US"/>
        </w:rPr>
        <w:t>（六）投资领域：</w:t>
      </w:r>
      <w:r>
        <w:rPr>
          <w:rFonts w:ascii="Times New Roman Regular" w:hAnsi="Times New Roman Regular" w:cs="Times New Roman Regular"/>
          <w:kern w:val="2"/>
          <w:szCs w:val="32"/>
          <w:highlight w:val="none"/>
          <w:lang w:val="en-US" w:bidi="ar-SA"/>
        </w:rPr>
        <w:t>基金</w:t>
      </w:r>
      <w:r>
        <w:rPr>
          <w:rFonts w:hint="eastAsia" w:ascii="Times New Roman Regular" w:hAnsi="Times New Roman Regular" w:cs="Times New Roman Regular"/>
          <w:kern w:val="2"/>
          <w:szCs w:val="32"/>
          <w:highlight w:val="none"/>
          <w:lang w:val="en-US" w:bidi="ar-SA"/>
        </w:rPr>
        <w:t>的主要投向和储备项目应聚焦于</w:t>
      </w:r>
      <w:r>
        <w:rPr>
          <w:rFonts w:hint="eastAsia" w:ascii="Times New Roman Regular" w:hAnsi="Times New Roman Regular" w:cs="Times New Roman Regular"/>
          <w:kern w:val="2"/>
          <w:szCs w:val="32"/>
          <w:highlight w:val="none"/>
          <w:lang w:val="en-US" w:eastAsia="zh-CN" w:bidi="ar-SA"/>
        </w:rPr>
        <w:t>量子科技、核聚变等未来产业</w:t>
      </w:r>
      <w:r>
        <w:rPr>
          <w:rFonts w:ascii="Times New Roman Regular" w:hAnsi="Times New Roman Regular" w:cs="Times New Roman Regular"/>
          <w:kern w:val="2"/>
          <w:szCs w:val="32"/>
          <w:highlight w:val="none"/>
          <w:lang w:val="en-US" w:bidi="ar-SA"/>
        </w:rPr>
        <w:t>领域。</w:t>
      </w:r>
    </w:p>
    <w:p w14:paraId="38F3EFB0">
      <w:pPr>
        <w:keepNext/>
        <w:keepLines/>
        <w:adjustRightInd w:val="0"/>
        <w:snapToGrid w:val="0"/>
        <w:spacing w:line="560" w:lineRule="exact"/>
        <w:ind w:firstLine="640"/>
        <w:outlineLvl w:val="2"/>
        <w:rPr>
          <w:highlight w:val="none"/>
          <w:lang w:val="en-US"/>
        </w:rPr>
      </w:pPr>
      <w:r>
        <w:rPr>
          <w:rFonts w:hint="eastAsia" w:eastAsia="楷体_GB2312"/>
          <w:highlight w:val="none"/>
          <w:lang w:val="en-US"/>
        </w:rPr>
        <w:t>（七）投资方式：</w:t>
      </w:r>
      <w:r>
        <w:rPr>
          <w:rFonts w:hint="eastAsia"/>
          <w:highlight w:val="none"/>
          <w:lang w:val="en-US"/>
        </w:rPr>
        <w:t>非上市公司股权投资及以战略入股为目的的上市公司定向增发/战略配售/港股基石等。</w:t>
      </w:r>
      <w:bookmarkStart w:id="0" w:name="_GoBack"/>
      <w:bookmarkEnd w:id="0"/>
    </w:p>
    <w:p w14:paraId="013EFA93">
      <w:pPr>
        <w:keepNext/>
        <w:keepLines/>
        <w:adjustRightInd w:val="0"/>
        <w:snapToGrid w:val="0"/>
        <w:spacing w:line="560" w:lineRule="exact"/>
        <w:ind w:firstLine="640"/>
        <w:outlineLvl w:val="2"/>
        <w:rPr>
          <w:rFonts w:eastAsia="楷体_GB2312"/>
          <w:highlight w:val="none"/>
          <w:lang w:val="en-US"/>
        </w:rPr>
      </w:pPr>
      <w:r>
        <w:rPr>
          <w:rFonts w:hint="eastAsia" w:eastAsia="楷体_GB2312"/>
          <w:highlight w:val="none"/>
          <w:lang w:val="en-US"/>
        </w:rPr>
        <w:t>（八）基金</w:t>
      </w:r>
      <w:r>
        <w:rPr>
          <w:rFonts w:eastAsia="楷体_GB2312"/>
          <w:highlight w:val="none"/>
          <w:lang w:val="en-US"/>
        </w:rPr>
        <w:t>运营费用</w:t>
      </w:r>
    </w:p>
    <w:p w14:paraId="681F7F64">
      <w:pPr>
        <w:adjustRightInd w:val="0"/>
        <w:snapToGrid w:val="0"/>
        <w:spacing w:line="560" w:lineRule="exact"/>
        <w:ind w:firstLine="640"/>
        <w:rPr>
          <w:rFonts w:ascii="Times New Roman Regular" w:hAnsi="Times New Roman Regular" w:cs="Times New Roman Regular"/>
          <w:highlight w:val="none"/>
          <w:lang w:val="en-US"/>
        </w:rPr>
      </w:pPr>
      <w:r>
        <w:rPr>
          <w:rFonts w:ascii="Times New Roman Regular" w:hAnsi="Times New Roman Regular" w:cs="Times New Roman Regular"/>
          <w:highlight w:val="none"/>
          <w:lang w:val="en-US"/>
        </w:rPr>
        <w:t>1.标准管理费：投资期内，每年</w:t>
      </w:r>
      <w:r>
        <w:rPr>
          <w:rFonts w:hint="eastAsia" w:ascii="Times New Roman Regular" w:hAnsi="Times New Roman Regular" w:cs="Times New Roman Regular"/>
          <w:highlight w:val="none"/>
          <w:lang w:val="en-US"/>
        </w:rPr>
        <w:t>管理费</w:t>
      </w:r>
      <w:r>
        <w:rPr>
          <w:rFonts w:ascii="Times New Roman Regular" w:hAnsi="Times New Roman Regular" w:cs="Times New Roman Regular"/>
          <w:highlight w:val="none"/>
          <w:lang w:val="en-US"/>
        </w:rPr>
        <w:t>按不超过实缴金额的2%收取；退出期内，每年</w:t>
      </w:r>
      <w:r>
        <w:rPr>
          <w:rFonts w:hint="eastAsia" w:ascii="Times New Roman Regular" w:hAnsi="Times New Roman Regular" w:cs="Times New Roman Regular"/>
          <w:highlight w:val="none"/>
          <w:lang w:val="en-US"/>
        </w:rPr>
        <w:t>管理费</w:t>
      </w:r>
      <w:r>
        <w:rPr>
          <w:rFonts w:ascii="Times New Roman Regular" w:hAnsi="Times New Roman Regular" w:cs="Times New Roman Regular"/>
          <w:highlight w:val="none"/>
          <w:lang w:val="en-US"/>
        </w:rPr>
        <w:t>按不超过已投未退金额的2%收取；延长期不收取管理费。</w:t>
      </w:r>
    </w:p>
    <w:p w14:paraId="1B66FCB1">
      <w:pPr>
        <w:adjustRightInd w:val="0"/>
        <w:snapToGrid w:val="0"/>
        <w:spacing w:line="560" w:lineRule="exact"/>
        <w:ind w:firstLine="640"/>
        <w:rPr>
          <w:rFonts w:ascii="Times New Roman Regular" w:hAnsi="Times New Roman Regular" w:cs="Times New Roman Regular"/>
          <w:highlight w:val="none"/>
          <w:lang w:val="en-US"/>
        </w:rPr>
      </w:pPr>
      <w:r>
        <w:rPr>
          <w:rFonts w:ascii="Times New Roman Regular" w:hAnsi="Times New Roman Regular" w:cs="Times New Roman Regular"/>
          <w:highlight w:val="none"/>
          <w:lang w:val="en-US"/>
        </w:rPr>
        <w:t>2.基金运营过程中发生的与投资项目相关的考察和尽调等费用由基金管理人承担。</w:t>
      </w:r>
    </w:p>
    <w:p w14:paraId="58F8DDAD">
      <w:pPr>
        <w:adjustRightInd w:val="0"/>
        <w:snapToGrid w:val="0"/>
        <w:spacing w:line="560" w:lineRule="exact"/>
        <w:ind w:firstLine="643"/>
        <w:rPr>
          <w:highlight w:val="none"/>
          <w:lang w:val="en-US"/>
        </w:rPr>
      </w:pPr>
      <w:r>
        <w:rPr>
          <w:rFonts w:hint="eastAsia"/>
          <w:b/>
          <w:bCs/>
          <w:highlight w:val="none"/>
          <w:lang w:val="en-US"/>
        </w:rPr>
        <w:t>提示：</w:t>
      </w:r>
      <w:r>
        <w:rPr>
          <w:rFonts w:hint="eastAsia"/>
          <w:highlight w:val="none"/>
          <w:lang w:val="en-US"/>
        </w:rPr>
        <w:t>鼓励</w:t>
      </w:r>
      <w:r>
        <w:rPr>
          <w:rFonts w:hint="eastAsia"/>
          <w:highlight w:val="none"/>
          <w:lang w:val="en-US" w:eastAsia="zh"/>
          <w:woUserID w:val="11"/>
        </w:rPr>
        <w:t>基金</w:t>
      </w:r>
      <w:r>
        <w:rPr>
          <w:rFonts w:hint="eastAsia"/>
          <w:highlight w:val="none"/>
          <w:lang w:val="en-US"/>
        </w:rPr>
        <w:t>管理机构提出更有竞争力的管理费率。管理费率将作为遴选评审的考量因素之一。</w:t>
      </w:r>
    </w:p>
    <w:p w14:paraId="5E5D2BB5">
      <w:pPr>
        <w:keepNext/>
        <w:keepLines/>
        <w:adjustRightInd w:val="0"/>
        <w:snapToGrid w:val="0"/>
        <w:spacing w:line="560" w:lineRule="exact"/>
        <w:ind w:firstLine="640"/>
        <w:outlineLvl w:val="2"/>
        <w:rPr>
          <w:rFonts w:eastAsia="楷体_GB2312"/>
          <w:highlight w:val="none"/>
          <w:lang w:val="en-US"/>
        </w:rPr>
      </w:pPr>
      <w:r>
        <w:rPr>
          <w:rFonts w:hint="eastAsia" w:eastAsia="楷体_GB2312"/>
          <w:highlight w:val="none"/>
          <w:lang w:val="en-US"/>
        </w:rPr>
        <w:t>（九）收益分配方式</w:t>
      </w:r>
    </w:p>
    <w:p w14:paraId="3762B43E">
      <w:pPr>
        <w:adjustRightInd w:val="0"/>
        <w:snapToGrid w:val="0"/>
        <w:spacing w:line="560" w:lineRule="exact"/>
        <w:ind w:firstLine="640"/>
        <w:rPr>
          <w:rFonts w:ascii="Times New Roman Regular" w:hAnsi="Times New Roman Regular" w:cs="Times New Roman Regular"/>
          <w:highlight w:val="none"/>
          <w:lang w:val="en-US"/>
        </w:rPr>
      </w:pPr>
      <w:r>
        <w:rPr>
          <w:rFonts w:ascii="Times New Roman Regular" w:hAnsi="Times New Roman Regular" w:cs="Times New Roman Regular"/>
          <w:highlight w:val="none"/>
          <w:lang w:val="en-US"/>
        </w:rPr>
        <w:t>按照</w:t>
      </w:r>
      <w:r>
        <w:rPr>
          <w:rFonts w:hint="eastAsia" w:ascii="Times New Roman Regular" w:hAnsi="Times New Roman Regular" w:cs="Times New Roman Regular"/>
          <w:highlight w:val="none"/>
          <w:lang w:val="en-US"/>
        </w:rPr>
        <w:t>“</w:t>
      </w:r>
      <w:r>
        <w:rPr>
          <w:rFonts w:ascii="Times New Roman Regular" w:hAnsi="Times New Roman Regular" w:cs="Times New Roman Regular"/>
          <w:highlight w:val="none"/>
          <w:lang w:val="en-US"/>
        </w:rPr>
        <w:t>基金整体先回本后分利，退出项目即退即分</w:t>
      </w:r>
      <w:r>
        <w:rPr>
          <w:rFonts w:hint="eastAsia" w:ascii="Times New Roman Regular" w:hAnsi="Times New Roman Regular" w:cs="Times New Roman Regular"/>
          <w:highlight w:val="none"/>
          <w:lang w:val="en-US"/>
        </w:rPr>
        <w:t>”</w:t>
      </w:r>
      <w:r>
        <w:rPr>
          <w:rFonts w:ascii="Times New Roman Regular" w:hAnsi="Times New Roman Regular" w:cs="Times New Roman Regular"/>
          <w:highlight w:val="none"/>
          <w:lang w:val="en-US"/>
        </w:rPr>
        <w:t>原则进行分配。基金整体实现退出时，应先向各合伙人按照实缴出资比例返还实缴出资金额，再分配各合伙人6-8%的门槛收益和普通合伙人追补收益（如有），原则上剩余超额收益的80%向有限合伙人分配，20%向普通合伙人分配。</w:t>
      </w:r>
    </w:p>
    <w:p w14:paraId="60A9812B">
      <w:pPr>
        <w:adjustRightInd w:val="0"/>
        <w:snapToGrid w:val="0"/>
        <w:spacing w:line="560" w:lineRule="exact"/>
        <w:ind w:firstLine="643"/>
        <w:rPr>
          <w:highlight w:val="none"/>
          <w:lang w:val="en-US"/>
        </w:rPr>
      </w:pPr>
      <w:r>
        <w:rPr>
          <w:rFonts w:hint="eastAsia"/>
          <w:b/>
          <w:bCs/>
          <w:highlight w:val="none"/>
          <w:lang w:val="en-US"/>
        </w:rPr>
        <w:t>提示：</w:t>
      </w:r>
      <w:r>
        <w:rPr>
          <w:rFonts w:hint="eastAsia"/>
          <w:highlight w:val="none"/>
          <w:lang w:val="en-US"/>
        </w:rPr>
        <w:t>鼓励</w:t>
      </w:r>
      <w:r>
        <w:rPr>
          <w:rFonts w:hint="eastAsia"/>
          <w:highlight w:val="none"/>
          <w:lang w:val="en-US" w:eastAsia="zh"/>
          <w:woUserID w:val="11"/>
        </w:rPr>
        <w:t>基金</w:t>
      </w:r>
      <w:r>
        <w:rPr>
          <w:rFonts w:hint="eastAsia"/>
          <w:highlight w:val="none"/>
          <w:lang w:val="en-US"/>
        </w:rPr>
        <w:t>管理机构提出更有竞争力的收益分配方式。收益分配方式将作为遴选评审的考量因素之一。</w:t>
      </w:r>
    </w:p>
    <w:p w14:paraId="068C376C">
      <w:pPr>
        <w:keepNext/>
        <w:keepLines/>
        <w:adjustRightInd w:val="0"/>
        <w:snapToGrid w:val="0"/>
        <w:spacing w:line="560" w:lineRule="exact"/>
        <w:ind w:firstLine="640"/>
        <w:outlineLvl w:val="2"/>
        <w:rPr>
          <w:rFonts w:eastAsia="楷体_GB2312"/>
          <w:highlight w:val="none"/>
          <w:lang w:val="en-US"/>
        </w:rPr>
      </w:pPr>
      <w:r>
        <w:rPr>
          <w:rFonts w:hint="eastAsia" w:eastAsia="楷体_GB2312"/>
          <w:highlight w:val="none"/>
          <w:lang w:val="en-US"/>
        </w:rPr>
        <w:t>（十）关联交易</w:t>
      </w:r>
    </w:p>
    <w:p w14:paraId="4C36E0B5">
      <w:pPr>
        <w:adjustRightInd w:val="0"/>
        <w:snapToGrid w:val="0"/>
        <w:spacing w:line="560" w:lineRule="exact"/>
        <w:ind w:firstLine="640"/>
        <w:rPr>
          <w:rFonts w:hAnsi="Calibri"/>
          <w:kern w:val="2"/>
          <w:szCs w:val="32"/>
          <w:highlight w:val="none"/>
          <w:shd w:val="clear" w:color="auto" w:fill="FFFFFF"/>
          <w:lang w:val="en-US" w:bidi="ar-SA"/>
        </w:rPr>
      </w:pPr>
      <w:r>
        <w:rPr>
          <w:rFonts w:hint="eastAsia" w:hAnsi="Calibri"/>
          <w:kern w:val="2"/>
          <w:szCs w:val="32"/>
          <w:highlight w:val="none"/>
          <w:shd w:val="clear" w:color="auto" w:fill="FFFFFF"/>
          <w:lang w:val="en-US" w:eastAsia="zh" w:bidi="ar-SA"/>
          <w:woUserID w:val="11"/>
        </w:rPr>
        <w:t>基金</w:t>
      </w:r>
      <w:r>
        <w:rPr>
          <w:rFonts w:hint="eastAsia" w:hAnsi="Calibri"/>
          <w:kern w:val="2"/>
          <w:szCs w:val="32"/>
          <w:highlight w:val="none"/>
          <w:shd w:val="clear" w:color="auto" w:fill="FFFFFF"/>
          <w:lang w:val="en-US" w:bidi="ar-SA"/>
        </w:rPr>
        <w:t>管理机构应明确不同主体之间关联交易的相关安排，对潜在的在管基金、投资项目与本基金之间的利益冲突做出合理安排。原则上基金涉及关联交易均应提交基金合伙人大会决策。</w:t>
      </w:r>
    </w:p>
    <w:p w14:paraId="70575B9D">
      <w:pPr>
        <w:tabs>
          <w:tab w:val="left" w:pos="1307"/>
        </w:tabs>
        <w:autoSpaceDE/>
        <w:autoSpaceDN/>
        <w:adjustRightInd w:val="0"/>
        <w:snapToGrid w:val="0"/>
        <w:spacing w:line="560" w:lineRule="exact"/>
        <w:ind w:firstLine="640"/>
        <w:jc w:val="left"/>
        <w:outlineLvl w:val="1"/>
        <w:rPr>
          <w:rFonts w:ascii="黑体" w:hAnsi="黑体" w:eastAsia="黑体" w:cs="方正黑体_GBK"/>
          <w:highlight w:val="none"/>
          <w:lang w:val="en-US"/>
        </w:rPr>
      </w:pPr>
      <w:r>
        <w:rPr>
          <w:rFonts w:ascii="黑体" w:hAnsi="黑体" w:eastAsia="黑体" w:cs="方正黑体_GBK"/>
          <w:highlight w:val="none"/>
          <w:lang w:val="en-US"/>
        </w:rPr>
        <w:t>二、申报要求</w:t>
      </w:r>
    </w:p>
    <w:p w14:paraId="62628A66">
      <w:pPr>
        <w:keepNext/>
        <w:keepLines/>
        <w:adjustRightInd w:val="0"/>
        <w:snapToGrid w:val="0"/>
        <w:spacing w:line="560" w:lineRule="exact"/>
        <w:ind w:firstLine="640"/>
        <w:outlineLvl w:val="2"/>
        <w:rPr>
          <w:rFonts w:eastAsia="楷体_GB2312"/>
          <w:highlight w:val="none"/>
          <w:lang w:val="en-US"/>
        </w:rPr>
      </w:pPr>
      <w:r>
        <w:rPr>
          <w:rFonts w:hint="eastAsia" w:eastAsia="楷体_GB2312"/>
          <w:highlight w:val="none"/>
          <w:lang w:val="en-US"/>
        </w:rPr>
        <w:t>（一）基本要求</w:t>
      </w:r>
    </w:p>
    <w:p w14:paraId="79644856">
      <w:pPr>
        <w:autoSpaceDE/>
        <w:autoSpaceDN/>
        <w:adjustRightInd w:val="0"/>
        <w:snapToGrid w:val="0"/>
        <w:spacing w:line="560" w:lineRule="exact"/>
        <w:ind w:firstLine="643"/>
        <w:rPr>
          <w:b/>
          <w:bCs/>
          <w:kern w:val="2"/>
          <w:szCs w:val="32"/>
          <w:highlight w:val="none"/>
          <w:lang w:val="en-US" w:bidi="ar-SA"/>
        </w:rPr>
      </w:pPr>
      <w:r>
        <w:rPr>
          <w:rFonts w:hint="eastAsia"/>
          <w:b/>
          <w:bCs/>
          <w:kern w:val="2"/>
          <w:szCs w:val="32"/>
          <w:highlight w:val="none"/>
          <w:lang w:val="en-US" w:bidi="ar-SA"/>
        </w:rPr>
        <w:t>申报单位应逐项对照下列基本要求进行自查，并按附件清单及格式要求提供相应证明材料。</w:t>
      </w:r>
    </w:p>
    <w:p w14:paraId="173810EB">
      <w:pPr>
        <w:tabs>
          <w:tab w:val="left" w:pos="1307"/>
        </w:tabs>
        <w:autoSpaceDE/>
        <w:autoSpaceDN/>
        <w:adjustRightInd w:val="0"/>
        <w:snapToGrid w:val="0"/>
        <w:spacing w:line="560" w:lineRule="exact"/>
        <w:ind w:firstLine="640" w:firstLineChars="0"/>
        <w:jc w:val="left"/>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1.实缴注册资本不低于1,000万元人民币（或等值货币），且实缴资本或净资产不得低于在基金中的认缴出资额。</w:t>
      </w:r>
    </w:p>
    <w:p w14:paraId="5CEDBCA5">
      <w:pPr>
        <w:tabs>
          <w:tab w:val="left" w:pos="1307"/>
        </w:tabs>
        <w:autoSpaceDE/>
        <w:autoSpaceDN/>
        <w:adjustRightInd w:val="0"/>
        <w:snapToGrid w:val="0"/>
        <w:spacing w:line="560" w:lineRule="exact"/>
        <w:ind w:firstLine="640" w:firstLineChars="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2.已在中国证券投资基金业协会完成登记；未被中国证券投资基金业协会列为异常机构且不存在不良诚信记录等情形；管理机构及其工作人员无被行政主管机关或司法机关处罚的不良记录。</w:t>
      </w:r>
    </w:p>
    <w:p w14:paraId="276AE567">
      <w:pPr>
        <w:tabs>
          <w:tab w:val="left" w:pos="1307"/>
        </w:tabs>
        <w:autoSpaceDE/>
        <w:autoSpaceDN/>
        <w:adjustRightInd w:val="0"/>
        <w:snapToGrid w:val="0"/>
        <w:spacing w:line="560" w:lineRule="exact"/>
        <w:ind w:firstLine="640" w:firstLineChars="0"/>
        <w:jc w:val="left"/>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3.有完善的股权投资管理和风险控制流程、规范的项目筛选机制和投资决策机制、健全的内部财务管理制度。</w:t>
      </w:r>
    </w:p>
    <w:p w14:paraId="4AEF63A1">
      <w:pPr>
        <w:tabs>
          <w:tab w:val="left" w:pos="1307"/>
        </w:tabs>
        <w:autoSpaceDE/>
        <w:autoSpaceDN/>
        <w:adjustRightInd w:val="0"/>
        <w:snapToGrid w:val="0"/>
        <w:spacing w:line="560" w:lineRule="exact"/>
        <w:ind w:firstLine="640" w:firstLineChars="0"/>
        <w:jc w:val="left"/>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4.具有与</w:t>
      </w:r>
      <w:r>
        <w:rPr>
          <w:rFonts w:hint="eastAsia" w:ascii="Times New Roman Regular" w:hAnsi="Times New Roman Regular" w:cs="Times New Roman Regular"/>
          <w:kern w:val="2"/>
          <w:szCs w:val="32"/>
          <w:highlight w:val="none"/>
          <w:lang w:val="en-US" w:eastAsia="zh-CN" w:bidi="ar-SA"/>
        </w:rPr>
        <w:t>量子科技、核聚变等未来产业</w:t>
      </w:r>
      <w:r>
        <w:rPr>
          <w:rFonts w:ascii="Times New Roman Regular" w:hAnsi="Times New Roman Regular" w:cs="Times New Roman Regular"/>
          <w:kern w:val="2"/>
          <w:szCs w:val="32"/>
          <w:highlight w:val="none"/>
          <w:lang w:val="en-US" w:bidi="ar-SA"/>
        </w:rPr>
        <w:t>投资领域和方向匹配的投资管理经验和优质项目储备。</w:t>
      </w:r>
    </w:p>
    <w:p w14:paraId="5CCDEEB4">
      <w:p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（1）申报单位投资管理经验，原则上应满足以下条件之一：</w:t>
      </w:r>
    </w:p>
    <w:p w14:paraId="29ABB107">
      <w:p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①</w:t>
      </w:r>
      <w:r>
        <w:rPr>
          <w:rFonts w:hint="eastAsia" w:ascii="Times New Roman Regular" w:hAnsi="Times New Roman Regular" w:cs="Times New Roman Regular"/>
          <w:kern w:val="2"/>
          <w:szCs w:val="32"/>
          <w:highlight w:val="none"/>
          <w:lang w:val="en-US" w:eastAsia="zh" w:bidi="ar-SA"/>
          <w:woUserID w:val="11"/>
        </w:rPr>
        <w:t>基金</w:t>
      </w:r>
      <w:r>
        <w:rPr>
          <w:rFonts w:ascii="Times New Roman Regular" w:hAnsi="Times New Roman Regular" w:cs="Times New Roman Regular"/>
          <w:kern w:val="2"/>
          <w:szCs w:val="32"/>
          <w:highlight w:val="none"/>
          <w:lang w:val="en-US" w:bidi="ar-SA"/>
        </w:rPr>
        <w:t>管理机构进行申报的，</w:t>
      </w:r>
      <w:r>
        <w:rPr>
          <w:rFonts w:hint="eastAsia" w:ascii="Times New Roman Regular" w:hAnsi="Times New Roman Regular" w:cs="Times New Roman Regular"/>
          <w:kern w:val="2"/>
          <w:szCs w:val="32"/>
          <w:highlight w:val="none"/>
          <w:lang w:val="en-US" w:eastAsia="zh" w:bidi="ar-SA"/>
          <w:woUserID w:val="10"/>
        </w:rPr>
        <w:t>应至少有3名具备3年以上项目投资经验或相关行业经验的高级管理人员，</w:t>
      </w:r>
      <w:r>
        <w:rPr>
          <w:rFonts w:hint="eastAsia" w:ascii="Times New Roman Regular" w:hAnsi="Times New Roman Regular" w:cs="Times New Roman Regular"/>
          <w:kern w:val="2"/>
          <w:szCs w:val="32"/>
          <w:highlight w:val="none"/>
          <w:lang w:val="en-US" w:eastAsia="zh" w:bidi="ar-SA"/>
          <w:woUserID w:val="11"/>
        </w:rPr>
        <w:t>且确定</w:t>
      </w:r>
      <w:r>
        <w:rPr>
          <w:rFonts w:ascii="Times New Roman Regular" w:hAnsi="Times New Roman Regular" w:cs="Times New Roman Regular"/>
          <w:kern w:val="2"/>
          <w:szCs w:val="32"/>
          <w:highlight w:val="none"/>
          <w:lang w:val="en-US" w:bidi="ar-SA"/>
        </w:rPr>
        <w:t>3名以上服务于</w:t>
      </w:r>
      <w:r>
        <w:rPr>
          <w:rFonts w:ascii="Times New Roman Regular" w:hAnsi="Times New Roman Regular" w:cs="Times New Roman Regular"/>
          <w:kern w:val="2"/>
          <w:szCs w:val="32"/>
          <w:highlight w:val="none"/>
          <w:lang w:val="en-US" w:bidi="ar"/>
        </w:rPr>
        <w:t>本基金的管理团队主要成员</w:t>
      </w:r>
      <w:r>
        <w:rPr>
          <w:rFonts w:ascii="Times New Roman Regular" w:hAnsi="Times New Roman Regular" w:cs="Times New Roman Regular"/>
          <w:kern w:val="2"/>
          <w:szCs w:val="32"/>
          <w:highlight w:val="none"/>
          <w:lang w:val="en-US" w:bidi="ar-SA"/>
        </w:rPr>
        <w:t>，</w:t>
      </w:r>
      <w:r>
        <w:rPr>
          <w:rFonts w:hint="eastAsia" w:ascii="Times New Roman Regular" w:hAnsi="Times New Roman Regular" w:cs="Times New Roman Regular"/>
          <w:kern w:val="2"/>
          <w:szCs w:val="32"/>
          <w:highlight w:val="none"/>
          <w:lang w:val="en-US" w:bidi="ar-SA"/>
        </w:rPr>
        <w:t>原则上：</w:t>
      </w:r>
      <w:r>
        <w:rPr>
          <w:rFonts w:hint="eastAsia" w:ascii="Times New Roman Regular" w:hAnsi="Times New Roman Regular" w:cs="Times New Roman Regular"/>
          <w:kern w:val="2"/>
          <w:szCs w:val="32"/>
          <w:highlight w:val="none"/>
          <w:lang w:val="en-US" w:eastAsia="zh" w:bidi="ar-SA"/>
          <w:woUserID w:val="11"/>
        </w:rPr>
        <w:t>管理团队主要成员应为投资中层以上人员，</w:t>
      </w:r>
      <w:r>
        <w:rPr>
          <w:rFonts w:ascii="Times New Roman Regular" w:hAnsi="Times New Roman Regular" w:cs="Times New Roman Regular"/>
          <w:kern w:val="2"/>
          <w:szCs w:val="32"/>
          <w:highlight w:val="none"/>
          <w:lang w:val="en-US" w:bidi="ar-SA"/>
        </w:rPr>
        <w:t>累计管理基金产品不少于2只，管理的基金累计已实缴投资的资金总额不低于5亿元人民币</w:t>
      </w:r>
      <w:r>
        <w:rPr>
          <w:rFonts w:hint="eastAsia" w:ascii="Times New Roman Regular" w:hAnsi="Times New Roman Regular" w:cs="Times New Roman Regular"/>
          <w:kern w:val="2"/>
          <w:szCs w:val="32"/>
          <w:highlight w:val="none"/>
          <w:lang w:val="en-US" w:eastAsia="zh-CN" w:bidi="ar-SA"/>
        </w:rPr>
        <w:t>；</w:t>
      </w:r>
      <w:r>
        <w:rPr>
          <w:rFonts w:ascii="Times New Roman Regular" w:hAnsi="Times New Roman Regular" w:cs="Times New Roman Regular"/>
          <w:kern w:val="2"/>
          <w:szCs w:val="32"/>
          <w:highlight w:val="none"/>
          <w:lang w:val="en-US" w:bidi="ar-SA"/>
        </w:rPr>
        <w:t>累计已投资于</w:t>
      </w:r>
      <w:r>
        <w:rPr>
          <w:rFonts w:hint="eastAsia" w:ascii="Times New Roman Regular" w:hAnsi="Times New Roman Regular" w:cs="Times New Roman Regular"/>
          <w:kern w:val="2"/>
          <w:szCs w:val="32"/>
          <w:highlight w:val="none"/>
          <w:lang w:val="en-US" w:eastAsia="zh-CN" w:bidi="ar-SA"/>
        </w:rPr>
        <w:t>量子科技、核聚变等未来产业</w:t>
      </w:r>
      <w:r>
        <w:rPr>
          <w:rFonts w:ascii="Times New Roman Regular" w:hAnsi="Times New Roman Regular" w:cs="Times New Roman Regular"/>
          <w:kern w:val="2"/>
          <w:szCs w:val="32"/>
          <w:highlight w:val="none"/>
          <w:lang w:val="en-US" w:bidi="ar-SA"/>
        </w:rPr>
        <w:t>项目数量不低于3个。</w:t>
      </w:r>
    </w:p>
    <w:p w14:paraId="5CBD91A7">
      <w:p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②CVC（企业风险投资）机构进行申报的，CVC或其主要产业股东，具有管理基金产品经验和</w:t>
      </w:r>
      <w:r>
        <w:rPr>
          <w:rFonts w:hint="eastAsia" w:ascii="Times New Roman Regular" w:hAnsi="Times New Roman Regular" w:cs="Times New Roman Regular"/>
          <w:kern w:val="2"/>
          <w:szCs w:val="32"/>
          <w:highlight w:val="none"/>
          <w:lang w:val="en-US" w:eastAsia="zh-CN" w:bidi="ar-SA"/>
        </w:rPr>
        <w:t>量子科技、核聚变等未来产业</w:t>
      </w:r>
      <w:r>
        <w:rPr>
          <w:rFonts w:ascii="Times New Roman Regular" w:hAnsi="Times New Roman Regular" w:cs="Times New Roman Regular"/>
          <w:kern w:val="2"/>
          <w:szCs w:val="32"/>
          <w:highlight w:val="none"/>
          <w:lang w:val="en-US" w:bidi="ar-SA"/>
        </w:rPr>
        <w:t>领域投资经验，累计投资项目数量和资金总额达到第①条要求。同时，CVC自身或其主要产业股东或其下属绝对控股主体应作为基金普通合伙人之一。</w:t>
      </w:r>
    </w:p>
    <w:p w14:paraId="6F899B24">
      <w:p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③产业方联合</w:t>
      </w:r>
      <w:r>
        <w:rPr>
          <w:rFonts w:hint="eastAsia" w:ascii="Times New Roman Regular" w:hAnsi="Times New Roman Regular" w:cs="Times New Roman Regular"/>
          <w:kern w:val="2"/>
          <w:szCs w:val="32"/>
          <w:highlight w:val="none"/>
          <w:lang w:val="en-US" w:eastAsia="zh" w:bidi="ar-SA"/>
          <w:woUserID w:val="11"/>
        </w:rPr>
        <w:t>基金</w:t>
      </w:r>
      <w:r>
        <w:rPr>
          <w:rFonts w:ascii="Times New Roman Regular" w:hAnsi="Times New Roman Regular" w:cs="Times New Roman Regular"/>
          <w:kern w:val="2"/>
          <w:szCs w:val="32"/>
          <w:highlight w:val="none"/>
          <w:lang w:val="en-US" w:bidi="ar-SA"/>
        </w:rPr>
        <w:t>管理机构进行申报的，</w:t>
      </w:r>
      <w:r>
        <w:rPr>
          <w:rFonts w:hint="eastAsia" w:ascii="Times New Roman Regular" w:hAnsi="Times New Roman Regular" w:cs="Times New Roman Regular"/>
          <w:kern w:val="2"/>
          <w:szCs w:val="32"/>
          <w:highlight w:val="none"/>
          <w:lang w:val="en-US" w:eastAsia="zh" w:bidi="ar-SA"/>
          <w:woUserID w:val="11"/>
        </w:rPr>
        <w:t>基金</w:t>
      </w:r>
      <w:r>
        <w:rPr>
          <w:rFonts w:ascii="Times New Roman Regular" w:hAnsi="Times New Roman Regular" w:cs="Times New Roman Regular"/>
          <w:kern w:val="2"/>
          <w:szCs w:val="32"/>
          <w:highlight w:val="none"/>
          <w:lang w:val="en-US" w:bidi="ar-SA"/>
        </w:rPr>
        <w:t>管理机构原则上累计管理基金产品不少于2只、参与管理的基金累计已实缴投资的资金总额不低于5亿元；且产业方业务范围包括</w:t>
      </w:r>
      <w:r>
        <w:rPr>
          <w:rFonts w:hint="eastAsia" w:ascii="Times New Roman Regular" w:hAnsi="Times New Roman Regular" w:cs="Times New Roman Regular"/>
          <w:kern w:val="2"/>
          <w:szCs w:val="32"/>
          <w:highlight w:val="none"/>
          <w:lang w:val="en-US" w:eastAsia="zh-CN" w:bidi="ar-SA"/>
        </w:rPr>
        <w:t>量子科技、核聚变等未来产业</w:t>
      </w:r>
      <w:r>
        <w:rPr>
          <w:rFonts w:ascii="Times New Roman Regular" w:hAnsi="Times New Roman Regular" w:cs="Times New Roman Regular"/>
          <w:kern w:val="2"/>
          <w:szCs w:val="32"/>
          <w:highlight w:val="none"/>
          <w:lang w:val="en-US" w:bidi="ar-SA"/>
        </w:rPr>
        <w:t>领域。同时，产业方自身或其下属绝对控股主体应作为基金普通合伙人之一。</w:t>
      </w:r>
    </w:p>
    <w:p w14:paraId="0D11AE5D">
      <w:p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（2）能够提供可核实的符合基金投资领域的项目储备清单。</w:t>
      </w:r>
    </w:p>
    <w:p w14:paraId="4CB4BF12">
      <w:p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5.能够为被投企业提供融资、订单、辅导、产业扶持、管理咨询、人才引进等增值服务。满足以下条件：</w:t>
      </w:r>
    </w:p>
    <w:p w14:paraId="4D12E9D5">
      <w:p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（1）增值服务能力应与本基金投资领域相关；</w:t>
      </w:r>
    </w:p>
    <w:p w14:paraId="69A1777A">
      <w:p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（2）提供不低于3个增值服务的过往案例，且提供被服务企业出具的书面证明。</w:t>
      </w:r>
    </w:p>
    <w:p w14:paraId="7271811F">
      <w:pPr>
        <w:pStyle w:val="12"/>
        <w:ind w:firstLine="643"/>
        <w:rPr>
          <w:highlight w:val="none"/>
          <w:lang w:val="en-US"/>
        </w:rPr>
      </w:pPr>
      <w:r>
        <w:rPr>
          <w:rFonts w:hint="eastAsia"/>
          <w:b/>
          <w:bCs/>
          <w:kern w:val="2"/>
          <w:szCs w:val="32"/>
          <w:highlight w:val="none"/>
          <w:lang w:val="en-US" w:bidi="ar-SA"/>
        </w:rPr>
        <w:t>提示</w:t>
      </w:r>
      <w:r>
        <w:rPr>
          <w:rFonts w:hint="eastAsia"/>
          <w:kern w:val="2"/>
          <w:szCs w:val="32"/>
          <w:highlight w:val="none"/>
          <w:lang w:val="en-US" w:bidi="ar-SA"/>
        </w:rPr>
        <w:t>：增值服务能力将作为遴选评审的考量因素之一。</w:t>
      </w:r>
    </w:p>
    <w:p w14:paraId="0773817E">
      <w:p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hint="eastAsia" w:ascii="Times New Roman Regular" w:hAnsi="Times New Roman Regular" w:cs="Times New Roman Regular"/>
          <w:kern w:val="2"/>
          <w:szCs w:val="32"/>
          <w:highlight w:val="none"/>
          <w:lang w:val="en-US" w:eastAsia="zh-CN" w:bidi="ar-SA"/>
        </w:rPr>
        <w:t>6</w:t>
      </w:r>
      <w:r>
        <w:rPr>
          <w:rFonts w:ascii="Times New Roman Regular" w:hAnsi="Times New Roman Regular" w:cs="Times New Roman Regular"/>
          <w:kern w:val="2"/>
          <w:szCs w:val="32"/>
          <w:highlight w:val="none"/>
          <w:lang w:val="en-US" w:bidi="ar-SA"/>
        </w:rPr>
        <w:t>.在基金投资领域具备较强的产业图谱研究能力及成果、产业战略咨询能力、产业及上下游资源整合能力。提供：</w:t>
      </w:r>
    </w:p>
    <w:p w14:paraId="753B82BB">
      <w:pPr>
        <w:numPr>
          <w:ilvl w:val="255"/>
          <w:numId w:val="0"/>
        </w:num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（1）</w:t>
      </w:r>
      <w:r>
        <w:rPr>
          <w:rFonts w:hint="eastAsia" w:ascii="Times New Roman Regular" w:hAnsi="Times New Roman Regular" w:cs="Times New Roman Regular"/>
          <w:kern w:val="2"/>
          <w:szCs w:val="32"/>
          <w:highlight w:val="none"/>
          <w:lang w:val="en-US" w:bidi="ar-SA"/>
        </w:rPr>
        <w:t>量子科技、</w:t>
      </w:r>
      <w:r>
        <w:rPr>
          <w:rFonts w:hint="eastAsia" w:ascii="Times New Roman Regular" w:hAnsi="Times New Roman Regular" w:cs="Times New Roman Regular"/>
          <w:kern w:val="2"/>
          <w:szCs w:val="32"/>
          <w:highlight w:val="none"/>
          <w:lang w:val="en-US" w:eastAsia="zh-CN" w:bidi="ar-SA"/>
        </w:rPr>
        <w:t>核聚变</w:t>
      </w:r>
      <w:r>
        <w:rPr>
          <w:rFonts w:hint="eastAsia" w:ascii="Times New Roman Regular" w:hAnsi="Times New Roman Regular" w:cs="Times New Roman Regular"/>
          <w:kern w:val="2"/>
          <w:szCs w:val="32"/>
          <w:highlight w:val="none"/>
          <w:lang w:val="en-US" w:bidi="ar-SA"/>
        </w:rPr>
        <w:t>等未来产业</w:t>
      </w:r>
      <w:r>
        <w:rPr>
          <w:rFonts w:ascii="Times New Roman Regular" w:hAnsi="Times New Roman Regular" w:cs="Times New Roman Regular"/>
          <w:kern w:val="2"/>
          <w:szCs w:val="32"/>
          <w:highlight w:val="none"/>
          <w:lang w:val="en-US" w:bidi="ar-SA"/>
        </w:rPr>
        <w:t>图谱的研究报告；</w:t>
      </w:r>
    </w:p>
    <w:p w14:paraId="071D8139">
      <w:pPr>
        <w:numPr>
          <w:ilvl w:val="255"/>
          <w:numId w:val="0"/>
        </w:num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（2）在</w:t>
      </w:r>
      <w:r>
        <w:rPr>
          <w:rFonts w:hint="eastAsia" w:ascii="Times New Roman Regular" w:hAnsi="Times New Roman Regular" w:cs="Times New Roman Regular"/>
          <w:kern w:val="2"/>
          <w:szCs w:val="32"/>
          <w:highlight w:val="none"/>
          <w:lang w:val="en-US" w:bidi="ar-SA"/>
        </w:rPr>
        <w:t>量子科技、</w:t>
      </w:r>
      <w:r>
        <w:rPr>
          <w:rFonts w:hint="eastAsia" w:ascii="Times New Roman Regular" w:hAnsi="Times New Roman Regular" w:cs="Times New Roman Regular"/>
          <w:kern w:val="2"/>
          <w:szCs w:val="32"/>
          <w:highlight w:val="none"/>
          <w:lang w:val="en-US" w:eastAsia="zh-CN" w:bidi="ar-SA"/>
        </w:rPr>
        <w:t>核聚变</w:t>
      </w:r>
      <w:r>
        <w:rPr>
          <w:rFonts w:hint="eastAsia" w:ascii="Times New Roman Regular" w:hAnsi="Times New Roman Regular" w:cs="Times New Roman Regular"/>
          <w:kern w:val="2"/>
          <w:szCs w:val="32"/>
          <w:highlight w:val="none"/>
          <w:lang w:val="en-US" w:bidi="ar-SA"/>
        </w:rPr>
        <w:t>等未来产业</w:t>
      </w:r>
      <w:r>
        <w:rPr>
          <w:rFonts w:ascii="Times New Roman Regular" w:hAnsi="Times New Roman Regular" w:cs="Times New Roman Regular"/>
          <w:kern w:val="2"/>
          <w:szCs w:val="32"/>
          <w:highlight w:val="none"/>
          <w:lang w:val="en-US" w:bidi="ar-SA"/>
        </w:rPr>
        <w:t>领域相关产业资源能力说明。</w:t>
      </w:r>
    </w:p>
    <w:p w14:paraId="11F32334">
      <w:pPr>
        <w:adjustRightInd w:val="0"/>
        <w:snapToGrid w:val="0"/>
        <w:spacing w:line="560" w:lineRule="exact"/>
        <w:ind w:firstLine="640"/>
        <w:rPr>
          <w:rFonts w:ascii="Times New Roman Regular" w:hAnsi="Times New Roman Regular" w:cs="Times New Roman Regular"/>
          <w:kern w:val="2"/>
          <w:szCs w:val="32"/>
          <w:highlight w:val="none"/>
          <w:lang w:val="en-US" w:bidi="ar-SA"/>
        </w:rPr>
      </w:pPr>
      <w:r>
        <w:rPr>
          <w:rFonts w:ascii="Times New Roman Regular" w:hAnsi="Times New Roman Regular" w:cs="Times New Roman Regular"/>
          <w:kern w:val="2"/>
          <w:szCs w:val="32"/>
          <w:highlight w:val="none"/>
          <w:lang w:val="en-US" w:bidi="ar-SA"/>
        </w:rPr>
        <w:t>鼓励专业投资机构与行业骨干企业、科研机构、创新创业平台等产业资源方合作，加强产业资源导入和服务能力，突出基金的产业导向。</w:t>
      </w:r>
    </w:p>
    <w:p w14:paraId="379A3DE9">
      <w:pPr>
        <w:pStyle w:val="12"/>
        <w:ind w:firstLine="643"/>
        <w:rPr>
          <w:highlight w:val="none"/>
          <w:lang w:val="en-US"/>
        </w:rPr>
      </w:pPr>
      <w:r>
        <w:rPr>
          <w:rFonts w:hint="eastAsia"/>
          <w:b/>
          <w:bCs/>
          <w:highlight w:val="none"/>
          <w:lang w:val="en-US"/>
        </w:rPr>
        <w:t>提示：</w:t>
      </w:r>
      <w:r>
        <w:rPr>
          <w:rFonts w:hint="eastAsia"/>
          <w:highlight w:val="none"/>
          <w:lang w:val="en-US"/>
        </w:rPr>
        <w:t>产业资源及服务能力将作为遴选评审的考量因素之一。</w:t>
      </w:r>
    </w:p>
    <w:p w14:paraId="3345DA14">
      <w:pPr>
        <w:pStyle w:val="4"/>
        <w:adjustRightInd w:val="0"/>
        <w:snapToGrid w:val="0"/>
        <w:spacing w:line="560" w:lineRule="exact"/>
        <w:ind w:firstLine="640"/>
        <w:rPr>
          <w:highlight w:val="none"/>
          <w:lang w:val="en-US"/>
        </w:rPr>
      </w:pPr>
      <w:r>
        <w:rPr>
          <w:rFonts w:hint="eastAsia"/>
          <w:highlight w:val="none"/>
          <w:lang w:val="en-US"/>
        </w:rPr>
        <w:t>（二）管理要求</w:t>
      </w:r>
    </w:p>
    <w:p w14:paraId="19CC0137">
      <w:pPr>
        <w:adjustRightInd w:val="0"/>
        <w:snapToGrid w:val="0"/>
        <w:spacing w:line="560" w:lineRule="exact"/>
        <w:ind w:firstLine="643"/>
        <w:rPr>
          <w:rFonts w:ascii="Times New Roman Regular" w:hAnsi="Times New Roman Regular" w:cs="Times New Roman Regular"/>
          <w:highlight w:val="none"/>
          <w:lang w:val="en-US"/>
        </w:rPr>
      </w:pPr>
      <w:r>
        <w:rPr>
          <w:rFonts w:ascii="Times New Roman Regular" w:hAnsi="Times New Roman Regular" w:cs="Times New Roman Regular"/>
          <w:b/>
          <w:highlight w:val="none"/>
          <w:lang w:val="en-US" w:bidi="ar-SA"/>
        </w:rPr>
        <w:t>1.团队配备要求。</w:t>
      </w:r>
      <w:r>
        <w:rPr>
          <w:rFonts w:ascii="Times New Roman Regular" w:hAnsi="Times New Roman Regular" w:cs="Times New Roman Regular"/>
          <w:highlight w:val="none"/>
          <w:lang w:val="en-US"/>
        </w:rPr>
        <w:t>在基金存续期内专职管理，根据基金规模和业务需要配备合理的管理和投资人员，并至少满足以下条件：</w:t>
      </w:r>
    </w:p>
    <w:p w14:paraId="42576D8D">
      <w:pPr>
        <w:widowControl/>
        <w:adjustRightInd w:val="0"/>
        <w:snapToGrid w:val="0"/>
        <w:spacing w:line="560" w:lineRule="exact"/>
        <w:ind w:firstLine="640"/>
        <w:rPr>
          <w:rFonts w:ascii="Times New Roman Regular" w:hAnsi="Times New Roman Regular" w:cs="Times New Roman Regular"/>
          <w:highlight w:val="none"/>
          <w:lang w:val="en-US"/>
        </w:rPr>
      </w:pPr>
      <w:r>
        <w:rPr>
          <w:rFonts w:ascii="Times New Roman Regular" w:hAnsi="Times New Roman Regular" w:cs="Times New Roman Regular"/>
          <w:highlight w:val="none"/>
          <w:lang w:val="en-US"/>
        </w:rPr>
        <w:t>（1）在基金存续期内专职管理，根据基金规模和业务需要配备合理的专职管理和投资人员；</w:t>
      </w:r>
    </w:p>
    <w:p w14:paraId="2F129A82">
      <w:pPr>
        <w:widowControl/>
        <w:adjustRightInd w:val="0"/>
        <w:snapToGrid w:val="0"/>
        <w:spacing w:line="560" w:lineRule="exact"/>
        <w:ind w:firstLine="640"/>
        <w:rPr>
          <w:rFonts w:ascii="Times New Roman Regular" w:hAnsi="Times New Roman Regular" w:cs="Times New Roman Regular"/>
          <w:bCs/>
          <w:highlight w:val="none"/>
          <w:lang w:val="en-US"/>
        </w:rPr>
      </w:pPr>
      <w:r>
        <w:rPr>
          <w:rFonts w:ascii="Times New Roman Regular" w:hAnsi="Times New Roman Regular" w:cs="Times New Roman Regular"/>
          <w:highlight w:val="none"/>
          <w:lang w:val="en-US"/>
        </w:rPr>
        <w:t>（2）</w:t>
      </w:r>
      <w:r>
        <w:rPr>
          <w:rFonts w:ascii="Times New Roman Regular" w:hAnsi="Times New Roman Regular" w:cs="Times New Roman Regular"/>
          <w:bCs/>
          <w:highlight w:val="none"/>
          <w:lang w:val="en-US"/>
        </w:rPr>
        <w:t>为本基金至少配备1名关键人士，关键人士原则上应包括服务于本基金且在申报单位担任合伙人或副总经理及以上职务或相当职务的管理人员。</w:t>
      </w:r>
    </w:p>
    <w:p w14:paraId="77BE305C">
      <w:pPr>
        <w:adjustRightInd w:val="0"/>
        <w:snapToGrid w:val="0"/>
        <w:spacing w:line="560" w:lineRule="exact"/>
        <w:ind w:firstLine="640"/>
        <w:rPr>
          <w:rFonts w:ascii="Times New Roman Regular" w:hAnsi="Times New Roman Regular" w:cs="Times New Roman Regular"/>
          <w:highlight w:val="none"/>
          <w:lang w:val="en-US"/>
        </w:rPr>
      </w:pPr>
      <w:r>
        <w:rPr>
          <w:rFonts w:ascii="Times New Roman Regular" w:hAnsi="Times New Roman Regular" w:cs="Times New Roman Regular"/>
          <w:highlight w:val="none"/>
          <w:lang w:val="en-US"/>
        </w:rPr>
        <w:t>（3）为本基金配备的团队人员原则上应有过良好的合作共事经历，且</w:t>
      </w:r>
      <w:r>
        <w:rPr>
          <w:rFonts w:ascii="Times New Roman Regular" w:hAnsi="Times New Roman Regular" w:cs="Times New Roman Regular"/>
          <w:kern w:val="2"/>
          <w:szCs w:val="32"/>
          <w:highlight w:val="none"/>
          <w:lang w:val="en-US" w:bidi="ar"/>
        </w:rPr>
        <w:t>至少有2名专职高级管理人员具备3年以上合作经验</w:t>
      </w:r>
      <w:r>
        <w:rPr>
          <w:rFonts w:ascii="Times New Roman Regular" w:hAnsi="Times New Roman Regular" w:cs="Times New Roman Regular"/>
          <w:highlight w:val="none"/>
          <w:lang w:val="en-US"/>
        </w:rPr>
        <w:t>。</w:t>
      </w:r>
    </w:p>
    <w:p w14:paraId="56523008">
      <w:pPr>
        <w:adjustRightInd w:val="0"/>
        <w:snapToGrid w:val="0"/>
        <w:spacing w:line="560" w:lineRule="exact"/>
        <w:ind w:firstLine="643"/>
        <w:rPr>
          <w:rFonts w:ascii="Times New Roman Regular" w:hAnsi="Times New Roman Regular" w:cs="Times New Roman Regular"/>
          <w:bCs/>
          <w:highlight w:val="none"/>
          <w:lang w:val="en-US"/>
        </w:rPr>
      </w:pPr>
      <w:r>
        <w:rPr>
          <w:rFonts w:ascii="Times New Roman Regular" w:hAnsi="Times New Roman Regular" w:cs="Times New Roman Regular"/>
          <w:b/>
          <w:highlight w:val="none"/>
          <w:lang w:val="en-US"/>
        </w:rPr>
        <w:t>2.专注度要求。</w:t>
      </w:r>
      <w:r>
        <w:rPr>
          <w:rFonts w:ascii="Times New Roman Regular" w:hAnsi="Times New Roman Regular" w:cs="Times New Roman Regular"/>
          <w:highlight w:val="none"/>
          <w:lang w:val="en-US"/>
        </w:rPr>
        <w:t>在基金</w:t>
      </w:r>
      <w:r>
        <w:rPr>
          <w:rFonts w:ascii="Times New Roman Regular" w:hAnsi="Times New Roman Regular" w:cs="Times New Roman Regular"/>
          <w:bCs/>
          <w:highlight w:val="none"/>
          <w:lang w:val="en-US"/>
        </w:rPr>
        <w:t>投资期内应保证关键人士、投委会成员、专职高级管理人员的稳定性，不得随意变动。基金对专职高级管理人员进行锁定，</w:t>
      </w:r>
      <w:r>
        <w:rPr>
          <w:rFonts w:ascii="Times New Roman Regular" w:hAnsi="Times New Roman Regular" w:cs="Times New Roman Regular"/>
          <w:highlight w:val="none"/>
          <w:lang w:val="en-US"/>
        </w:rPr>
        <w:t>在完成基金认缴出资总规模70%的实际投资之前，所有锁定人</w:t>
      </w:r>
      <w:r>
        <w:rPr>
          <w:rFonts w:ascii="Times New Roman Regular" w:hAnsi="Times New Roman Regular" w:cs="Times New Roman Regular"/>
          <w:bCs/>
          <w:highlight w:val="none"/>
          <w:lang w:val="en-US"/>
        </w:rPr>
        <w:t>员不得参与管理投资地域、投资领域均实质相同的基金，不得作为其他基金的关键人。</w:t>
      </w:r>
      <w:r>
        <w:rPr>
          <w:rFonts w:ascii="Times New Roman Regular" w:hAnsi="Times New Roman Regular" w:cs="Times New Roman Regular"/>
          <w:highlight w:val="none"/>
          <w:lang w:val="en-US"/>
        </w:rPr>
        <w:t>锁定人员的变更应提交基金合伙人大会决策。</w:t>
      </w:r>
    </w:p>
    <w:p w14:paraId="2A09916D">
      <w:pPr>
        <w:tabs>
          <w:tab w:val="left" w:pos="1307"/>
        </w:tabs>
        <w:autoSpaceDE/>
        <w:autoSpaceDN/>
        <w:adjustRightInd w:val="0"/>
        <w:snapToGrid w:val="0"/>
        <w:spacing w:line="560" w:lineRule="exact"/>
        <w:ind w:firstLine="640"/>
        <w:jc w:val="left"/>
        <w:outlineLvl w:val="1"/>
        <w:rPr>
          <w:rFonts w:ascii="黑体" w:hAnsi="黑体" w:eastAsia="黑体" w:cs="方正黑体_GBK"/>
          <w:highlight w:val="none"/>
          <w:lang w:val="en-US"/>
        </w:rPr>
      </w:pPr>
      <w:r>
        <w:rPr>
          <w:rFonts w:ascii="黑体" w:hAnsi="黑体" w:eastAsia="黑体" w:cs="方正黑体_GBK"/>
          <w:highlight w:val="none"/>
          <w:lang w:val="en-US"/>
        </w:rPr>
        <w:t>三、遴选流程</w:t>
      </w:r>
    </w:p>
    <w:p w14:paraId="519A4B74">
      <w:pPr>
        <w:keepNext w:val="0"/>
        <w:keepLines w:val="0"/>
        <w:pageBreakBefore w:val="0"/>
        <w:widowControl w:val="0"/>
        <w:tabs>
          <w:tab w:val="left" w:pos="1307"/>
        </w:tabs>
        <w:kinsoku/>
        <w:wordWrap/>
        <w:overflowPunct/>
        <w:topLinePunct w:val="0"/>
        <w:autoSpaceDE/>
        <w:autoSpaceDN/>
        <w:bidi w:val="0"/>
        <w:adjustRightInd w:val="0"/>
        <w:snapToGrid w:val="0"/>
        <w:spacing w:line="560" w:lineRule="exact"/>
        <w:ind w:firstLine="640" w:firstLineChars="200"/>
        <w:jc w:val="left"/>
        <w:textAlignment w:val="auto"/>
        <w:outlineLvl w:val="9"/>
        <w:rPr>
          <w:rFonts w:hint="default"/>
          <w:b w:val="0"/>
          <w:bCs/>
          <w:highlight w:val="none"/>
          <w:lang w:val="en-US" w:eastAsia="zh-CN"/>
        </w:rPr>
      </w:pPr>
      <w:r>
        <w:rPr>
          <w:rFonts w:hint="eastAsia"/>
          <w:b w:val="0"/>
          <w:bCs/>
          <w:highlight w:val="none"/>
          <w:lang w:val="en-US" w:eastAsia="zh-CN"/>
        </w:rPr>
        <w:t>子基金</w:t>
      </w:r>
      <w:r>
        <w:rPr>
          <w:rFonts w:hint="default"/>
          <w:b w:val="0"/>
          <w:bCs/>
          <w:highlight w:val="none"/>
          <w:lang w:val="en-US" w:eastAsia="zh-CN"/>
        </w:rPr>
        <w:t xml:space="preserve">公开遴选原则上应遵循以下程序： </w:t>
      </w:r>
    </w:p>
    <w:p w14:paraId="05056189">
      <w:pPr>
        <w:keepNext w:val="0"/>
        <w:keepLines w:val="0"/>
        <w:pageBreakBefore w:val="0"/>
        <w:widowControl w:val="0"/>
        <w:numPr>
          <w:ilvl w:val="0"/>
          <w:numId w:val="0"/>
        </w:numPr>
        <w:tabs>
          <w:tab w:val="left" w:pos="1307"/>
        </w:tabs>
        <w:kinsoku/>
        <w:wordWrap/>
        <w:overflowPunct/>
        <w:topLinePunct w:val="0"/>
        <w:autoSpaceDE/>
        <w:autoSpaceDN/>
        <w:bidi w:val="0"/>
        <w:adjustRightInd w:val="0"/>
        <w:snapToGrid w:val="0"/>
        <w:spacing w:line="560" w:lineRule="exact"/>
        <w:ind w:firstLine="643" w:firstLineChars="200"/>
        <w:jc w:val="both"/>
        <w:textAlignment w:val="auto"/>
        <w:outlineLvl w:val="2"/>
        <w:rPr>
          <w:rFonts w:hint="default"/>
          <w:b w:val="0"/>
          <w:bCs/>
          <w:highlight w:val="none"/>
          <w:lang w:val="en-US" w:eastAsia="zh-CN"/>
        </w:rPr>
      </w:pPr>
      <w:r>
        <w:rPr>
          <w:rFonts w:hint="eastAsia" w:ascii="楷体_GB2312" w:hAnsi="楷体_GB2312" w:eastAsia="楷体_GB2312" w:cs="楷体_GB2312"/>
          <w:b/>
          <w:bCs w:val="0"/>
          <w:highlight w:val="none"/>
          <w:lang w:val="en-US" w:eastAsia="zh-CN"/>
        </w:rPr>
        <w:t>（一）</w:t>
      </w:r>
      <w:r>
        <w:rPr>
          <w:rFonts w:hint="default" w:ascii="楷体_GB2312" w:hAnsi="楷体_GB2312" w:eastAsia="楷体_GB2312" w:cs="楷体_GB2312"/>
          <w:b/>
          <w:bCs w:val="0"/>
          <w:highlight w:val="none"/>
          <w:lang w:val="en-US" w:eastAsia="zh-CN"/>
        </w:rPr>
        <w:t>公开征集。</w:t>
      </w:r>
      <w:r>
        <w:rPr>
          <w:rFonts w:hint="eastAsia"/>
          <w:b w:val="0"/>
          <w:bCs/>
          <w:highlight w:val="none"/>
          <w:lang w:val="en-US" w:eastAsia="zh-CN"/>
        </w:rPr>
        <w:t>广投资本</w:t>
      </w:r>
      <w:r>
        <w:rPr>
          <w:rFonts w:hint="default"/>
          <w:b w:val="0"/>
          <w:bCs/>
          <w:highlight w:val="none"/>
          <w:lang w:val="en-US" w:eastAsia="zh-CN"/>
        </w:rPr>
        <w:t>按照年度投资计划和投资方向，通过企业</w:t>
      </w:r>
      <w:r>
        <w:rPr>
          <w:rFonts w:hint="eastAsia"/>
          <w:b w:val="0"/>
          <w:bCs/>
          <w:highlight w:val="none"/>
          <w:lang w:val="en-US" w:eastAsia="zh-CN"/>
        </w:rPr>
        <w:t>公众号</w:t>
      </w:r>
      <w:r>
        <w:rPr>
          <w:rFonts w:hint="default"/>
          <w:b w:val="0"/>
          <w:bCs/>
          <w:highlight w:val="none"/>
          <w:lang w:val="en-US" w:eastAsia="zh-CN"/>
        </w:rPr>
        <w:t>等渠道向社会公开发布征集公告</w:t>
      </w:r>
      <w:r>
        <w:rPr>
          <w:rFonts w:hint="eastAsia"/>
          <w:b w:val="0"/>
          <w:bCs/>
          <w:highlight w:val="none"/>
          <w:lang w:val="en-US" w:eastAsia="zh-CN"/>
        </w:rPr>
        <w:t>及申报指南文件等</w:t>
      </w:r>
      <w:r>
        <w:rPr>
          <w:rFonts w:hint="default"/>
          <w:b w:val="0"/>
          <w:bCs/>
          <w:highlight w:val="none"/>
          <w:lang w:val="en-US" w:eastAsia="zh-CN"/>
        </w:rPr>
        <w:t xml:space="preserve">。 </w:t>
      </w:r>
    </w:p>
    <w:p w14:paraId="1F5F7652">
      <w:pPr>
        <w:keepNext w:val="0"/>
        <w:keepLines w:val="0"/>
        <w:pageBreakBefore w:val="0"/>
        <w:widowControl w:val="0"/>
        <w:numPr>
          <w:ilvl w:val="0"/>
          <w:numId w:val="0"/>
        </w:numPr>
        <w:tabs>
          <w:tab w:val="left" w:pos="1307"/>
        </w:tabs>
        <w:kinsoku/>
        <w:wordWrap/>
        <w:overflowPunct/>
        <w:topLinePunct w:val="0"/>
        <w:autoSpaceDE/>
        <w:autoSpaceDN/>
        <w:bidi w:val="0"/>
        <w:adjustRightInd w:val="0"/>
        <w:snapToGrid w:val="0"/>
        <w:spacing w:line="560" w:lineRule="exact"/>
        <w:ind w:firstLine="643" w:firstLineChars="200"/>
        <w:jc w:val="both"/>
        <w:textAlignment w:val="auto"/>
        <w:outlineLvl w:val="2"/>
        <w:rPr>
          <w:rFonts w:hint="default"/>
          <w:b w:val="0"/>
          <w:bCs/>
          <w:highlight w:val="none"/>
          <w:lang w:val="en-US" w:eastAsia="zh-CN"/>
        </w:rPr>
      </w:pPr>
      <w:r>
        <w:rPr>
          <w:rFonts w:hint="eastAsia" w:ascii="楷体_GB2312" w:hAnsi="楷体_GB2312" w:eastAsia="楷体_GB2312" w:cs="楷体_GB2312"/>
          <w:b/>
          <w:bCs w:val="0"/>
          <w:highlight w:val="none"/>
          <w:lang w:val="en-US" w:eastAsia="zh-CN"/>
        </w:rPr>
        <w:t>（二）</w:t>
      </w:r>
      <w:r>
        <w:rPr>
          <w:rFonts w:hint="default" w:ascii="楷体_GB2312" w:hAnsi="楷体_GB2312" w:eastAsia="楷体_GB2312" w:cs="楷体_GB2312"/>
          <w:b/>
          <w:bCs w:val="0"/>
          <w:highlight w:val="none"/>
          <w:lang w:val="en-US" w:eastAsia="zh-CN"/>
        </w:rPr>
        <w:t>机构申报与路演。</w:t>
      </w:r>
      <w:r>
        <w:rPr>
          <w:rFonts w:hint="default" w:ascii="仿宋_GB2312" w:hAnsi="仿宋_GB2312" w:eastAsia="仿宋_GB2312" w:cs="仿宋_GB2312"/>
          <w:b w:val="0"/>
          <w:bCs/>
          <w:highlight w:val="none"/>
          <w:lang w:val="en-US" w:eastAsia="zh-CN"/>
        </w:rPr>
        <w:t>拟申请</w:t>
      </w:r>
      <w:r>
        <w:rPr>
          <w:rFonts w:hint="eastAsia" w:cs="仿宋_GB2312"/>
          <w:b w:val="0"/>
          <w:bCs/>
          <w:highlight w:val="none"/>
          <w:lang w:val="en-US" w:eastAsia="zh-CN"/>
        </w:rPr>
        <w:t>广投资本及各母基金主体</w:t>
      </w:r>
      <w:r>
        <w:rPr>
          <w:rFonts w:hint="default" w:ascii="仿宋_GB2312" w:hAnsi="仿宋_GB2312" w:eastAsia="仿宋_GB2312" w:cs="仿宋_GB2312"/>
          <w:b w:val="0"/>
          <w:bCs/>
          <w:highlight w:val="none"/>
          <w:lang w:val="en-US" w:eastAsia="zh-CN"/>
        </w:rPr>
        <w:t>出资的子基金管理机构根据征集公告等相关要求编制子基金申报材料，统一提交至</w:t>
      </w:r>
      <w:r>
        <w:rPr>
          <w:rFonts w:hint="eastAsia" w:cs="仿宋_GB2312"/>
          <w:b w:val="0"/>
          <w:bCs/>
          <w:highlight w:val="none"/>
          <w:lang w:val="en-US" w:eastAsia="zh-CN"/>
        </w:rPr>
        <w:t>联系邮箱及联系地址</w:t>
      </w:r>
      <w:r>
        <w:rPr>
          <w:rFonts w:hint="default" w:ascii="仿宋_GB2312" w:hAnsi="仿宋_GB2312" w:eastAsia="仿宋_GB2312" w:cs="仿宋_GB2312"/>
          <w:b w:val="0"/>
          <w:bCs/>
          <w:highlight w:val="none"/>
          <w:lang w:val="en-US" w:eastAsia="zh-CN"/>
        </w:rPr>
        <w:t>进行初步筛选</w:t>
      </w:r>
      <w:r>
        <w:rPr>
          <w:rFonts w:hint="eastAsia" w:cs="仿宋_GB2312"/>
          <w:b w:val="0"/>
          <w:bCs/>
          <w:highlight w:val="none"/>
          <w:lang w:val="en-US" w:eastAsia="zh-CN"/>
        </w:rPr>
        <w:t>。</w:t>
      </w:r>
      <w:r>
        <w:rPr>
          <w:rFonts w:hint="default" w:ascii="仿宋_GB2312" w:hAnsi="仿宋_GB2312" w:eastAsia="仿宋_GB2312" w:cs="仿宋_GB2312"/>
          <w:b w:val="0"/>
          <w:bCs/>
          <w:highlight w:val="none"/>
          <w:lang w:val="en-US" w:eastAsia="zh-CN"/>
        </w:rPr>
        <w:t>后续将根据实际情况组织路演对接。</w:t>
      </w:r>
    </w:p>
    <w:p w14:paraId="5EDEA4B4">
      <w:pPr>
        <w:keepNext w:val="0"/>
        <w:keepLines w:val="0"/>
        <w:pageBreakBefore w:val="0"/>
        <w:widowControl w:val="0"/>
        <w:numPr>
          <w:ilvl w:val="0"/>
          <w:numId w:val="0"/>
        </w:numPr>
        <w:tabs>
          <w:tab w:val="left" w:pos="1307"/>
        </w:tabs>
        <w:kinsoku/>
        <w:wordWrap/>
        <w:overflowPunct/>
        <w:topLinePunct w:val="0"/>
        <w:autoSpaceDE/>
        <w:autoSpaceDN/>
        <w:bidi w:val="0"/>
        <w:adjustRightInd w:val="0"/>
        <w:snapToGrid w:val="0"/>
        <w:spacing w:line="560" w:lineRule="exact"/>
        <w:ind w:firstLine="643" w:firstLineChars="200"/>
        <w:jc w:val="both"/>
        <w:textAlignment w:val="auto"/>
        <w:outlineLvl w:val="2"/>
        <w:rPr>
          <w:rFonts w:hint="default"/>
          <w:b w:val="0"/>
          <w:bCs/>
          <w:highlight w:val="none"/>
          <w:lang w:val="en-US" w:eastAsia="zh-CN"/>
        </w:rPr>
      </w:pPr>
      <w:r>
        <w:rPr>
          <w:rFonts w:hint="eastAsia" w:ascii="楷体_GB2312" w:hAnsi="楷体_GB2312" w:eastAsia="楷体_GB2312" w:cs="楷体_GB2312"/>
          <w:b/>
          <w:bCs w:val="0"/>
          <w:highlight w:val="none"/>
          <w:lang w:val="en-US" w:eastAsia="zh-CN"/>
        </w:rPr>
        <w:t>（三）</w:t>
      </w:r>
      <w:r>
        <w:rPr>
          <w:rFonts w:hint="default" w:ascii="楷体_GB2312" w:hAnsi="楷体_GB2312" w:eastAsia="楷体_GB2312" w:cs="楷体_GB2312"/>
          <w:b/>
          <w:bCs w:val="0"/>
          <w:highlight w:val="none"/>
          <w:lang w:val="en-US" w:eastAsia="zh-CN"/>
        </w:rPr>
        <w:t>立项。</w:t>
      </w:r>
      <w:r>
        <w:rPr>
          <w:rFonts w:hint="default" w:ascii="仿宋_GB2312" w:hAnsi="仿宋_GB2312" w:eastAsia="仿宋_GB2312" w:cs="仿宋_GB2312"/>
          <w:b w:val="0"/>
          <w:bCs/>
          <w:highlight w:val="none"/>
          <w:lang w:val="en-US" w:eastAsia="zh-CN"/>
        </w:rPr>
        <w:t>根据</w:t>
      </w:r>
      <w:r>
        <w:rPr>
          <w:rFonts w:hint="default"/>
          <w:b w:val="0"/>
          <w:bCs/>
          <w:highlight w:val="none"/>
          <w:lang w:val="en-US" w:eastAsia="zh-CN"/>
        </w:rPr>
        <w:t>子基金管理机构申报材料及</w:t>
      </w:r>
      <w:r>
        <w:rPr>
          <w:rFonts w:hint="default" w:ascii="仿宋_GB2312" w:hAnsi="仿宋_GB2312" w:eastAsia="仿宋_GB2312" w:cs="仿宋_GB2312"/>
          <w:b w:val="0"/>
          <w:bCs/>
          <w:highlight w:val="none"/>
          <w:lang w:val="en-US" w:eastAsia="zh-CN"/>
        </w:rPr>
        <w:t>路演对接情况择优选择若干</w:t>
      </w:r>
      <w:r>
        <w:rPr>
          <w:rFonts w:hint="eastAsia" w:cs="仿宋_GB2312"/>
          <w:b w:val="0"/>
          <w:bCs/>
          <w:highlight w:val="none"/>
          <w:lang w:val="en-US" w:eastAsia="zh-CN"/>
        </w:rPr>
        <w:t>子基金</w:t>
      </w:r>
      <w:r>
        <w:rPr>
          <w:rFonts w:hint="default" w:ascii="仿宋_GB2312" w:hAnsi="仿宋_GB2312" w:eastAsia="仿宋_GB2312" w:cs="仿宋_GB2312"/>
          <w:b w:val="0"/>
          <w:bCs/>
          <w:highlight w:val="none"/>
          <w:lang w:val="en-US" w:eastAsia="zh-CN"/>
        </w:rPr>
        <w:t>进入立项环节</w:t>
      </w:r>
      <w:r>
        <w:rPr>
          <w:rFonts w:hint="default"/>
          <w:b w:val="0"/>
          <w:bCs/>
          <w:highlight w:val="none"/>
          <w:lang w:val="en-US" w:eastAsia="zh-CN"/>
        </w:rPr>
        <w:t>。</w:t>
      </w:r>
    </w:p>
    <w:p w14:paraId="0D4F8C9B">
      <w:pPr>
        <w:keepNext w:val="0"/>
        <w:keepLines w:val="0"/>
        <w:pageBreakBefore w:val="0"/>
        <w:widowControl w:val="0"/>
        <w:numPr>
          <w:ilvl w:val="0"/>
          <w:numId w:val="0"/>
        </w:numPr>
        <w:tabs>
          <w:tab w:val="left" w:pos="1307"/>
        </w:tabs>
        <w:kinsoku/>
        <w:wordWrap/>
        <w:overflowPunct/>
        <w:topLinePunct w:val="0"/>
        <w:autoSpaceDE/>
        <w:autoSpaceDN/>
        <w:bidi w:val="0"/>
        <w:adjustRightInd w:val="0"/>
        <w:snapToGrid w:val="0"/>
        <w:spacing w:line="560" w:lineRule="exact"/>
        <w:ind w:firstLine="643" w:firstLineChars="200"/>
        <w:jc w:val="both"/>
        <w:textAlignment w:val="auto"/>
        <w:outlineLvl w:val="2"/>
        <w:rPr>
          <w:rFonts w:hint="default"/>
          <w:b w:val="0"/>
          <w:bCs/>
          <w:highlight w:val="none"/>
          <w:lang w:val="en-US" w:eastAsia="zh-CN"/>
        </w:rPr>
      </w:pPr>
      <w:r>
        <w:rPr>
          <w:rFonts w:hint="eastAsia" w:ascii="楷体_GB2312" w:hAnsi="楷体_GB2312" w:eastAsia="楷体_GB2312" w:cs="楷体_GB2312"/>
          <w:b/>
          <w:bCs w:val="0"/>
          <w:highlight w:val="none"/>
          <w:lang w:val="en-US" w:eastAsia="zh-CN"/>
        </w:rPr>
        <w:t>（四）</w:t>
      </w:r>
      <w:r>
        <w:rPr>
          <w:rFonts w:hint="default" w:ascii="楷体_GB2312" w:hAnsi="楷体_GB2312" w:eastAsia="楷体_GB2312" w:cs="楷体_GB2312"/>
          <w:b/>
          <w:bCs w:val="0"/>
          <w:highlight w:val="none"/>
          <w:lang w:val="en-US" w:eastAsia="zh-CN"/>
        </w:rPr>
        <w:t>尽职调查。</w:t>
      </w:r>
      <w:r>
        <w:rPr>
          <w:rFonts w:hint="default"/>
          <w:b w:val="0"/>
          <w:bCs/>
          <w:highlight w:val="none"/>
          <w:lang w:val="en-US" w:eastAsia="zh-CN"/>
        </w:rPr>
        <w:t>对于已立项的子基金，</w:t>
      </w:r>
      <w:r>
        <w:rPr>
          <w:rFonts w:hint="eastAsia"/>
          <w:b w:val="0"/>
          <w:bCs/>
          <w:highlight w:val="none"/>
          <w:lang w:val="en-US" w:eastAsia="zh-CN"/>
        </w:rPr>
        <w:t>广投资本及各母基金主体</w:t>
      </w:r>
      <w:r>
        <w:rPr>
          <w:rFonts w:hint="default"/>
          <w:b w:val="0"/>
          <w:bCs/>
          <w:highlight w:val="none"/>
          <w:lang w:val="en-US" w:eastAsia="zh-CN"/>
        </w:rPr>
        <w:t>独立或委托第三方机构对子基金管理机构及投资团队开展尽职调查，编制尽职调查报告，并提出投资建议。</w:t>
      </w:r>
    </w:p>
    <w:p w14:paraId="0C5F0033">
      <w:pPr>
        <w:keepNext w:val="0"/>
        <w:keepLines w:val="0"/>
        <w:pageBreakBefore w:val="0"/>
        <w:widowControl w:val="0"/>
        <w:numPr>
          <w:ilvl w:val="0"/>
          <w:numId w:val="0"/>
        </w:numPr>
        <w:tabs>
          <w:tab w:val="left" w:pos="1307"/>
        </w:tabs>
        <w:kinsoku/>
        <w:wordWrap/>
        <w:overflowPunct/>
        <w:topLinePunct w:val="0"/>
        <w:autoSpaceDE/>
        <w:autoSpaceDN/>
        <w:bidi w:val="0"/>
        <w:adjustRightInd w:val="0"/>
        <w:snapToGrid w:val="0"/>
        <w:spacing w:line="560" w:lineRule="exact"/>
        <w:ind w:firstLine="643" w:firstLineChars="200"/>
        <w:jc w:val="both"/>
        <w:textAlignment w:val="auto"/>
        <w:outlineLvl w:val="2"/>
        <w:rPr>
          <w:rFonts w:hint="default"/>
          <w:b w:val="0"/>
          <w:bCs/>
          <w:highlight w:val="none"/>
          <w:lang w:val="en-US" w:eastAsia="zh-CN"/>
        </w:rPr>
      </w:pPr>
      <w:r>
        <w:rPr>
          <w:rFonts w:hint="eastAsia" w:ascii="楷体_GB2312" w:hAnsi="楷体_GB2312" w:eastAsia="楷体_GB2312" w:cs="楷体_GB2312"/>
          <w:b/>
          <w:bCs w:val="0"/>
          <w:highlight w:val="none"/>
          <w:lang w:val="en-US" w:eastAsia="zh-CN"/>
        </w:rPr>
        <w:t>（五）</w:t>
      </w:r>
      <w:r>
        <w:rPr>
          <w:rFonts w:hint="default" w:ascii="楷体_GB2312" w:hAnsi="楷体_GB2312" w:eastAsia="楷体_GB2312" w:cs="楷体_GB2312"/>
          <w:b/>
          <w:bCs w:val="0"/>
          <w:highlight w:val="none"/>
          <w:lang w:val="en-US" w:eastAsia="zh-CN"/>
        </w:rPr>
        <w:t>答辩。</w:t>
      </w:r>
      <w:r>
        <w:rPr>
          <w:rFonts w:hint="eastAsia"/>
          <w:b w:val="0"/>
          <w:bCs/>
          <w:highlight w:val="none"/>
          <w:lang w:val="en-US" w:eastAsia="zh-CN"/>
        </w:rPr>
        <w:t>广投资本及各母基金主体、相关产业行业专家委员（如有）组成评审组，各评委</w:t>
      </w:r>
      <w:r>
        <w:rPr>
          <w:rFonts w:hint="default"/>
          <w:b w:val="0"/>
          <w:bCs/>
          <w:highlight w:val="none"/>
          <w:lang w:val="en-US" w:eastAsia="zh-CN"/>
        </w:rPr>
        <w:t>对子基金管理机构进行提问，</w:t>
      </w:r>
      <w:r>
        <w:rPr>
          <w:rFonts w:hint="eastAsia"/>
          <w:b w:val="0"/>
          <w:bCs/>
          <w:highlight w:val="none"/>
          <w:lang w:val="en-US" w:eastAsia="zh-CN"/>
        </w:rPr>
        <w:t>并根据</w:t>
      </w:r>
      <w:r>
        <w:rPr>
          <w:rFonts w:hint="default"/>
          <w:b w:val="0"/>
          <w:bCs/>
          <w:highlight w:val="none"/>
          <w:lang w:val="en-US" w:eastAsia="zh-CN"/>
        </w:rPr>
        <w:t>子基金管理机构的答辩情况进行评价</w:t>
      </w:r>
      <w:r>
        <w:rPr>
          <w:rFonts w:hint="eastAsia"/>
          <w:b w:val="0"/>
          <w:bCs/>
          <w:highlight w:val="none"/>
          <w:lang w:val="en-US" w:eastAsia="zh-CN"/>
        </w:rPr>
        <w:t>和评分</w:t>
      </w:r>
      <w:r>
        <w:rPr>
          <w:rFonts w:hint="default"/>
          <w:b w:val="0"/>
          <w:bCs/>
          <w:highlight w:val="none"/>
          <w:lang w:val="en-US" w:eastAsia="zh-CN"/>
        </w:rPr>
        <w:t>。根据答辩评价</w:t>
      </w:r>
      <w:r>
        <w:rPr>
          <w:rFonts w:hint="eastAsia"/>
          <w:b w:val="0"/>
          <w:bCs/>
          <w:highlight w:val="none"/>
          <w:lang w:val="en-US" w:eastAsia="zh-CN"/>
        </w:rPr>
        <w:t>和评分</w:t>
      </w:r>
      <w:r>
        <w:rPr>
          <w:rFonts w:hint="default"/>
          <w:b w:val="0"/>
          <w:bCs/>
          <w:highlight w:val="none"/>
          <w:lang w:val="en-US" w:eastAsia="zh-CN"/>
        </w:rPr>
        <w:t>情况，确定入围的基金管理机构</w:t>
      </w:r>
      <w:r>
        <w:rPr>
          <w:rFonts w:hint="eastAsia"/>
          <w:b w:val="0"/>
          <w:bCs/>
          <w:highlight w:val="none"/>
          <w:lang w:val="en-US" w:eastAsia="zh-CN"/>
        </w:rPr>
        <w:t>，并推进相关子基金进入</w:t>
      </w:r>
      <w:r>
        <w:rPr>
          <w:rFonts w:hint="default"/>
          <w:b w:val="0"/>
          <w:bCs/>
          <w:highlight w:val="none"/>
          <w:lang w:val="en-US" w:eastAsia="zh-CN"/>
        </w:rPr>
        <w:t>投资决策环节。</w:t>
      </w:r>
    </w:p>
    <w:p w14:paraId="3190CA1D">
      <w:pPr>
        <w:keepNext w:val="0"/>
        <w:keepLines w:val="0"/>
        <w:pageBreakBefore w:val="0"/>
        <w:widowControl w:val="0"/>
        <w:numPr>
          <w:ilvl w:val="0"/>
          <w:numId w:val="0"/>
        </w:numPr>
        <w:tabs>
          <w:tab w:val="left" w:pos="1307"/>
        </w:tabs>
        <w:kinsoku/>
        <w:wordWrap/>
        <w:overflowPunct/>
        <w:topLinePunct w:val="0"/>
        <w:autoSpaceDE/>
        <w:autoSpaceDN/>
        <w:bidi w:val="0"/>
        <w:adjustRightInd w:val="0"/>
        <w:snapToGrid w:val="0"/>
        <w:spacing w:line="560" w:lineRule="exact"/>
        <w:ind w:firstLine="643" w:firstLineChars="200"/>
        <w:jc w:val="both"/>
        <w:textAlignment w:val="auto"/>
        <w:outlineLvl w:val="2"/>
        <w:rPr>
          <w:rFonts w:hint="default"/>
          <w:b w:val="0"/>
          <w:bCs/>
          <w:highlight w:val="none"/>
          <w:lang w:val="en-US" w:eastAsia="zh-CN"/>
        </w:rPr>
      </w:pPr>
      <w:r>
        <w:rPr>
          <w:rFonts w:hint="eastAsia" w:ascii="楷体_GB2312" w:hAnsi="楷体_GB2312" w:eastAsia="楷体_GB2312" w:cs="楷体_GB2312"/>
          <w:b/>
          <w:bCs w:val="0"/>
          <w:highlight w:val="none"/>
          <w:lang w:val="en-US" w:eastAsia="zh-CN"/>
        </w:rPr>
        <w:t>（六）</w:t>
      </w:r>
      <w:r>
        <w:rPr>
          <w:rFonts w:hint="default" w:ascii="楷体_GB2312" w:hAnsi="楷体_GB2312" w:eastAsia="楷体_GB2312" w:cs="楷体_GB2312"/>
          <w:b/>
          <w:bCs w:val="0"/>
          <w:highlight w:val="none"/>
          <w:lang w:val="en-US" w:eastAsia="zh-CN"/>
        </w:rPr>
        <w:t>投资决策。</w:t>
      </w:r>
      <w:r>
        <w:rPr>
          <w:rFonts w:hint="eastAsia"/>
          <w:b w:val="0"/>
          <w:bCs/>
          <w:highlight w:val="none"/>
          <w:lang w:val="en-US" w:eastAsia="zh-CN"/>
        </w:rPr>
        <w:t>广投资本及各母基金主体</w:t>
      </w:r>
      <w:r>
        <w:rPr>
          <w:rFonts w:hint="default"/>
          <w:b w:val="0"/>
          <w:bCs/>
          <w:highlight w:val="none"/>
          <w:lang w:val="en-US" w:eastAsia="zh-CN"/>
        </w:rPr>
        <w:t>投资决策委员会对入围的基金进行审议并做出投资决策。</w:t>
      </w:r>
    </w:p>
    <w:p w14:paraId="3A84AD31">
      <w:pPr>
        <w:keepNext w:val="0"/>
        <w:keepLines w:val="0"/>
        <w:pageBreakBefore w:val="0"/>
        <w:widowControl w:val="0"/>
        <w:numPr>
          <w:ilvl w:val="0"/>
          <w:numId w:val="0"/>
        </w:numPr>
        <w:kinsoku/>
        <w:wordWrap/>
        <w:overflowPunct/>
        <w:topLinePunct w:val="0"/>
        <w:bidi w:val="0"/>
        <w:ind w:firstLine="643" w:firstLineChars="200"/>
        <w:textAlignment w:val="auto"/>
        <w:outlineLvl w:val="2"/>
        <w:rPr>
          <w:rFonts w:hint="eastAsia"/>
          <w:b w:val="0"/>
          <w:bCs/>
          <w:highlight w:val="none"/>
          <w:lang w:val="en-US" w:eastAsia="zh-CN"/>
        </w:rPr>
      </w:pPr>
      <w:r>
        <w:rPr>
          <w:rFonts w:hint="eastAsia" w:ascii="楷体_GB2312" w:hAnsi="楷体_GB2312" w:eastAsia="楷体_GB2312" w:cs="楷体_GB2312"/>
          <w:b/>
          <w:bCs w:val="0"/>
          <w:highlight w:val="none"/>
          <w:lang w:val="en-US" w:eastAsia="zh-CN"/>
        </w:rPr>
        <w:t>（七）</w:t>
      </w:r>
      <w:r>
        <w:rPr>
          <w:rFonts w:hint="default" w:ascii="楷体_GB2312" w:hAnsi="楷体_GB2312" w:eastAsia="楷体_GB2312" w:cs="楷体_GB2312"/>
          <w:b/>
          <w:bCs w:val="0"/>
          <w:highlight w:val="none"/>
          <w:lang w:val="en-US" w:eastAsia="zh-CN"/>
        </w:rPr>
        <w:t>社会公示。</w:t>
      </w:r>
      <w:r>
        <w:rPr>
          <w:rFonts w:hint="eastAsia"/>
          <w:b w:val="0"/>
          <w:bCs/>
          <w:highlight w:val="none"/>
          <w:lang w:val="en-US" w:eastAsia="zh-CN"/>
        </w:rPr>
        <w:t>经决策通过的</w:t>
      </w:r>
      <w:r>
        <w:rPr>
          <w:rFonts w:hint="default"/>
          <w:b w:val="0"/>
          <w:bCs/>
          <w:highlight w:val="none"/>
          <w:lang w:val="en-US" w:eastAsia="zh-CN"/>
        </w:rPr>
        <w:t>子基金管理机构</w:t>
      </w:r>
      <w:r>
        <w:rPr>
          <w:rFonts w:hint="eastAsia"/>
          <w:b w:val="0"/>
          <w:bCs/>
          <w:highlight w:val="none"/>
          <w:lang w:val="en-US" w:eastAsia="zh-CN"/>
        </w:rPr>
        <w:t>和子</w:t>
      </w:r>
      <w:r>
        <w:rPr>
          <w:rFonts w:hint="default"/>
          <w:b w:val="0"/>
          <w:bCs/>
          <w:highlight w:val="none"/>
          <w:lang w:val="en-US" w:eastAsia="zh-CN"/>
        </w:rPr>
        <w:t>基金，将</w:t>
      </w:r>
      <w:r>
        <w:rPr>
          <w:rFonts w:hint="eastAsia"/>
          <w:b w:val="0"/>
          <w:bCs/>
          <w:highlight w:val="none"/>
          <w:lang w:val="en-US" w:eastAsia="zh-CN"/>
        </w:rPr>
        <w:t>在</w:t>
      </w:r>
      <w:r>
        <w:rPr>
          <w:rFonts w:hint="default"/>
          <w:b w:val="0"/>
          <w:bCs/>
          <w:highlight w:val="none"/>
          <w:lang w:val="en-US" w:eastAsia="zh-CN"/>
        </w:rPr>
        <w:t>企业公众号进行公示。公示期原则上不少于五个工作日</w:t>
      </w:r>
      <w:r>
        <w:rPr>
          <w:rFonts w:hint="eastAsia"/>
          <w:b w:val="0"/>
          <w:bCs/>
          <w:highlight w:val="none"/>
          <w:lang w:val="en-US" w:eastAsia="zh-CN"/>
        </w:rPr>
        <w:t>。</w:t>
      </w:r>
    </w:p>
    <w:p w14:paraId="38DF809B">
      <w:pPr>
        <w:keepNext w:val="0"/>
        <w:keepLines w:val="0"/>
        <w:pageBreakBefore w:val="0"/>
        <w:widowControl w:val="0"/>
        <w:numPr>
          <w:ilvl w:val="0"/>
          <w:numId w:val="0"/>
        </w:numPr>
        <w:kinsoku/>
        <w:wordWrap/>
        <w:overflowPunct/>
        <w:topLinePunct w:val="0"/>
        <w:bidi w:val="0"/>
        <w:ind w:firstLine="643" w:firstLineChars="200"/>
        <w:textAlignment w:val="auto"/>
        <w:outlineLvl w:val="2"/>
        <w:rPr>
          <w:rFonts w:hint="default"/>
          <w:b/>
          <w:bCs w:val="0"/>
          <w:highlight w:val="none"/>
          <w:lang w:val="en-US" w:eastAsia="zh-CN"/>
        </w:rPr>
      </w:pPr>
      <w:r>
        <w:rPr>
          <w:rFonts w:hint="eastAsia" w:ascii="楷体_GB2312" w:hAnsi="楷体_GB2312" w:eastAsia="楷体_GB2312" w:cs="楷体_GB2312"/>
          <w:b/>
          <w:bCs w:val="0"/>
          <w:highlight w:val="none"/>
          <w:lang w:val="en-US" w:eastAsia="zh-CN"/>
        </w:rPr>
        <w:t>（八）法律文件的签署和资金拨付。</w:t>
      </w:r>
      <w:r>
        <w:rPr>
          <w:rFonts w:hint="default"/>
          <w:b w:val="0"/>
          <w:bCs/>
          <w:highlight w:val="none"/>
          <w:lang w:val="en-US" w:eastAsia="zh-CN"/>
        </w:rPr>
        <w:t>社会公示无异议或者有异议但经调查异议不成立的，</w:t>
      </w:r>
      <w:r>
        <w:rPr>
          <w:rFonts w:hint="eastAsia"/>
          <w:b w:val="0"/>
          <w:bCs/>
          <w:highlight w:val="none"/>
          <w:lang w:val="en-US" w:eastAsia="zh-CN"/>
        </w:rPr>
        <w:t>广投资本及各母基金主体</w:t>
      </w:r>
      <w:r>
        <w:rPr>
          <w:rFonts w:hint="default"/>
          <w:b w:val="0"/>
          <w:bCs/>
          <w:highlight w:val="none"/>
          <w:lang w:val="en-US" w:eastAsia="zh-CN"/>
        </w:rPr>
        <w:t>将及时与子基金管理机构开展子基金合伙协议或公司章程等各项法律文件的起草、谈判、修订</w:t>
      </w:r>
      <w:r>
        <w:rPr>
          <w:rFonts w:hint="eastAsia"/>
          <w:b w:val="0"/>
          <w:bCs/>
          <w:highlight w:val="none"/>
          <w:lang w:val="en-US" w:eastAsia="zh-CN"/>
        </w:rPr>
        <w:t>、签署和资金拨付</w:t>
      </w:r>
      <w:r>
        <w:rPr>
          <w:rFonts w:hint="default"/>
          <w:b w:val="0"/>
          <w:bCs/>
          <w:highlight w:val="none"/>
          <w:lang w:val="en-US" w:eastAsia="zh-CN"/>
        </w:rPr>
        <w:t>。</w:t>
      </w:r>
    </w:p>
    <w:p w14:paraId="27EAB78E">
      <w:pPr>
        <w:autoSpaceDE/>
        <w:autoSpaceDN/>
        <w:adjustRightInd/>
        <w:snapToGrid/>
        <w:spacing w:line="240" w:lineRule="auto"/>
        <w:ind w:firstLine="643"/>
        <w:jc w:val="left"/>
        <w:outlineLvl w:val="2"/>
        <w:rPr>
          <w:rFonts w:ascii="黑体" w:hAnsi="黑体" w:eastAsia="黑体" w:cs="方正黑体_GBK"/>
          <w:highlight w:val="none"/>
          <w:lang w:val="en-US"/>
        </w:rPr>
      </w:pPr>
      <w:r>
        <w:rPr>
          <w:rFonts w:hint="eastAsia" w:ascii="黑体" w:hAnsi="黑体" w:eastAsia="黑体" w:cs="方正黑体_GBK"/>
          <w:highlight w:val="none"/>
          <w:lang w:val="en-US"/>
        </w:rPr>
        <w:t>四</w:t>
      </w:r>
      <w:r>
        <w:rPr>
          <w:rFonts w:ascii="黑体" w:hAnsi="黑体" w:eastAsia="黑体" w:cs="方正黑体_GBK"/>
          <w:highlight w:val="none"/>
          <w:lang w:val="en-US"/>
        </w:rPr>
        <w:t>、限制性安排及风控要求</w:t>
      </w:r>
    </w:p>
    <w:p w14:paraId="0CF6FD48">
      <w:pPr>
        <w:adjustRightInd w:val="0"/>
        <w:snapToGrid w:val="0"/>
        <w:spacing w:line="560" w:lineRule="exact"/>
        <w:ind w:firstLine="640"/>
        <w:outlineLvl w:val="2"/>
        <w:rPr>
          <w:rFonts w:hint="eastAsia" w:ascii="楷体_GB2312" w:hAnsi="方正楷体_GB2312" w:eastAsia="楷体_GB2312" w:cs="方正楷体_GB2312"/>
          <w:kern w:val="2"/>
          <w:szCs w:val="32"/>
          <w:highlight w:val="none"/>
          <w:shd w:val="clear" w:color="auto" w:fill="FFFFFF"/>
          <w:lang w:val="en-US" w:bidi="ar-SA"/>
        </w:rPr>
      </w:pPr>
      <w:r>
        <w:rPr>
          <w:rFonts w:ascii="楷体_GB2312" w:hAnsi="方正楷体_GB2312" w:eastAsia="楷体_GB2312" w:cs="方正楷体_GB2312"/>
          <w:kern w:val="2"/>
          <w:szCs w:val="32"/>
          <w:highlight w:val="none"/>
          <w:shd w:val="clear" w:color="auto" w:fill="FFFFFF"/>
          <w:lang w:val="en-US" w:bidi="ar-SA"/>
        </w:rPr>
        <w:t>（一）</w:t>
      </w:r>
      <w:r>
        <w:rPr>
          <w:rFonts w:hint="eastAsia" w:ascii="楷体_GB2312" w:hAnsi="方正楷体_GB2312" w:eastAsia="楷体_GB2312" w:cs="方正楷体_GB2312"/>
          <w:kern w:val="2"/>
          <w:szCs w:val="32"/>
          <w:highlight w:val="none"/>
          <w:shd w:val="clear" w:color="auto" w:fill="FFFFFF"/>
          <w:lang w:val="en-US" w:eastAsia="zh-CN" w:bidi="ar-SA"/>
        </w:rPr>
        <w:t>子</w:t>
      </w:r>
      <w:r>
        <w:rPr>
          <w:rFonts w:ascii="楷体_GB2312" w:hAnsi="方正楷体_GB2312" w:eastAsia="楷体_GB2312" w:cs="方正楷体_GB2312"/>
          <w:kern w:val="2"/>
          <w:szCs w:val="32"/>
          <w:highlight w:val="none"/>
          <w:shd w:val="clear" w:color="auto" w:fill="FFFFFF"/>
          <w:lang w:val="en-US" w:bidi="ar-SA"/>
        </w:rPr>
        <w:t>基金运作中不得从事的业务</w:t>
      </w:r>
    </w:p>
    <w:p w14:paraId="7A5F5CD0">
      <w:pPr>
        <w:adjustRightInd w:val="0"/>
        <w:snapToGrid w:val="0"/>
        <w:spacing w:line="560" w:lineRule="exact"/>
        <w:ind w:firstLine="640"/>
        <w:rPr>
          <w:rFonts w:hint="default" w:ascii="Times New Roman Regular" w:hAnsi="Times New Roman Regular" w:cs="Times New Roman Regular"/>
          <w:highlight w:val="none"/>
          <w:lang w:val="en-US"/>
        </w:rPr>
      </w:pPr>
      <w:r>
        <w:rPr>
          <w:rFonts w:hint="default" w:ascii="Times New Roman Regular" w:hAnsi="Times New Roman Regular" w:cs="Times New Roman Regular"/>
          <w:highlight w:val="none"/>
          <w:lang w:val="en-US"/>
        </w:rPr>
        <w:t>1.从事担保、抵押、委托贷款等业务；</w:t>
      </w:r>
    </w:p>
    <w:p w14:paraId="37789777">
      <w:pPr>
        <w:adjustRightInd w:val="0"/>
        <w:snapToGrid w:val="0"/>
        <w:spacing w:line="560" w:lineRule="exact"/>
        <w:ind w:firstLine="640"/>
        <w:rPr>
          <w:rFonts w:hint="default" w:ascii="Times New Roman Regular" w:hAnsi="Times New Roman Regular" w:cs="Times New Roman Regular"/>
          <w:highlight w:val="none"/>
          <w:lang w:val="en-US"/>
        </w:rPr>
      </w:pPr>
      <w:r>
        <w:rPr>
          <w:rFonts w:hint="default" w:ascii="Times New Roman Regular" w:hAnsi="Times New Roman Regular" w:cs="Times New Roman Regular"/>
          <w:highlight w:val="none"/>
          <w:lang w:val="en-US"/>
        </w:rPr>
        <w:t>2.在公开市场投资二级市场股票</w:t>
      </w:r>
      <w:r>
        <w:rPr>
          <w:rFonts w:hint="eastAsia" w:ascii="Times New Roman Regular" w:hAnsi="Times New Roman Regular" w:cs="Times New Roman Regular"/>
          <w:kern w:val="2"/>
          <w:szCs w:val="32"/>
          <w:highlight w:val="none"/>
          <w:shd w:val="clear" w:color="auto" w:fill="FFFFFF"/>
          <w:lang w:val="en-US" w:eastAsia="zh-CN" w:bidi="ar-SA"/>
        </w:rPr>
        <w:t>（以并购重组为目的，或参与定向增发募投资金用于支持广西投资项目，或作为基石投资人参与港股IPO的除外）</w:t>
      </w:r>
      <w:r>
        <w:rPr>
          <w:rFonts w:hint="default" w:ascii="Times New Roman Regular" w:hAnsi="Times New Roman Regular" w:cs="Times New Roman Regular"/>
          <w:highlight w:val="none"/>
          <w:lang w:val="en-US"/>
        </w:rPr>
        <w:t>、期货、房地产、证券投资基金、企业债、信托产品、非保本型理财产品、保险计划及其他金融衍生品；</w:t>
      </w:r>
    </w:p>
    <w:p w14:paraId="28578C78">
      <w:pPr>
        <w:adjustRightInd w:val="0"/>
        <w:snapToGrid w:val="0"/>
        <w:spacing w:line="560" w:lineRule="exact"/>
        <w:ind w:firstLine="640"/>
        <w:rPr>
          <w:rFonts w:hint="default" w:ascii="Times New Roman Regular" w:hAnsi="Times New Roman Regular" w:cs="Times New Roman Regular"/>
          <w:highlight w:val="none"/>
          <w:lang w:val="en-US"/>
        </w:rPr>
      </w:pPr>
      <w:r>
        <w:rPr>
          <w:rFonts w:hint="default" w:ascii="Times New Roman Regular" w:hAnsi="Times New Roman Regular" w:cs="Times New Roman Regular"/>
          <w:highlight w:val="none"/>
          <w:lang w:val="en-US"/>
        </w:rPr>
        <w:t>3.向任何第三方提供赞助、捐赠；</w:t>
      </w:r>
    </w:p>
    <w:p w14:paraId="41B4A213">
      <w:pPr>
        <w:adjustRightInd w:val="0"/>
        <w:snapToGrid w:val="0"/>
        <w:spacing w:line="560" w:lineRule="exact"/>
        <w:ind w:firstLine="640"/>
        <w:rPr>
          <w:rFonts w:hint="default" w:ascii="Times New Roman Regular" w:hAnsi="Times New Roman Regular" w:cs="Times New Roman Regular"/>
          <w:highlight w:val="none"/>
          <w:lang w:val="en-US"/>
        </w:rPr>
      </w:pPr>
      <w:r>
        <w:rPr>
          <w:rFonts w:hint="default" w:ascii="Times New Roman Regular" w:hAnsi="Times New Roman Regular" w:cs="Times New Roman Regular"/>
          <w:highlight w:val="none"/>
          <w:lang w:val="en-US"/>
        </w:rPr>
        <w:t>4.吸收或变相吸收存款；</w:t>
      </w:r>
    </w:p>
    <w:p w14:paraId="49BA7B82">
      <w:pPr>
        <w:adjustRightInd w:val="0"/>
        <w:snapToGrid w:val="0"/>
        <w:spacing w:line="560" w:lineRule="exact"/>
        <w:ind w:firstLine="640"/>
        <w:rPr>
          <w:rFonts w:hint="default" w:ascii="Times New Roman Regular" w:hAnsi="Times New Roman Regular" w:cs="Times New Roman Regular"/>
          <w:highlight w:val="none"/>
          <w:lang w:val="en-US"/>
        </w:rPr>
      </w:pPr>
      <w:r>
        <w:rPr>
          <w:rFonts w:hint="default" w:ascii="Times New Roman Regular" w:hAnsi="Times New Roman Regular" w:cs="Times New Roman Regular"/>
          <w:highlight w:val="none"/>
          <w:lang w:val="en-US"/>
        </w:rPr>
        <w:t>5.向任何第三方提供贷款和资金拆借；</w:t>
      </w:r>
    </w:p>
    <w:p w14:paraId="12210471">
      <w:pPr>
        <w:adjustRightInd w:val="0"/>
        <w:snapToGrid w:val="0"/>
        <w:spacing w:line="560" w:lineRule="exact"/>
        <w:ind w:firstLine="640"/>
        <w:rPr>
          <w:rFonts w:hint="default" w:ascii="Times New Roman Regular" w:hAnsi="Times New Roman Regular" w:cs="Times New Roman Regular"/>
          <w:highlight w:val="none"/>
          <w:lang w:val="en-US"/>
        </w:rPr>
      </w:pPr>
      <w:r>
        <w:rPr>
          <w:rFonts w:hint="default" w:ascii="Times New Roman Regular" w:hAnsi="Times New Roman Regular" w:cs="Times New Roman Regular"/>
          <w:highlight w:val="none"/>
          <w:lang w:val="en-US"/>
        </w:rPr>
        <w:t>6.进行承担无限连带责任的对外投资；</w:t>
      </w:r>
    </w:p>
    <w:p w14:paraId="17B43134">
      <w:pPr>
        <w:adjustRightInd w:val="0"/>
        <w:snapToGrid w:val="0"/>
        <w:spacing w:line="560" w:lineRule="exact"/>
        <w:ind w:firstLine="640"/>
        <w:rPr>
          <w:rFonts w:hint="default" w:ascii="Times New Roman Regular" w:hAnsi="Times New Roman Regular" w:cs="Times New Roman Regular"/>
          <w:highlight w:val="none"/>
          <w:lang w:val="en-US"/>
        </w:rPr>
      </w:pPr>
      <w:r>
        <w:rPr>
          <w:rFonts w:hint="default" w:ascii="Times New Roman Regular" w:hAnsi="Times New Roman Regular" w:cs="Times New Roman Regular"/>
          <w:highlight w:val="none"/>
          <w:lang w:val="en-US"/>
        </w:rPr>
        <w:t>7.发行信托或集合理财产品募集资金；</w:t>
      </w:r>
    </w:p>
    <w:p w14:paraId="76D05CAC">
      <w:pPr>
        <w:adjustRightInd w:val="0"/>
        <w:snapToGrid w:val="0"/>
        <w:spacing w:line="560" w:lineRule="exact"/>
        <w:ind w:firstLine="640"/>
        <w:rPr>
          <w:rFonts w:hint="default" w:ascii="Times New Roman Regular" w:hAnsi="Times New Roman Regular" w:cs="Times New Roman Regular"/>
          <w:highlight w:val="none"/>
          <w:lang w:val="en-US"/>
        </w:rPr>
      </w:pPr>
      <w:r>
        <w:rPr>
          <w:rFonts w:hint="default" w:ascii="Times New Roman Regular" w:hAnsi="Times New Roman Regular" w:cs="Times New Roman Regular"/>
          <w:highlight w:val="none"/>
          <w:lang w:val="en-US"/>
        </w:rPr>
        <w:t>8.其他国家法律法规或行业监管规定等禁止从事的业务。</w:t>
      </w:r>
    </w:p>
    <w:p w14:paraId="7AB97F02">
      <w:pPr>
        <w:adjustRightInd w:val="0"/>
        <w:snapToGrid w:val="0"/>
        <w:spacing w:line="560" w:lineRule="exact"/>
        <w:ind w:firstLine="643"/>
        <w:rPr>
          <w:rFonts w:hint="default" w:ascii="Times New Roman Regular" w:hAnsi="Times New Roman Regular" w:cs="Times New Roman Regular"/>
          <w:kern w:val="2"/>
          <w:szCs w:val="32"/>
          <w:highlight w:val="none"/>
          <w:shd w:val="clear" w:color="auto" w:fill="FFFFFF"/>
          <w:lang w:val="en-US" w:bidi="ar-SA"/>
        </w:rPr>
      </w:pPr>
      <w:r>
        <w:rPr>
          <w:rFonts w:hint="default" w:ascii="Times New Roman Regular" w:hAnsi="Times New Roman Regular" w:cs="Times New Roman Regular"/>
          <w:kern w:val="2"/>
          <w:szCs w:val="32"/>
          <w:highlight w:val="none"/>
          <w:shd w:val="clear" w:color="auto" w:fill="FFFFFF"/>
          <w:lang w:val="en-US" w:bidi="ar-SA"/>
        </w:rPr>
        <w:t>子基金参与IPO企业战略配售投资、港股基石投资及</w:t>
      </w:r>
      <w:r>
        <w:rPr>
          <w:rFonts w:hint="eastAsia" w:ascii="Times New Roman Regular" w:hAnsi="Times New Roman Regular" w:cs="Times New Roman Regular"/>
          <w:kern w:val="2"/>
          <w:szCs w:val="32"/>
          <w:highlight w:val="none"/>
          <w:shd w:val="clear" w:color="auto" w:fill="FFFFFF"/>
          <w:lang w:val="en-US" w:eastAsia="zh-CN" w:bidi="ar-SA"/>
        </w:rPr>
        <w:t>参与</w:t>
      </w:r>
      <w:r>
        <w:rPr>
          <w:rFonts w:hint="default" w:ascii="Times New Roman Regular" w:hAnsi="Times New Roman Regular" w:cs="Times New Roman Regular"/>
          <w:kern w:val="2"/>
          <w:szCs w:val="32"/>
          <w:highlight w:val="none"/>
          <w:shd w:val="clear" w:color="auto" w:fill="FFFFFF"/>
          <w:lang w:val="en-US" w:bidi="ar-SA"/>
        </w:rPr>
        <w:t>上市公司并购、</w:t>
      </w:r>
      <w:r>
        <w:rPr>
          <w:rFonts w:hint="eastAsia" w:ascii="Times New Roman Regular" w:hAnsi="Times New Roman Regular" w:cs="Times New Roman Regular"/>
          <w:kern w:val="2"/>
          <w:szCs w:val="32"/>
          <w:highlight w:val="none"/>
          <w:shd w:val="clear" w:color="auto" w:fill="FFFFFF"/>
          <w:lang w:val="en-US" w:eastAsia="zh-CN" w:bidi="ar-SA"/>
        </w:rPr>
        <w:t>定向增发</w:t>
      </w:r>
      <w:r>
        <w:rPr>
          <w:rFonts w:hint="default" w:ascii="Times New Roman Regular" w:hAnsi="Times New Roman Regular" w:cs="Times New Roman Regular"/>
          <w:kern w:val="2"/>
          <w:szCs w:val="32"/>
          <w:highlight w:val="none"/>
          <w:shd w:val="clear" w:color="auto" w:fill="FFFFFF"/>
          <w:lang w:val="en-US" w:bidi="ar-SA"/>
        </w:rPr>
        <w:t>、大宗交易、协议转让、可转换债、上市企业非公开发行和交易的普通股投资等不纳入本条第二款所列限制范围。</w:t>
      </w:r>
    </w:p>
    <w:p w14:paraId="04AEA673">
      <w:pPr>
        <w:adjustRightInd w:val="0"/>
        <w:snapToGrid w:val="0"/>
        <w:spacing w:line="560" w:lineRule="exact"/>
        <w:ind w:firstLine="643"/>
        <w:outlineLvl w:val="9"/>
        <w:rPr>
          <w:rFonts w:ascii="楷体_GB2312" w:hAnsi="方正楷体_GB2312" w:eastAsia="楷体_GB2312" w:cs="方正楷体_GB2312"/>
          <w:kern w:val="2"/>
          <w:szCs w:val="32"/>
          <w:highlight w:val="none"/>
          <w:shd w:val="clear" w:color="auto" w:fill="FFFFFF"/>
          <w:lang w:val="en-US" w:bidi="ar-SA"/>
        </w:rPr>
      </w:pPr>
      <w:r>
        <w:rPr>
          <w:rFonts w:hint="default" w:ascii="Times New Roman Regular" w:hAnsi="Times New Roman Regular" w:cs="Times New Roman Regular"/>
          <w:kern w:val="2"/>
          <w:szCs w:val="32"/>
          <w:highlight w:val="none"/>
          <w:shd w:val="clear" w:color="auto" w:fill="FFFFFF"/>
          <w:lang w:val="en-US" w:bidi="ar-SA"/>
        </w:rPr>
        <w:t>如</w:t>
      </w:r>
      <w:r>
        <w:rPr>
          <w:rFonts w:hint="eastAsia" w:ascii="Times New Roman Regular" w:hAnsi="Times New Roman Regular" w:cs="Times New Roman Regular"/>
          <w:kern w:val="2"/>
          <w:szCs w:val="32"/>
          <w:highlight w:val="none"/>
          <w:shd w:val="clear" w:color="auto" w:fill="FFFFFF"/>
          <w:lang w:val="en-US" w:eastAsia="zh-CN" w:bidi="ar-SA"/>
        </w:rPr>
        <w:t>出资</w:t>
      </w:r>
      <w:r>
        <w:rPr>
          <w:rFonts w:hint="default" w:ascii="Times New Roman Regular" w:hAnsi="Times New Roman Regular" w:cs="Times New Roman Regular"/>
          <w:kern w:val="2"/>
          <w:szCs w:val="32"/>
          <w:highlight w:val="none"/>
          <w:shd w:val="clear" w:color="auto" w:fill="FFFFFF"/>
          <w:lang w:val="en-US" w:bidi="ar-SA"/>
        </w:rPr>
        <w:t>主体</w:t>
      </w:r>
      <w:r>
        <w:rPr>
          <w:rFonts w:hint="eastAsia" w:ascii="Times New Roman Regular" w:hAnsi="Times New Roman Regular" w:cs="Times New Roman Regular"/>
          <w:kern w:val="2"/>
          <w:szCs w:val="32"/>
          <w:highlight w:val="none"/>
          <w:shd w:val="clear" w:color="auto" w:fill="FFFFFF"/>
          <w:lang w:val="en-US" w:eastAsia="zh-CN" w:bidi="ar-SA"/>
        </w:rPr>
        <w:t>属于</w:t>
      </w:r>
      <w:r>
        <w:rPr>
          <w:rFonts w:hint="default" w:ascii="Times New Roman Regular" w:hAnsi="Times New Roman Regular" w:cs="Times New Roman Regular"/>
          <w:kern w:val="2"/>
          <w:szCs w:val="32"/>
          <w:highlight w:val="none"/>
          <w:shd w:val="clear" w:color="auto" w:fill="FFFFFF"/>
          <w:lang w:val="en-US" w:bidi="ar-SA"/>
        </w:rPr>
        <w:t>政府类母基金、地市合作母基金</w:t>
      </w:r>
      <w:r>
        <w:rPr>
          <w:rFonts w:hint="eastAsia" w:ascii="Times New Roman Regular" w:hAnsi="Times New Roman Regular" w:cs="Times New Roman Regular"/>
          <w:kern w:val="2"/>
          <w:szCs w:val="32"/>
          <w:highlight w:val="none"/>
          <w:shd w:val="clear" w:color="auto" w:fill="FFFFFF"/>
          <w:lang w:val="en-US" w:eastAsia="zh-CN" w:bidi="ar-SA"/>
        </w:rPr>
        <w:t>，</w:t>
      </w:r>
      <w:r>
        <w:rPr>
          <w:rFonts w:hint="default" w:ascii="Times New Roman Regular" w:hAnsi="Times New Roman Regular" w:cs="Times New Roman Regular"/>
          <w:kern w:val="2"/>
          <w:szCs w:val="32"/>
          <w:highlight w:val="none"/>
          <w:shd w:val="clear" w:color="auto" w:fill="FFFFFF"/>
          <w:lang w:val="en-US" w:bidi="ar-SA"/>
        </w:rPr>
        <w:t>另有约定的，以相关约定或指导意见为准。</w:t>
      </w:r>
    </w:p>
    <w:p w14:paraId="44CE96EF">
      <w:pPr>
        <w:adjustRightInd w:val="0"/>
        <w:snapToGrid w:val="0"/>
        <w:spacing w:line="560" w:lineRule="exact"/>
        <w:ind w:firstLine="640"/>
        <w:outlineLvl w:val="2"/>
        <w:rPr>
          <w:rFonts w:ascii="楷体_GB2312" w:hAnsi="方正楷体_GB2312" w:eastAsia="楷体_GB2312" w:cs="方正楷体_GB2312"/>
          <w:kern w:val="2"/>
          <w:szCs w:val="32"/>
          <w:highlight w:val="none"/>
          <w:shd w:val="clear" w:color="auto" w:fill="FFFFFF"/>
          <w:lang w:val="en-US" w:bidi="ar-SA"/>
        </w:rPr>
      </w:pPr>
      <w:r>
        <w:rPr>
          <w:rFonts w:ascii="楷体_GB2312" w:hAnsi="方正楷体_GB2312" w:eastAsia="楷体_GB2312" w:cs="方正楷体_GB2312"/>
          <w:kern w:val="2"/>
          <w:szCs w:val="32"/>
          <w:highlight w:val="none"/>
          <w:shd w:val="clear" w:color="auto" w:fill="FFFFFF"/>
          <w:lang w:val="en-US" w:bidi="ar-SA"/>
        </w:rPr>
        <w:t>（二）风险控制</w:t>
      </w:r>
    </w:p>
    <w:p w14:paraId="448131E1">
      <w:pPr>
        <w:adjustRightInd w:val="0"/>
        <w:snapToGrid w:val="0"/>
        <w:spacing w:line="560" w:lineRule="exact"/>
        <w:ind w:firstLine="643"/>
        <w:rPr>
          <w:rFonts w:hAnsi="Calibri"/>
          <w:kern w:val="2"/>
          <w:szCs w:val="32"/>
          <w:highlight w:val="none"/>
          <w:shd w:val="clear" w:color="auto" w:fill="FFFFFF"/>
          <w:lang w:val="en-US" w:bidi="ar-SA"/>
        </w:rPr>
      </w:pPr>
      <w:r>
        <w:rPr>
          <w:rFonts w:hint="eastAsia" w:hAnsi="Calibri"/>
          <w:b/>
          <w:bCs/>
          <w:kern w:val="2"/>
          <w:szCs w:val="32"/>
          <w:highlight w:val="none"/>
          <w:shd w:val="clear" w:color="auto" w:fill="FFFFFF"/>
          <w:lang w:val="en-US" w:bidi="ar-SA"/>
        </w:rPr>
        <w:t>1.资金托管。</w:t>
      </w:r>
      <w:r>
        <w:rPr>
          <w:rFonts w:hint="eastAsia" w:hAnsi="Calibri"/>
          <w:kern w:val="2"/>
          <w:szCs w:val="32"/>
          <w:highlight w:val="none"/>
          <w:shd w:val="clear" w:color="auto" w:fill="FFFFFF"/>
          <w:lang w:val="en-US" w:bidi="ar-SA"/>
        </w:rPr>
        <w:t>基金应委托一家在中国境内设立且具备资质的商业银行进行托管。</w:t>
      </w:r>
    </w:p>
    <w:p w14:paraId="2B636386">
      <w:pPr>
        <w:adjustRightInd w:val="0"/>
        <w:snapToGrid w:val="0"/>
        <w:spacing w:line="560" w:lineRule="exact"/>
        <w:ind w:firstLine="643"/>
        <w:rPr>
          <w:rFonts w:ascii="Times New Roman Regular" w:hAnsi="Times New Roman Regular" w:cs="Times New Roman Regular"/>
          <w:kern w:val="2"/>
          <w:szCs w:val="32"/>
          <w:highlight w:val="none"/>
          <w:shd w:val="clear" w:color="auto" w:fill="FFFFFF"/>
          <w:lang w:val="en-US" w:bidi="ar-SA"/>
        </w:rPr>
      </w:pPr>
      <w:r>
        <w:rPr>
          <w:rFonts w:hint="eastAsia" w:hAnsi="Calibri"/>
          <w:b/>
          <w:bCs/>
          <w:kern w:val="2"/>
          <w:szCs w:val="32"/>
          <w:highlight w:val="none"/>
          <w:shd w:val="clear" w:color="auto" w:fill="FFFFFF"/>
          <w:lang w:val="en-US" w:bidi="ar-SA"/>
        </w:rPr>
        <w:t>2.基金备案。</w:t>
      </w:r>
      <w:r>
        <w:rPr>
          <w:rFonts w:ascii="Times New Roman Regular" w:hAnsi="Times New Roman Regular" w:cs="Times New Roman Regular"/>
          <w:kern w:val="2"/>
          <w:szCs w:val="32"/>
          <w:highlight w:val="none"/>
          <w:shd w:val="clear" w:color="auto" w:fill="FFFFFF"/>
          <w:lang w:val="en-US" w:bidi="ar-SA"/>
        </w:rPr>
        <w:t>基金应按中基协规定在募集完毕之日起20个工作日内完成向中基协提交基金备案申请。</w:t>
      </w:r>
    </w:p>
    <w:p w14:paraId="1EEDDCE8">
      <w:pPr>
        <w:adjustRightInd w:val="0"/>
        <w:snapToGrid w:val="0"/>
        <w:spacing w:line="560" w:lineRule="exact"/>
        <w:ind w:firstLine="643"/>
        <w:rPr>
          <w:rFonts w:hAnsi="Calibri"/>
          <w:kern w:val="2"/>
          <w:szCs w:val="32"/>
          <w:highlight w:val="none"/>
          <w:shd w:val="clear" w:color="auto" w:fill="FFFFFF"/>
          <w:lang w:val="en-US" w:bidi="ar-SA"/>
        </w:rPr>
      </w:pPr>
      <w:r>
        <w:rPr>
          <w:rFonts w:hint="eastAsia" w:hAnsi="Calibri"/>
          <w:b/>
          <w:bCs/>
          <w:kern w:val="2"/>
          <w:szCs w:val="32"/>
          <w:highlight w:val="none"/>
          <w:shd w:val="clear" w:color="auto" w:fill="FFFFFF"/>
          <w:lang w:val="en-US" w:bidi="ar-SA"/>
        </w:rPr>
        <w:t>3.委派人员。</w:t>
      </w:r>
      <w:r>
        <w:rPr>
          <w:rFonts w:hint="eastAsia" w:hAnsi="Calibri"/>
          <w:b w:val="0"/>
          <w:bCs w:val="0"/>
          <w:kern w:val="2"/>
          <w:szCs w:val="32"/>
          <w:highlight w:val="none"/>
          <w:shd w:val="clear" w:color="auto" w:fill="FFFFFF"/>
          <w:lang w:val="en-US" w:eastAsia="zh" w:bidi="ar-SA"/>
          <w:woUserID w:val="4"/>
        </w:rPr>
        <w:t>广投资本及</w:t>
      </w:r>
      <w:r>
        <w:rPr>
          <w:rFonts w:hint="eastAsia" w:hAnsi="Calibri"/>
          <w:b w:val="0"/>
          <w:bCs w:val="0"/>
          <w:kern w:val="2"/>
          <w:szCs w:val="32"/>
          <w:highlight w:val="none"/>
          <w:shd w:val="clear" w:color="auto" w:fill="FFFFFF"/>
          <w:lang w:val="en-US" w:eastAsia="zh" w:bidi="ar-SA"/>
          <w:woUserID w:val="2"/>
        </w:rPr>
        <w:t>各</w:t>
      </w:r>
      <w:r>
        <w:rPr>
          <w:rFonts w:hint="eastAsia" w:hAnsi="Calibri"/>
          <w:b w:val="0"/>
          <w:bCs w:val="0"/>
          <w:kern w:val="2"/>
          <w:szCs w:val="32"/>
          <w:highlight w:val="none"/>
          <w:shd w:val="clear" w:color="auto" w:fill="FFFFFF"/>
          <w:lang w:val="en-US" w:eastAsia="zh" w:bidi="ar-SA"/>
          <w:woUserID w:val="11"/>
        </w:rPr>
        <w:t>母基金主体</w:t>
      </w:r>
      <w:r>
        <w:rPr>
          <w:rFonts w:hint="eastAsia" w:hAnsi="Calibri"/>
          <w:kern w:val="2"/>
          <w:szCs w:val="32"/>
          <w:highlight w:val="none"/>
          <w:shd w:val="clear" w:color="auto" w:fill="FFFFFF"/>
          <w:lang w:val="en-US" w:bidi="ar-SA"/>
        </w:rPr>
        <w:t>可根据业务需要向基金派驻投委会成员或观察员、顾问咨询委员会成员，依据法律法规和基金章程、合伙协议等参与重大决策，监督子基金的投资和运作。</w:t>
      </w:r>
    </w:p>
    <w:p w14:paraId="26405FDD">
      <w:pPr>
        <w:adjustRightInd w:val="0"/>
        <w:snapToGrid w:val="0"/>
        <w:spacing w:line="560" w:lineRule="exact"/>
        <w:ind w:firstLine="643"/>
        <w:rPr>
          <w:highlight w:val="none"/>
        </w:rPr>
      </w:pPr>
      <w:r>
        <w:rPr>
          <w:rFonts w:hint="eastAsia"/>
          <w:b/>
          <w:bCs/>
          <w:highlight w:val="none"/>
          <w:lang w:val="en-US"/>
        </w:rPr>
        <w:t>4</w:t>
      </w:r>
      <w:r>
        <w:rPr>
          <w:rFonts w:hint="eastAsia"/>
          <w:b/>
          <w:bCs/>
          <w:highlight w:val="none"/>
        </w:rPr>
        <w:t>.信息披露。</w:t>
      </w:r>
      <w:r>
        <w:rPr>
          <w:rFonts w:hint="eastAsia"/>
          <w:highlight w:val="none"/>
        </w:rPr>
        <w:t>基金应建立基金重大事项披露制度，定期向</w:t>
      </w:r>
      <w:r>
        <w:rPr>
          <w:rFonts w:hint="eastAsia"/>
          <w:highlight w:val="none"/>
          <w:lang w:eastAsia="zh"/>
          <w:woUserID w:val="7"/>
        </w:rPr>
        <w:t>投资人</w:t>
      </w:r>
      <w:r>
        <w:rPr>
          <w:rFonts w:hint="eastAsia"/>
          <w:highlight w:val="none"/>
        </w:rPr>
        <w:t>交基金运营报告、经审计的基金财务报告和银行托管报告等。按</w:t>
      </w:r>
      <w:r>
        <w:rPr>
          <w:rFonts w:hint="eastAsia" w:hAnsi="Calibri"/>
          <w:b w:val="0"/>
          <w:bCs w:val="0"/>
          <w:kern w:val="2"/>
          <w:szCs w:val="32"/>
          <w:highlight w:val="none"/>
          <w:shd w:val="clear" w:color="auto" w:fill="FFFFFF"/>
          <w:lang w:val="en-US" w:eastAsia="zh" w:bidi="ar-SA"/>
          <w:woUserID w:val="4"/>
        </w:rPr>
        <w:t>广投资本及</w:t>
      </w:r>
      <w:r>
        <w:rPr>
          <w:rFonts w:hint="eastAsia"/>
          <w:highlight w:val="none"/>
        </w:rPr>
        <w:t>各</w:t>
      </w:r>
      <w:r>
        <w:rPr>
          <w:rFonts w:hint="eastAsia"/>
          <w:highlight w:val="none"/>
          <w:lang w:eastAsia="zh"/>
          <w:woUserID w:val="11"/>
        </w:rPr>
        <w:t>母基金主体</w:t>
      </w:r>
      <w:r>
        <w:rPr>
          <w:rFonts w:hint="eastAsia"/>
          <w:highlight w:val="none"/>
        </w:rPr>
        <w:t>的要求，报送基金投资运营</w:t>
      </w:r>
      <w:r>
        <w:rPr>
          <w:rFonts w:hint="eastAsia"/>
          <w:highlight w:val="none"/>
          <w:woUserID w:val="11"/>
        </w:rPr>
        <w:t>具体</w:t>
      </w:r>
      <w:r>
        <w:rPr>
          <w:rFonts w:hint="eastAsia"/>
          <w:highlight w:val="none"/>
        </w:rPr>
        <w:t>信息。</w:t>
      </w:r>
    </w:p>
    <w:p w14:paraId="0EAA61E0">
      <w:pPr>
        <w:adjustRightInd w:val="0"/>
        <w:snapToGrid w:val="0"/>
        <w:spacing w:line="560" w:lineRule="exact"/>
        <w:ind w:firstLine="643"/>
        <w:rPr>
          <w:rFonts w:hAnsi="Microsoft JhengHei Light" w:cs="Microsoft JhengHei Light"/>
          <w:szCs w:val="32"/>
          <w:highlight w:val="none"/>
          <w:lang w:val="en-US"/>
        </w:rPr>
      </w:pPr>
      <w:r>
        <w:rPr>
          <w:rFonts w:hint="eastAsia" w:hAnsi="Microsoft JhengHei Light" w:cs="Microsoft JhengHei Light"/>
          <w:b/>
          <w:bCs/>
          <w:szCs w:val="32"/>
          <w:highlight w:val="none"/>
          <w:lang w:val="en-US"/>
        </w:rPr>
        <w:t>5.触发特定情形的风险控制措施。</w:t>
      </w:r>
      <w:r>
        <w:rPr>
          <w:rFonts w:hint="eastAsia" w:ascii="Times New Roman Regular" w:hAnsi="Times New Roman Regular" w:cs="Times New Roman Regular"/>
          <w:szCs w:val="32"/>
          <w:highlight w:val="none"/>
          <w:lang w:val="en-US"/>
        </w:rPr>
        <w:t>发生</w:t>
      </w:r>
      <w:r>
        <w:rPr>
          <w:rFonts w:ascii="Times New Roman Regular" w:hAnsi="Times New Roman Regular" w:cs="Times New Roman Regular"/>
          <w:szCs w:val="32"/>
          <w:highlight w:val="none"/>
          <w:lang w:val="en-US"/>
        </w:rPr>
        <w:t>下列</w:t>
      </w:r>
      <w:r>
        <w:rPr>
          <w:rFonts w:hint="eastAsia" w:ascii="Times New Roman Regular" w:hAnsi="Times New Roman Regular" w:cs="Times New Roman Regular"/>
          <w:szCs w:val="32"/>
          <w:highlight w:val="none"/>
          <w:lang w:val="en-US"/>
        </w:rPr>
        <w:t>任一情形（包括但不限于）</w:t>
      </w:r>
      <w:r>
        <w:rPr>
          <w:rFonts w:ascii="Times New Roman Regular" w:hAnsi="Times New Roman Regular" w:cs="Times New Roman Regular"/>
          <w:szCs w:val="32"/>
          <w:highlight w:val="none"/>
          <w:lang w:val="en-US"/>
        </w:rPr>
        <w:t>，</w:t>
      </w:r>
      <w:r>
        <w:rPr>
          <w:rFonts w:hint="eastAsia" w:hAnsi="Calibri"/>
          <w:b w:val="0"/>
          <w:bCs w:val="0"/>
          <w:kern w:val="2"/>
          <w:szCs w:val="32"/>
          <w:highlight w:val="none"/>
          <w:shd w:val="clear" w:color="auto" w:fill="FFFFFF"/>
          <w:lang w:val="en-US" w:eastAsia="zh" w:bidi="ar-SA"/>
          <w:woUserID w:val="4"/>
        </w:rPr>
        <w:t>广投资本及</w:t>
      </w:r>
      <w:r>
        <w:rPr>
          <w:rFonts w:hint="eastAsia" w:ascii="Times New Roman Regular" w:hAnsi="Times New Roman Regular" w:cs="Times New Roman Regular"/>
          <w:szCs w:val="32"/>
          <w:highlight w:val="none"/>
          <w:lang w:val="en-US" w:eastAsia="zh"/>
          <w:woUserID w:val="2"/>
        </w:rPr>
        <w:t>各</w:t>
      </w:r>
      <w:r>
        <w:rPr>
          <w:rFonts w:hint="eastAsia" w:ascii="Times New Roman Regular" w:hAnsi="Times New Roman Regular" w:cs="Times New Roman Regular"/>
          <w:szCs w:val="32"/>
          <w:highlight w:val="none"/>
          <w:lang w:val="en-US" w:eastAsia="zh"/>
          <w:woUserID w:val="11"/>
        </w:rPr>
        <w:t>母基金</w:t>
      </w:r>
      <w:r>
        <w:rPr>
          <w:rFonts w:hint="eastAsia" w:ascii="Times New Roman Regular" w:hAnsi="Times New Roman Regular" w:cs="Times New Roman Regular"/>
          <w:szCs w:val="32"/>
          <w:highlight w:val="none"/>
          <w:lang w:val="en-US" w:eastAsia="zh"/>
          <w:woUserID w:val="2"/>
        </w:rPr>
        <w:t>主体</w:t>
      </w:r>
      <w:r>
        <w:rPr>
          <w:rFonts w:ascii="Times New Roman Regular" w:hAnsi="Times New Roman Regular" w:cs="Times New Roman Regular"/>
          <w:szCs w:val="32"/>
          <w:highlight w:val="none"/>
          <w:lang w:val="en-US"/>
        </w:rPr>
        <w:t>有权</w:t>
      </w:r>
      <w:r>
        <w:rPr>
          <w:rFonts w:hint="eastAsia" w:ascii="Times New Roman Regular" w:hAnsi="Times New Roman Regular" w:cs="Times New Roman Regular"/>
          <w:szCs w:val="32"/>
          <w:highlight w:val="none"/>
          <w:lang w:val="en-US"/>
        </w:rPr>
        <w:t>采取取消基金</w:t>
      </w:r>
      <w:r>
        <w:rPr>
          <w:rFonts w:hint="eastAsia" w:ascii="Times New Roman Regular" w:hAnsi="Times New Roman Regular" w:cs="Times New Roman Regular"/>
          <w:szCs w:val="32"/>
          <w:highlight w:val="none"/>
          <w:lang w:val="en-US" w:eastAsia="zh"/>
          <w:woUserID w:val="11"/>
        </w:rPr>
        <w:t>管理机构</w:t>
      </w:r>
      <w:r>
        <w:rPr>
          <w:rFonts w:hint="eastAsia" w:ascii="Times New Roman Regular" w:hAnsi="Times New Roman Regular" w:cs="Times New Roman Regular"/>
          <w:szCs w:val="32"/>
          <w:highlight w:val="none"/>
          <w:lang w:val="en-US"/>
        </w:rPr>
        <w:t>中选资格、立即全部或部分退出、要求基金</w:t>
      </w:r>
      <w:r>
        <w:rPr>
          <w:rFonts w:hint="eastAsia" w:ascii="Times New Roman Regular" w:hAnsi="Times New Roman Regular" w:cs="Times New Roman Regular"/>
          <w:szCs w:val="32"/>
          <w:highlight w:val="none"/>
          <w:lang w:val="en-US" w:eastAsia="zh"/>
          <w:woUserID w:val="11"/>
        </w:rPr>
        <w:t>管理机构</w:t>
      </w:r>
      <w:r>
        <w:rPr>
          <w:rFonts w:hint="eastAsia" w:ascii="Times New Roman Regular" w:hAnsi="Times New Roman Regular" w:cs="Times New Roman Regular"/>
          <w:szCs w:val="32"/>
          <w:highlight w:val="none"/>
          <w:lang w:val="en-US"/>
        </w:rPr>
        <w:t>全部或部分返还管理费、</w:t>
      </w:r>
      <w:r>
        <w:rPr>
          <w:rFonts w:ascii="Times New Roman Regular" w:hAnsi="Times New Roman Regular" w:cs="Times New Roman Regular"/>
          <w:szCs w:val="32"/>
          <w:highlight w:val="none"/>
          <w:lang w:val="en-US"/>
        </w:rPr>
        <w:t>退还管理费、扣减收益分成、取消让利及后续合作资格等措施，基金其他出资人须签署必要的文件并履行必要的程序以配合广投资本</w:t>
      </w:r>
      <w:r>
        <w:rPr>
          <w:rFonts w:hint="eastAsia" w:ascii="Times New Roman Regular" w:hAnsi="Times New Roman Regular" w:cs="Times New Roman Regular"/>
          <w:szCs w:val="32"/>
          <w:highlight w:val="none"/>
          <w:lang w:val="en-US" w:eastAsia="zh"/>
          <w:woUserID w:val="4"/>
        </w:rPr>
        <w:t>及</w:t>
      </w:r>
      <w:r>
        <w:rPr>
          <w:rFonts w:hint="eastAsia" w:ascii="Times New Roman Regular" w:hAnsi="Times New Roman Regular" w:cs="Times New Roman Regular"/>
          <w:szCs w:val="32"/>
          <w:highlight w:val="none"/>
          <w:lang w:val="en-US" w:eastAsia="zh"/>
          <w:woUserID w:val="11"/>
        </w:rPr>
        <w:t>各母基金</w:t>
      </w:r>
      <w:r>
        <w:rPr>
          <w:rFonts w:ascii="Times New Roman Regular" w:hAnsi="Times New Roman Regular" w:cs="Times New Roman Regular"/>
          <w:szCs w:val="32"/>
          <w:highlight w:val="none"/>
          <w:lang w:val="en-US"/>
        </w:rPr>
        <w:t>主体退出，退出价格按照基金合伙协议约定计算</w:t>
      </w:r>
      <w:r>
        <w:rPr>
          <w:rFonts w:hint="eastAsia" w:ascii="Times New Roman Regular" w:hAnsi="Times New Roman Regular" w:cs="Times New Roman Regular"/>
          <w:szCs w:val="32"/>
          <w:highlight w:val="none"/>
          <w:lang w:val="en-US"/>
        </w:rPr>
        <w:t>，具体条款结合尽调情况另行约定：</w:t>
      </w:r>
    </w:p>
    <w:p w14:paraId="397997E1">
      <w:pPr>
        <w:adjustRightInd w:val="0"/>
        <w:snapToGrid w:val="0"/>
        <w:spacing w:line="560" w:lineRule="exact"/>
        <w:ind w:firstLine="640"/>
        <w:rPr>
          <w:rFonts w:ascii="Times New Roman Regular" w:hAnsi="Times New Roman Regular" w:cs="Times New Roman Regular"/>
          <w:szCs w:val="32"/>
          <w:highlight w:val="none"/>
          <w:shd w:val="clear" w:color="auto" w:fill="FFFFFF"/>
          <w:lang w:val="en-US"/>
        </w:rPr>
      </w:pPr>
      <w:r>
        <w:rPr>
          <w:rFonts w:ascii="Times New Roman Regular" w:hAnsi="Times New Roman Regular" w:cs="Times New Roman Regular"/>
          <w:szCs w:val="32"/>
          <w:highlight w:val="none"/>
          <w:shd w:val="clear" w:color="auto" w:fill="FFFFFF"/>
        </w:rPr>
        <w:t>（</w:t>
      </w:r>
      <w:r>
        <w:rPr>
          <w:rFonts w:ascii="Times New Roman Regular" w:hAnsi="Times New Roman Regular" w:cs="Times New Roman Regular"/>
          <w:szCs w:val="32"/>
          <w:highlight w:val="none"/>
          <w:shd w:val="clear" w:color="auto" w:fill="FFFFFF"/>
          <w:lang w:val="en-US"/>
        </w:rPr>
        <w:t>1</w:t>
      </w:r>
      <w:r>
        <w:rPr>
          <w:rFonts w:ascii="Times New Roman Regular" w:hAnsi="Times New Roman Regular" w:cs="Times New Roman Regular"/>
          <w:szCs w:val="32"/>
          <w:highlight w:val="none"/>
          <w:shd w:val="clear" w:color="auto" w:fill="FFFFFF"/>
        </w:rPr>
        <w:t>）</w:t>
      </w:r>
      <w:r>
        <w:rPr>
          <w:rFonts w:ascii="Times New Roman Regular" w:hAnsi="Times New Roman Regular" w:cs="Times New Roman Regular"/>
          <w:szCs w:val="32"/>
          <w:highlight w:val="none"/>
          <w:shd w:val="clear" w:color="auto" w:fill="FFFFFF"/>
          <w:lang w:val="en-US"/>
        </w:rPr>
        <w:t>基金</w:t>
      </w:r>
      <w:r>
        <w:rPr>
          <w:rFonts w:hint="eastAsia" w:ascii="Times New Roman Regular" w:hAnsi="Times New Roman Regular" w:cs="Times New Roman Regular"/>
          <w:szCs w:val="32"/>
          <w:highlight w:val="none"/>
          <w:shd w:val="clear" w:color="auto" w:fill="FFFFFF"/>
          <w:lang w:val="en-US" w:eastAsia="zh"/>
          <w:woUserID w:val="11"/>
        </w:rPr>
        <w:t>管理机构</w:t>
      </w:r>
      <w:r>
        <w:rPr>
          <w:rFonts w:ascii="Times New Roman Regular" w:hAnsi="Times New Roman Regular" w:cs="Times New Roman Regular"/>
          <w:szCs w:val="32"/>
          <w:highlight w:val="none"/>
          <w:shd w:val="clear" w:color="auto" w:fill="FFFFFF"/>
        </w:rPr>
        <w:t>在公示期满收到中选确认函之日起</w:t>
      </w:r>
      <w:r>
        <w:rPr>
          <w:rFonts w:ascii="Times New Roman Regular" w:hAnsi="Times New Roman Regular" w:cs="Times New Roman Regular"/>
          <w:szCs w:val="32"/>
          <w:highlight w:val="none"/>
          <w:shd w:val="clear" w:color="auto" w:fill="FFFFFF"/>
          <w:lang w:val="en-US"/>
        </w:rPr>
        <w:t>6</w:t>
      </w:r>
      <w:r>
        <w:rPr>
          <w:rFonts w:ascii="Times New Roman Regular" w:hAnsi="Times New Roman Regular" w:cs="Times New Roman Regular"/>
          <w:szCs w:val="32"/>
          <w:highlight w:val="none"/>
          <w:shd w:val="clear" w:color="auto" w:fill="FFFFFF"/>
        </w:rPr>
        <w:t>个月内，</w:t>
      </w:r>
      <w:r>
        <w:rPr>
          <w:rFonts w:ascii="Times New Roman Regular" w:hAnsi="Times New Roman Regular" w:cs="Times New Roman Regular"/>
          <w:szCs w:val="32"/>
          <w:highlight w:val="none"/>
          <w:shd w:val="clear" w:color="auto" w:fill="FFFFFF"/>
          <w:lang w:val="en-US"/>
        </w:rPr>
        <w:t>未</w:t>
      </w:r>
      <w:r>
        <w:rPr>
          <w:rFonts w:ascii="Times New Roman Regular" w:hAnsi="Times New Roman Regular" w:cs="Times New Roman Regular"/>
          <w:szCs w:val="32"/>
          <w:highlight w:val="none"/>
          <w:shd w:val="clear" w:color="auto" w:fill="FFFFFF"/>
        </w:rPr>
        <w:t>完成</w:t>
      </w:r>
      <w:r>
        <w:rPr>
          <w:rFonts w:ascii="Times New Roman Regular" w:hAnsi="Times New Roman Regular" w:cs="Times New Roman Regular"/>
          <w:szCs w:val="32"/>
          <w:highlight w:val="none"/>
          <w:shd w:val="clear" w:color="auto" w:fill="FFFFFF"/>
          <w:lang w:val="en-US"/>
        </w:rPr>
        <w:t>基金协议签署；</w:t>
      </w:r>
    </w:p>
    <w:p w14:paraId="08C473D9">
      <w:pPr>
        <w:adjustRightInd w:val="0"/>
        <w:snapToGrid w:val="0"/>
        <w:spacing w:line="560" w:lineRule="exact"/>
        <w:ind w:firstLine="640"/>
        <w:rPr>
          <w:rFonts w:ascii="Times New Roman Regular" w:hAnsi="Times New Roman Regular" w:cs="Times New Roman Regular"/>
          <w:szCs w:val="32"/>
          <w:highlight w:val="none"/>
          <w:shd w:val="clear" w:color="auto" w:fill="FFFFFF"/>
        </w:rPr>
      </w:pPr>
      <w:r>
        <w:rPr>
          <w:rFonts w:ascii="Times New Roman Regular" w:hAnsi="Times New Roman Regular" w:cs="Times New Roman Regular"/>
          <w:szCs w:val="32"/>
          <w:highlight w:val="none"/>
          <w:shd w:val="clear" w:color="auto" w:fill="FFFFFF"/>
          <w:lang w:val="en-US"/>
        </w:rPr>
        <w:t>（2）</w:t>
      </w:r>
      <w:r>
        <w:rPr>
          <w:rFonts w:hint="default" w:ascii="Times New Roman Regular" w:hAnsi="Times New Roman Regular" w:cs="Times New Roman Regular"/>
          <w:szCs w:val="32"/>
          <w:highlight w:val="none"/>
          <w:shd w:val="clear" w:color="auto" w:fill="FFFFFF"/>
          <w:lang w:val="en-US"/>
        </w:rPr>
        <w:t>基金未按合伙协议约定的程序和时间要求完成设立、首期出资款缴付及备案手续的</w:t>
      </w:r>
      <w:r>
        <w:rPr>
          <w:rFonts w:ascii="Times New Roman Regular" w:hAnsi="Times New Roman Regular" w:cs="Times New Roman Regular"/>
          <w:szCs w:val="32"/>
          <w:highlight w:val="none"/>
          <w:shd w:val="clear" w:color="auto" w:fill="FFFFFF"/>
        </w:rPr>
        <w:t>；</w:t>
      </w:r>
    </w:p>
    <w:p w14:paraId="739D0EE4">
      <w:pPr>
        <w:adjustRightInd w:val="0"/>
        <w:snapToGrid w:val="0"/>
        <w:spacing w:line="560" w:lineRule="exact"/>
        <w:ind w:firstLine="640"/>
        <w:rPr>
          <w:rFonts w:ascii="Times New Roman Regular" w:hAnsi="Times New Roman Regular" w:cs="Times New Roman Regular"/>
          <w:szCs w:val="32"/>
          <w:highlight w:val="none"/>
          <w:lang w:val="en-US"/>
        </w:rPr>
      </w:pPr>
      <w:r>
        <w:rPr>
          <w:rFonts w:ascii="Times New Roman Regular" w:hAnsi="Times New Roman Regular" w:cs="Times New Roman Regular"/>
          <w:szCs w:val="32"/>
          <w:highlight w:val="none"/>
          <w:lang w:val="en-US"/>
        </w:rPr>
        <w:t>（3）首轮出资拨付至基金账户后，基金未开展投资业务超过6个月；</w:t>
      </w:r>
    </w:p>
    <w:p w14:paraId="6B513078">
      <w:pPr>
        <w:adjustRightInd w:val="0"/>
        <w:snapToGrid w:val="0"/>
        <w:spacing w:line="560" w:lineRule="exact"/>
        <w:ind w:firstLine="640"/>
        <w:rPr>
          <w:rFonts w:ascii="Times New Roman Regular" w:hAnsi="Times New Roman Regular" w:cs="Times New Roman Regular"/>
          <w:szCs w:val="32"/>
          <w:highlight w:val="none"/>
          <w:lang w:val="en-US"/>
        </w:rPr>
      </w:pPr>
      <w:r>
        <w:rPr>
          <w:rFonts w:ascii="Times New Roman Regular" w:hAnsi="Times New Roman Regular" w:cs="Times New Roman Regular"/>
          <w:szCs w:val="32"/>
          <w:highlight w:val="none"/>
          <w:lang w:val="en-US"/>
        </w:rPr>
        <w:t>（4）基金</w:t>
      </w:r>
      <w:r>
        <w:rPr>
          <w:rFonts w:hint="eastAsia" w:ascii="Times New Roman Regular" w:hAnsi="Times New Roman Regular" w:cs="Times New Roman Regular"/>
          <w:szCs w:val="32"/>
          <w:highlight w:val="none"/>
          <w:lang w:val="en-US" w:eastAsia="zh"/>
          <w:woUserID w:val="11"/>
        </w:rPr>
        <w:t>管理机构</w:t>
      </w:r>
      <w:r>
        <w:rPr>
          <w:rFonts w:ascii="Times New Roman Regular" w:hAnsi="Times New Roman Regular" w:cs="Times New Roman Regular"/>
          <w:szCs w:val="32"/>
          <w:highlight w:val="none"/>
          <w:lang w:val="en-US"/>
        </w:rPr>
        <w:t>原承诺的社会资本未在募资期结束前到位且未取得募资义务豁免；</w:t>
      </w:r>
    </w:p>
    <w:p w14:paraId="24BD5E50">
      <w:pPr>
        <w:adjustRightInd w:val="0"/>
        <w:snapToGrid w:val="0"/>
        <w:spacing w:line="560" w:lineRule="exact"/>
        <w:ind w:firstLine="640"/>
        <w:rPr>
          <w:rFonts w:ascii="Times New Roman Regular" w:hAnsi="Times New Roman Regular" w:cs="Times New Roman Regular"/>
          <w:szCs w:val="32"/>
          <w:highlight w:val="none"/>
          <w:lang w:val="en-US"/>
        </w:rPr>
      </w:pPr>
      <w:r>
        <w:rPr>
          <w:rFonts w:ascii="Times New Roman Regular" w:hAnsi="Times New Roman Regular" w:cs="Times New Roman Regular"/>
          <w:szCs w:val="32"/>
          <w:highlight w:val="none"/>
          <w:lang w:val="en-US"/>
        </w:rPr>
        <w:t>（5）基金未按合伙协议约定投资且未能有效整改；</w:t>
      </w:r>
    </w:p>
    <w:p w14:paraId="0FD7DA23">
      <w:pPr>
        <w:adjustRightInd w:val="0"/>
        <w:snapToGrid w:val="0"/>
        <w:spacing w:line="560" w:lineRule="exact"/>
        <w:ind w:firstLine="640"/>
        <w:rPr>
          <w:rFonts w:ascii="Times New Roman Regular" w:hAnsi="Times New Roman Regular" w:cs="Times New Roman Regular"/>
          <w:szCs w:val="32"/>
          <w:highlight w:val="none"/>
          <w:lang w:val="en-US"/>
        </w:rPr>
      </w:pPr>
      <w:r>
        <w:rPr>
          <w:rFonts w:ascii="Times New Roman Regular" w:hAnsi="Times New Roman Regular" w:cs="Times New Roman Regular"/>
          <w:szCs w:val="32"/>
          <w:highlight w:val="none"/>
          <w:lang w:val="en-US"/>
        </w:rPr>
        <w:t>（6）基金运营、</w:t>
      </w:r>
      <w:r>
        <w:rPr>
          <w:rFonts w:hint="eastAsia" w:ascii="Times New Roman Regular" w:hAnsi="Times New Roman Regular" w:cs="Times New Roman Regular"/>
          <w:szCs w:val="32"/>
          <w:highlight w:val="none"/>
          <w:lang w:val="en-US" w:eastAsia="zh"/>
          <w:woUserID w:val="11"/>
        </w:rPr>
        <w:t>基金管理机构</w:t>
      </w:r>
      <w:r>
        <w:rPr>
          <w:rFonts w:ascii="Times New Roman Regular" w:hAnsi="Times New Roman Regular" w:cs="Times New Roman Regular"/>
          <w:szCs w:val="32"/>
          <w:highlight w:val="none"/>
          <w:lang w:val="en-US"/>
        </w:rPr>
        <w:t>因重大违法违规行为被依法查处；</w:t>
      </w:r>
    </w:p>
    <w:p w14:paraId="66D83798">
      <w:pPr>
        <w:adjustRightInd w:val="0"/>
        <w:snapToGrid w:val="0"/>
        <w:spacing w:line="560" w:lineRule="exact"/>
        <w:ind w:firstLine="640"/>
        <w:rPr>
          <w:rFonts w:ascii="Times New Roman Regular" w:hAnsi="Times New Roman Regular" w:cs="Times New Roman Regular"/>
          <w:szCs w:val="32"/>
          <w:highlight w:val="none"/>
          <w:lang w:val="en-US"/>
        </w:rPr>
      </w:pPr>
      <w:r>
        <w:rPr>
          <w:rFonts w:ascii="Times New Roman Regular" w:hAnsi="Times New Roman Regular" w:cs="Times New Roman Regular"/>
          <w:szCs w:val="32"/>
          <w:highlight w:val="none"/>
          <w:lang w:val="en-US"/>
        </w:rPr>
        <w:t>（7）基金管理机构发生实质性变化且未按合伙协议约定履行相关程序。实质性变化包括但不限于：基金管理机构的主要股东发生实质性变化、基金投委会委员半数（含）以上发生变化等情况；</w:t>
      </w:r>
    </w:p>
    <w:p w14:paraId="0FD9BBFB">
      <w:pPr>
        <w:adjustRightInd w:val="0"/>
        <w:snapToGrid w:val="0"/>
        <w:spacing w:line="560" w:lineRule="exact"/>
        <w:ind w:firstLine="640"/>
        <w:rPr>
          <w:rFonts w:ascii="Times New Roman Regular" w:hAnsi="Times New Roman Regular" w:cs="Times New Roman Regular"/>
          <w:szCs w:val="32"/>
          <w:highlight w:val="none"/>
          <w:lang w:val="en-US"/>
        </w:rPr>
      </w:pPr>
      <w:r>
        <w:rPr>
          <w:rFonts w:ascii="Times New Roman Regular" w:hAnsi="Times New Roman Regular" w:cs="Times New Roman Regular"/>
          <w:szCs w:val="32"/>
          <w:highlight w:val="none"/>
          <w:lang w:val="en-US"/>
        </w:rPr>
        <w:t>（8）基金出现重大审计问题且整改未达标；</w:t>
      </w:r>
    </w:p>
    <w:p w14:paraId="78B37645">
      <w:pPr>
        <w:adjustRightInd w:val="0"/>
        <w:snapToGrid w:val="0"/>
        <w:spacing w:line="560" w:lineRule="exact"/>
        <w:ind w:firstLine="640"/>
        <w:rPr>
          <w:highlight w:val="none"/>
        </w:rPr>
      </w:pPr>
      <w:r>
        <w:rPr>
          <w:rFonts w:ascii="Times New Roman Regular" w:hAnsi="Times New Roman Regular" w:cs="Times New Roman Regular"/>
          <w:szCs w:val="32"/>
          <w:highlight w:val="none"/>
          <w:lang w:val="en-US"/>
        </w:rPr>
        <w:t>（9）基金主管部门认定本基金未达成政策目标且经整改仍然无法达到要求。</w:t>
      </w:r>
    </w:p>
    <w:sectPr>
      <w:headerReference r:id="rId5" w:type="default"/>
      <w:footerReference r:id="rId6" w:type="default"/>
      <w:pgSz w:w="11910" w:h="16840"/>
      <w:pgMar w:top="2098" w:right="1474" w:bottom="1622" w:left="1587" w:header="0" w:footer="139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503050405090304"/>
    <w:charset w:val="00"/>
    <w:family w:val="auto"/>
    <w:pitch w:val="default"/>
    <w:sig w:usb0="00000000" w:usb1="00000000" w:usb2="00000001" w:usb3="00000000" w:csb0="400001BF" w:csb1="DFF70000"/>
  </w:font>
  <w:font w:name="方正黑体_GBK">
    <w:altName w:val="微软雅黑"/>
    <w:panose1 w:val="00000000000000000000"/>
    <w:charset w:val="86"/>
    <w:family w:val="auto"/>
    <w:pitch w:val="default"/>
    <w:sig w:usb0="00000000" w:usb1="00000000" w:usb2="00000000" w:usb3="00000000" w:csb0="00000000" w:csb1="00000000"/>
  </w:font>
  <w:font w:name="方正楷体_GB2312">
    <w:altName w:val="楷体_GB2312"/>
    <w:panose1 w:val="00000000000000000000"/>
    <w:charset w:val="86"/>
    <w:family w:val="auto"/>
    <w:pitch w:val="default"/>
    <w:sig w:usb0="00000000" w:usb1="00000000" w:usb2="00000012" w:usb3="00000000" w:csb0="00040001" w:csb1="00000000"/>
  </w:font>
  <w:font w:name="Microsoft JhengHei Light">
    <w:panose1 w:val="020B0304030504040204"/>
    <w:charset w:val="88"/>
    <w:family w:val="swiss"/>
    <w:pitch w:val="default"/>
    <w:sig w:usb0="800002A7" w:usb1="28CF4400" w:usb2="00000016" w:usb3="00000000" w:csb0="00100009"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98D09">
    <w:pPr>
      <w:pStyle w:val="6"/>
      <w:spacing w:line="14" w:lineRule="auto"/>
      <w:ind w:left="0" w:firstLine="640"/>
      <w:rPr>
        <w:sz w:val="2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053465" cy="203835"/>
              <wp:effectExtent l="0" t="0" r="0" b="0"/>
              <wp:wrapNone/>
              <wp:docPr id="1" name="文本框 9"/>
              <wp:cNvGraphicFramePr/>
              <a:graphic xmlns:a="http://schemas.openxmlformats.org/drawingml/2006/main">
                <a:graphicData uri="http://schemas.microsoft.com/office/word/2010/wordprocessingShape">
                  <wps:wsp>
                    <wps:cNvSpPr txBox="1"/>
                    <wps:spPr>
                      <a:xfrm>
                        <a:off x="0" y="0"/>
                        <a:ext cx="1053465" cy="203835"/>
                      </a:xfrm>
                      <a:prstGeom prst="rect">
                        <a:avLst/>
                      </a:prstGeom>
                      <a:noFill/>
                      <a:ln>
                        <a:noFill/>
                      </a:ln>
                    </wps:spPr>
                    <wps:txbx>
                      <w:txbxContent>
                        <w:p w14:paraId="58124745">
                          <w:pPr>
                            <w:spacing w:line="321" w:lineRule="exact"/>
                            <w:ind w:left="20" w:firstLine="560"/>
                            <w:jc w:val="left"/>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t>11</w:t>
                          </w:r>
                          <w:r>
                            <w:fldChar w:fldCharType="end"/>
                          </w:r>
                          <w:r>
                            <w:rPr>
                              <w:rFonts w:ascii="宋体"/>
                              <w:sz w:val="28"/>
                            </w:rPr>
                            <w:t xml:space="preserve"> -</w:t>
                          </w:r>
                        </w:p>
                      </w:txbxContent>
                    </wps:txbx>
                    <wps:bodyPr vert="horz" wrap="square" lIns="0" tIns="0" rIns="0" bIns="0" anchor="t" anchorCtr="0" upright="1"/>
                  </wps:wsp>
                </a:graphicData>
              </a:graphic>
            </wp:anchor>
          </w:drawing>
        </mc:Choice>
        <mc:Fallback>
          <w:pict>
            <v:shape id="文本框 9" o:spid="_x0000_s1026" o:spt="202" type="#_x0000_t202" style="position:absolute;left:0pt;margin-top:0pt;height:16.05pt;width:82.95pt;mso-position-horizontal:center;mso-position-horizontal-relative:margin;z-index:251660288;mso-width-relative:page;mso-height-relative:page;" filled="f" stroked="f" coordsize="21600,21600" o:gfxdata="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KWhJCtQAAAAEAQAADwAAAAAAAAAB&#10;ACAAAAAiAAAAZHJzL2Rvd25yZXYueG1sUEsBAhQAFAAAAAgAh07iQAYjShbbAQAApQMAAA4AAAAA&#10;AAAAAQAgAAAAIwEAAGRycy9lMm9Eb2MueG1sUEsFBgAAAAAGAAYAWQEAAHAFAAAAAA==&#10;">
              <v:fill on="f" focussize="0,0"/>
              <v:stroke on="f"/>
              <v:imagedata o:title=""/>
              <o:lock v:ext="edit" aspectratio="f"/>
              <v:textbox inset="0mm,0mm,0mm,0mm">
                <w:txbxContent>
                  <w:p w14:paraId="58124745">
                    <w:pPr>
                      <w:spacing w:line="321" w:lineRule="exact"/>
                      <w:ind w:left="20" w:firstLine="560"/>
                      <w:jc w:val="left"/>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t>11</w:t>
                    </w:r>
                    <w:r>
                      <w:fldChar w:fldCharType="end"/>
                    </w:r>
                    <w:r>
                      <w:rPr>
                        <w:rFonts w:ascii="宋体"/>
                        <w:sz w:val="28"/>
                      </w:rPr>
                      <w:t xml:space="preserve"> -</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1351280</wp:posOffset>
              </wp:positionH>
              <wp:positionV relativeFrom="page">
                <wp:posOffset>9466580</wp:posOffset>
              </wp:positionV>
              <wp:extent cx="114935" cy="20383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203835"/>
                      </a:xfrm>
                      <a:prstGeom prst="rect">
                        <a:avLst/>
                      </a:prstGeom>
                      <a:noFill/>
                      <a:ln>
                        <a:noFill/>
                      </a:ln>
                      <a:effectLst/>
                    </wps:spPr>
                    <wps:txbx>
                      <w:txbxContent>
                        <w:p w14:paraId="05E79243">
                          <w:pPr>
                            <w:spacing w:line="321" w:lineRule="exact"/>
                            <w:ind w:left="20" w:firstLine="560"/>
                            <w:jc w:val="left"/>
                            <w:rPr>
                              <w:rFonts w:ascii="宋体"/>
                              <w:sz w:val="28"/>
                            </w:rPr>
                          </w:pPr>
                          <w:r>
                            <w:rPr>
                              <w:rFonts w:ascii="宋体"/>
                              <w:sz w:val="28"/>
                            </w:rPr>
                            <w:t xml:space="preserve"> </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106.4pt;margin-top:745.4pt;height:16.05pt;width:9.05pt;mso-position-horizontal-relative:page;mso-position-vertical-relative:page;z-index:-251657216;mso-width-relative:page;mso-height-relative:page;" filled="f" stroked="f" coordsize="21600,21600" o:gfxdata="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mv6w7aAAAADQEAAA8A&#10;AAAAAAAAAQAgAAAAIgAAAGRycy9kb3ducmV2LnhtbFBLAQIUABQAAAAIAIdO4kB/f03h3AEAALID&#10;AAAOAAAAAAAAAAEAIAAAACkBAABkcnMvZTJvRG9jLnhtbFBLBQYAAAAABgAGAFkBAAB3BQAAAAA=&#10;">
              <v:fill on="f" focussize="0,0"/>
              <v:stroke on="f"/>
              <v:imagedata o:title=""/>
              <o:lock v:ext="edit" aspectratio="f"/>
              <v:textbox inset="0mm,0mm,0mm,0mm">
                <w:txbxContent>
                  <w:p w14:paraId="05E79243">
                    <w:pPr>
                      <w:spacing w:line="321" w:lineRule="exact"/>
                      <w:ind w:left="20" w:firstLine="560"/>
                      <w:jc w:val="left"/>
                      <w:rPr>
                        <w:rFonts w:ascii="宋体"/>
                        <w:sz w:val="28"/>
                      </w:rPr>
                    </w:pPr>
                    <w:r>
                      <w:rPr>
                        <w:rFonts w:ascii="宋体"/>
                        <w:sz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57CCF">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9CE048"/>
    <w:multiLevelType w:val="singleLevel"/>
    <w:tmpl w:val="3F9CE04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74B5F"/>
    <w:rsid w:val="00094DFB"/>
    <w:rsid w:val="004D6C82"/>
    <w:rsid w:val="006B32FD"/>
    <w:rsid w:val="00981EA6"/>
    <w:rsid w:val="009C4C04"/>
    <w:rsid w:val="0BDBD994"/>
    <w:rsid w:val="173D4986"/>
    <w:rsid w:val="19F61D3C"/>
    <w:rsid w:val="1AE73DC9"/>
    <w:rsid w:val="1B675FEA"/>
    <w:rsid w:val="26FF0C1E"/>
    <w:rsid w:val="28EF6D75"/>
    <w:rsid w:val="29EF71F6"/>
    <w:rsid w:val="2A482E16"/>
    <w:rsid w:val="2CFF6180"/>
    <w:rsid w:val="2DBFDAE3"/>
    <w:rsid w:val="2F0F2DE8"/>
    <w:rsid w:val="33EBB7D3"/>
    <w:rsid w:val="369128BA"/>
    <w:rsid w:val="39C3314D"/>
    <w:rsid w:val="3B1FE25C"/>
    <w:rsid w:val="3BDD8C8F"/>
    <w:rsid w:val="3D7FEC5A"/>
    <w:rsid w:val="3E6FF95D"/>
    <w:rsid w:val="3EFF5A53"/>
    <w:rsid w:val="3FE9D2D9"/>
    <w:rsid w:val="3FFF0275"/>
    <w:rsid w:val="40BD2B85"/>
    <w:rsid w:val="43E160F2"/>
    <w:rsid w:val="440700DA"/>
    <w:rsid w:val="476F0470"/>
    <w:rsid w:val="47F7C01D"/>
    <w:rsid w:val="4BFD89BD"/>
    <w:rsid w:val="4BFF8EDD"/>
    <w:rsid w:val="4DE6D1F5"/>
    <w:rsid w:val="4F704C09"/>
    <w:rsid w:val="4F77B36F"/>
    <w:rsid w:val="4FCC497B"/>
    <w:rsid w:val="4FFDEA91"/>
    <w:rsid w:val="511E7995"/>
    <w:rsid w:val="577F1828"/>
    <w:rsid w:val="57BE1134"/>
    <w:rsid w:val="59CF5EDE"/>
    <w:rsid w:val="59F7C426"/>
    <w:rsid w:val="5AEF4073"/>
    <w:rsid w:val="5CF74B5F"/>
    <w:rsid w:val="5D32054D"/>
    <w:rsid w:val="5E7F6F2D"/>
    <w:rsid w:val="5EDD2141"/>
    <w:rsid w:val="627EF38D"/>
    <w:rsid w:val="656DE953"/>
    <w:rsid w:val="657E7C59"/>
    <w:rsid w:val="65A79C9F"/>
    <w:rsid w:val="65BDEA60"/>
    <w:rsid w:val="67FD5A21"/>
    <w:rsid w:val="68AD09A1"/>
    <w:rsid w:val="6BBFA860"/>
    <w:rsid w:val="6C786A4D"/>
    <w:rsid w:val="6E7EFB4C"/>
    <w:rsid w:val="6F7F8445"/>
    <w:rsid w:val="6FB5DAC5"/>
    <w:rsid w:val="6FBF79C6"/>
    <w:rsid w:val="6FBFFB74"/>
    <w:rsid w:val="74BB7529"/>
    <w:rsid w:val="75E7A061"/>
    <w:rsid w:val="75FBC206"/>
    <w:rsid w:val="77FF4D58"/>
    <w:rsid w:val="7A665670"/>
    <w:rsid w:val="7BBBCA52"/>
    <w:rsid w:val="7BFE9AF7"/>
    <w:rsid w:val="7D1B6EB6"/>
    <w:rsid w:val="7DBB378D"/>
    <w:rsid w:val="7EAFE1F4"/>
    <w:rsid w:val="7EBD8F3A"/>
    <w:rsid w:val="7EFF4DCF"/>
    <w:rsid w:val="7EFFA15D"/>
    <w:rsid w:val="7EFFC8D5"/>
    <w:rsid w:val="7F71232D"/>
    <w:rsid w:val="7F97B022"/>
    <w:rsid w:val="7FCFA40C"/>
    <w:rsid w:val="7FDDDCE4"/>
    <w:rsid w:val="7FDF7075"/>
    <w:rsid w:val="7FE7B595"/>
    <w:rsid w:val="7FEF1C73"/>
    <w:rsid w:val="7FFF5E3E"/>
    <w:rsid w:val="97BE1EF4"/>
    <w:rsid w:val="9DAF19CB"/>
    <w:rsid w:val="9FEF175C"/>
    <w:rsid w:val="A76D6241"/>
    <w:rsid w:val="B5E71473"/>
    <w:rsid w:val="B6971C83"/>
    <w:rsid w:val="BB6FA8BF"/>
    <w:rsid w:val="BBC758DA"/>
    <w:rsid w:val="BED328A8"/>
    <w:rsid w:val="BFFEA4BD"/>
    <w:rsid w:val="C6BC98CD"/>
    <w:rsid w:val="C79CA489"/>
    <w:rsid w:val="D5FA65DA"/>
    <w:rsid w:val="D5FFE744"/>
    <w:rsid w:val="D6C3FFA7"/>
    <w:rsid w:val="D7F78977"/>
    <w:rsid w:val="D7FFB508"/>
    <w:rsid w:val="D8FD136D"/>
    <w:rsid w:val="DBDD313D"/>
    <w:rsid w:val="DBFE8FE4"/>
    <w:rsid w:val="DCBED64B"/>
    <w:rsid w:val="DCFE689F"/>
    <w:rsid w:val="DDFF178C"/>
    <w:rsid w:val="DEBF98FC"/>
    <w:rsid w:val="DECE0CCA"/>
    <w:rsid w:val="DF6F9C3B"/>
    <w:rsid w:val="DF7F13B0"/>
    <w:rsid w:val="DFFA51D8"/>
    <w:rsid w:val="DFFF706B"/>
    <w:rsid w:val="EBF71074"/>
    <w:rsid w:val="EDAC3737"/>
    <w:rsid w:val="EDDEE1C5"/>
    <w:rsid w:val="EEBE6E9F"/>
    <w:rsid w:val="EFDB105E"/>
    <w:rsid w:val="EFFB6434"/>
    <w:rsid w:val="EFFC3807"/>
    <w:rsid w:val="F37B705D"/>
    <w:rsid w:val="F69B2B51"/>
    <w:rsid w:val="F6BB9273"/>
    <w:rsid w:val="F7DD0985"/>
    <w:rsid w:val="F7FB357D"/>
    <w:rsid w:val="FA6A68FD"/>
    <w:rsid w:val="FB7E1994"/>
    <w:rsid w:val="FBCB9A4B"/>
    <w:rsid w:val="FBDF2883"/>
    <w:rsid w:val="FBF397AB"/>
    <w:rsid w:val="FCD7A74C"/>
    <w:rsid w:val="FCEF88AC"/>
    <w:rsid w:val="FCF15748"/>
    <w:rsid w:val="FDCE59A0"/>
    <w:rsid w:val="FDF57A7D"/>
    <w:rsid w:val="FEFDC730"/>
    <w:rsid w:val="FF5D0507"/>
    <w:rsid w:val="FF9F983D"/>
    <w:rsid w:val="FFEF83CE"/>
    <w:rsid w:val="FFEFB852"/>
    <w:rsid w:val="FFFB28AA"/>
    <w:rsid w:val="FFFF17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line="579" w:lineRule="exact"/>
      <w:ind w:firstLine="880" w:firstLineChars="200"/>
      <w:jc w:val="both"/>
    </w:pPr>
    <w:rPr>
      <w:rFonts w:ascii="仿宋_GB2312" w:hAnsi="仿宋_GB2312" w:eastAsia="仿宋_GB2312" w:cs="仿宋_GB2312"/>
      <w:sz w:val="32"/>
      <w:szCs w:val="22"/>
      <w:lang w:val="zh-CN" w:eastAsia="zh-CN" w:bidi="zh-CN"/>
    </w:rPr>
  </w:style>
  <w:style w:type="paragraph" w:styleId="2">
    <w:name w:val="heading 1"/>
    <w:basedOn w:val="1"/>
    <w:next w:val="1"/>
    <w:qFormat/>
    <w:uiPriority w:val="0"/>
    <w:pPr>
      <w:keepNext/>
      <w:keepLines/>
      <w:ind w:firstLine="0" w:firstLineChars="0"/>
      <w:jc w:val="center"/>
      <w:outlineLvl w:val="0"/>
    </w:pPr>
    <w:rPr>
      <w:rFonts w:eastAsia="方正小标宋简体"/>
      <w:kern w:val="44"/>
      <w:sz w:val="44"/>
    </w:rPr>
  </w:style>
  <w:style w:type="paragraph" w:styleId="3">
    <w:name w:val="heading 2"/>
    <w:basedOn w:val="1"/>
    <w:next w:val="1"/>
    <w:unhideWhenUsed/>
    <w:qFormat/>
    <w:uiPriority w:val="0"/>
    <w:pPr>
      <w:keepNext/>
      <w:keepLines/>
      <w:outlineLvl w:val="1"/>
    </w:pPr>
    <w:rPr>
      <w:rFonts w:ascii="Arial" w:hAnsi="Arial" w:eastAsia="黑体"/>
    </w:rPr>
  </w:style>
  <w:style w:type="paragraph" w:styleId="4">
    <w:name w:val="heading 3"/>
    <w:basedOn w:val="1"/>
    <w:next w:val="1"/>
    <w:unhideWhenUsed/>
    <w:qFormat/>
    <w:uiPriority w:val="0"/>
    <w:pPr>
      <w:keepNext/>
      <w:keepLines/>
      <w:outlineLvl w:val="2"/>
    </w:pPr>
    <w:rPr>
      <w:rFonts w:eastAsia="楷体_GB231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6"/>
    <w:qFormat/>
    <w:uiPriority w:val="0"/>
    <w:pPr>
      <w:jc w:val="left"/>
    </w:pPr>
  </w:style>
  <w:style w:type="paragraph" w:styleId="6">
    <w:name w:val="Body Text"/>
    <w:basedOn w:val="1"/>
    <w:qFormat/>
    <w:uiPriority w:val="1"/>
    <w:pPr>
      <w:ind w:left="109"/>
    </w:pPr>
    <w:rPr>
      <w:szCs w:val="32"/>
    </w:rPr>
  </w:style>
  <w:style w:type="paragraph" w:styleId="7">
    <w:name w:val="Body Text Indent"/>
    <w:basedOn w:val="1"/>
    <w:qFormat/>
    <w:uiPriority w:val="0"/>
    <w:pPr>
      <w:spacing w:after="120"/>
      <w:ind w:left="420" w:leftChars="200"/>
    </w:pPr>
  </w:style>
  <w:style w:type="paragraph" w:styleId="8">
    <w:name w:val="Balloon Text"/>
    <w:basedOn w:val="1"/>
    <w:link w:val="18"/>
    <w:qFormat/>
    <w:uiPriority w:val="0"/>
    <w:pPr>
      <w:spacing w:line="240" w:lineRule="auto"/>
    </w:pPr>
    <w:rPr>
      <w:sz w:val="18"/>
      <w:szCs w:val="18"/>
    </w:rPr>
  </w:style>
  <w:style w:type="paragraph" w:styleId="9">
    <w:name w:val="footer"/>
    <w:basedOn w:val="1"/>
    <w:qFormat/>
    <w:uiPriority w:val="0"/>
    <w:pPr>
      <w:tabs>
        <w:tab w:val="center" w:pos="4153"/>
        <w:tab w:val="right" w:pos="8306"/>
      </w:tabs>
      <w:snapToGrid w:val="0"/>
      <w:spacing w:line="240" w:lineRule="atLeast"/>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annotation subject"/>
    <w:basedOn w:val="5"/>
    <w:next w:val="5"/>
    <w:link w:val="17"/>
    <w:qFormat/>
    <w:uiPriority w:val="0"/>
    <w:rPr>
      <w:b/>
      <w:bCs/>
    </w:rPr>
  </w:style>
  <w:style w:type="paragraph" w:styleId="12">
    <w:name w:val="Body Text First Indent 2"/>
    <w:basedOn w:val="7"/>
    <w:qFormat/>
    <w:uiPriority w:val="0"/>
    <w:pPr>
      <w:ind w:left="0" w:leftChars="0" w:firstLine="420"/>
    </w:pPr>
  </w:style>
  <w:style w:type="character" w:styleId="15">
    <w:name w:val="annotation reference"/>
    <w:basedOn w:val="14"/>
    <w:qFormat/>
    <w:uiPriority w:val="0"/>
    <w:rPr>
      <w:sz w:val="21"/>
      <w:szCs w:val="21"/>
    </w:rPr>
  </w:style>
  <w:style w:type="character" w:customStyle="1" w:styleId="16">
    <w:name w:val="批注文字 字符"/>
    <w:basedOn w:val="14"/>
    <w:link w:val="5"/>
    <w:qFormat/>
    <w:uiPriority w:val="0"/>
    <w:rPr>
      <w:rFonts w:ascii="仿宋_GB2312" w:hAnsi="仿宋_GB2312" w:eastAsia="仿宋_GB2312" w:cs="仿宋_GB2312"/>
      <w:sz w:val="32"/>
      <w:szCs w:val="22"/>
      <w:lang w:val="zh-CN" w:bidi="zh-CN"/>
    </w:rPr>
  </w:style>
  <w:style w:type="character" w:customStyle="1" w:styleId="17">
    <w:name w:val="批注主题 字符"/>
    <w:basedOn w:val="16"/>
    <w:link w:val="11"/>
    <w:qFormat/>
    <w:uiPriority w:val="0"/>
    <w:rPr>
      <w:rFonts w:ascii="仿宋_GB2312" w:hAnsi="仿宋_GB2312" w:eastAsia="仿宋_GB2312" w:cs="仿宋_GB2312"/>
      <w:b/>
      <w:bCs/>
      <w:sz w:val="32"/>
      <w:szCs w:val="22"/>
      <w:lang w:val="zh-CN" w:bidi="zh-CN"/>
    </w:rPr>
  </w:style>
  <w:style w:type="character" w:customStyle="1" w:styleId="18">
    <w:name w:val="批注框文本 字符"/>
    <w:basedOn w:val="14"/>
    <w:link w:val="8"/>
    <w:qFormat/>
    <w:uiPriority w:val="0"/>
    <w:rPr>
      <w:rFonts w:ascii="仿宋_GB2312" w:hAnsi="仿宋_GB2312" w:eastAsia="仿宋_GB2312" w:cs="仿宋_GB2312"/>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4349</Words>
  <Characters>4409</Characters>
  <Lines>42</Lines>
  <Paragraphs>11</Paragraphs>
  <TotalTime>6</TotalTime>
  <ScaleCrop>false</ScaleCrop>
  <LinksUpToDate>false</LinksUpToDate>
  <CharactersWithSpaces>4411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2025-12-07T17:08:00Z</dcterms:created>
  <dc:creator>周宸亦</dc:creator>
  <cp:lastModifiedBy>c</cp:lastModifiedBy>
  <dcterms:modified xsi:type="dcterms:W3CDTF">2026-08-25T11:40:23Z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350E8C869BA453BCCB30416918103B26_43</vt:lpwstr>
  </property>
  <property fmtid="{D5CDD505-2E9C-101B-9397-08002B2CF9AE}" pid="4" name="KSOTemplateDocerSaveRecord">
    <vt:lpwstr>eyJoZGlkIjoiYzg2ZDFiZTdlNGNjMTljMTA3MTk4Yjk1OTEyZjM5NDAiLCJ1c2VySWQiOiIxNTU0NDI1MjkyIn0=</vt:lpwstr>
  </property>
</Properties>
</file>